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44C372D5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C5A5B">
        <w:rPr>
          <w:rFonts w:ascii="Acumin Pro" w:hAnsi="Acumin Pro" w:cstheme="minorHAnsi"/>
          <w:b/>
          <w:sz w:val="20"/>
          <w:szCs w:val="20"/>
        </w:rPr>
        <w:t>9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206CDEF8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9A2502" w:rsidRPr="009A2502">
        <w:rPr>
          <w:rFonts w:ascii="Acumin Pro" w:hAnsi="Acumin Pro"/>
          <w:sz w:val="20"/>
          <w:szCs w:val="20"/>
        </w:rPr>
        <w:t xml:space="preserve"> </w:t>
      </w:r>
      <w:r w:rsidR="009A2502">
        <w:rPr>
          <w:rFonts w:ascii="Acumin Pro" w:hAnsi="Acumin Pro"/>
          <w:sz w:val="20"/>
          <w:szCs w:val="20"/>
        </w:rPr>
        <w:t>zadanie pn.</w:t>
      </w:r>
      <w:r w:rsidR="009A2502" w:rsidRPr="0014326F">
        <w:rPr>
          <w:rFonts w:ascii="Acumin Pro" w:hAnsi="Acumin Pro"/>
          <w:sz w:val="20"/>
          <w:szCs w:val="20"/>
        </w:rPr>
        <w:t xml:space="preserve">: </w:t>
      </w:r>
      <w:r w:rsidR="009A2502" w:rsidRPr="0014326F">
        <w:rPr>
          <w:rFonts w:ascii="Acumin Pro" w:hAnsi="Acumin Pro"/>
          <w:b/>
          <w:sz w:val="20"/>
          <w:szCs w:val="20"/>
        </w:rPr>
        <w:t>Wykonanie, dostawa i montaż mebli oraz elementów wyposażenia wnętrza Pracowni Konserwacji Sztuki Użytkowej w Kuchni Królewskiej Muzeum Sztuk Użytkowych w Zamku Królewskim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4756D9AA" w:rsidR="00BA6A12" w:rsidRPr="009A2502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69E91B2F" w14:textId="432FD2EE" w:rsidR="009A2502" w:rsidRPr="006C5A5B" w:rsidRDefault="009A250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 xml:space="preserve">art. 109 ust. 1 pkt 7 ustawy PZP, </w:t>
      </w:r>
      <w:r>
        <w:rPr>
          <w:rFonts w:ascii="Acumin Pro" w:hAnsi="Acumin Pro" w:cstheme="minorHAnsi"/>
          <w:bCs/>
          <w:sz w:val="20"/>
          <w:szCs w:val="20"/>
        </w:rPr>
        <w:t>dotyczących nie wykonania lub nienależytego wykonania albo długotrwałego nienależytego wykonywania istotnych zobowiązań wynikających z wcześniejszej umowy</w:t>
      </w:r>
      <w:r>
        <w:rPr>
          <w:rFonts w:ascii="Acumin Pro" w:hAnsi="Acumin Pro" w:cstheme="minorHAnsi"/>
          <w:bCs/>
          <w:sz w:val="20"/>
          <w:szCs w:val="20"/>
        </w:rPr>
        <w:t xml:space="preserve"> w</w:t>
      </w:r>
      <w:r>
        <w:rPr>
          <w:rFonts w:ascii="Acumin Pro" w:hAnsi="Acumin Pro" w:cstheme="minorHAnsi"/>
          <w:bCs/>
          <w:sz w:val="20"/>
          <w:szCs w:val="20"/>
        </w:rPr>
        <w:t xml:space="preserve"> sprawie zamówienia publicznego lub umowy koncesji, co doprowadziło do wypowiedzenia lub odstąpienia od umowy, odszkodowania, wykonania zastępczego lub realizacji uprawnień z tytułu rękojmi za wady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68D95B04" w14:textId="6C8A0A45" w:rsidR="00BA6A12" w:rsidRPr="006C5A5B" w:rsidRDefault="009A2502" w:rsidP="00BA6A12">
      <w:pPr>
        <w:pStyle w:val="Tekstprzypisudolnego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lastRenderedPageBreak/>
        <w:t>U</w:t>
      </w:r>
      <w:r w:rsidR="00BA6A12" w:rsidRPr="006C5A5B">
        <w:rPr>
          <w:rFonts w:ascii="Acumin Pro" w:hAnsi="Acumin Pro" w:cstheme="minorHAnsi"/>
        </w:rPr>
        <w:t>WAGA: Niniejsze oświadczenie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510CAD"/>
    <w:rsid w:val="00584032"/>
    <w:rsid w:val="006C5A5B"/>
    <w:rsid w:val="008063B3"/>
    <w:rsid w:val="00875A8B"/>
    <w:rsid w:val="009A2502"/>
    <w:rsid w:val="00AF45A3"/>
    <w:rsid w:val="00BA6A12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10</cp:revision>
  <dcterms:created xsi:type="dcterms:W3CDTF">2024-01-25T17:58:00Z</dcterms:created>
  <dcterms:modified xsi:type="dcterms:W3CDTF">2024-06-17T10:06:00Z</dcterms:modified>
</cp:coreProperties>
</file>