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511E7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D63384" w:rsidRDefault="00D63384" w:rsidP="00D63384">
      <w:pPr>
        <w:spacing w:after="0" w:line="240" w:lineRule="auto"/>
        <w:ind w:right="98"/>
        <w:jc w:val="center"/>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TREŚĆ PO MODYFIKACJI Z DNIA 16.0</w:t>
      </w:r>
      <w:bookmarkStart w:id="0" w:name="_GoBack"/>
      <w:bookmarkEnd w:id="0"/>
      <w:r w:rsidRPr="00D63384">
        <w:rPr>
          <w:rFonts w:ascii="Times New Roman" w:eastAsia="Times New Roman" w:hAnsi="Times New Roman" w:cs="Times New Roman"/>
          <w:b/>
          <w:i/>
          <w:sz w:val="24"/>
          <w:szCs w:val="24"/>
          <w:u w:val="single"/>
          <w:lang w:eastAsia="pl-PL"/>
        </w:rPr>
        <w:t>3.2020R.</w:t>
      </w: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Łódź,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0">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1"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w:t>
      </w:r>
      <w:r w:rsidRPr="00FA4672">
        <w:rPr>
          <w:rFonts w:ascii="Times New Roman" w:eastAsia="Times New Roman" w:hAnsi="Times New Roman" w:cs="Times New Roman"/>
          <w:lang w:eastAsia="pl-PL"/>
        </w:rPr>
        <w:lastRenderedPageBreak/>
        <w:t xml:space="preserve">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FA4672">
        <w:rPr>
          <w:rFonts w:ascii="Times New Roman" w:eastAsia="Times New Roman" w:hAnsi="Times New Roman" w:cs="Times New Roman"/>
          <w:color w:val="0F0F0F"/>
          <w:lang w:eastAsia="pl-PL"/>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2"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lastRenderedPageBreak/>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licencji wspólnotowej na wykonywanie międzynarodowego zarobkowego 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jest to niezbędne do zapewnienia odpowiedniego przebiegu postępowania, zamawiający może na każdym jego etapie wezwać wykonawców do złożenia wszystkich lub niektórych oświadczeń lub </w:t>
      </w:r>
      <w:r w:rsidRPr="00FA4672">
        <w:rPr>
          <w:rFonts w:ascii="Times New Roman" w:eastAsia="Times New Roman" w:hAnsi="Times New Roman" w:cs="Times New Roman"/>
          <w:lang w:eastAsia="pl-PL"/>
        </w:rPr>
        <w:lastRenderedPageBreak/>
        <w:t>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3"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4"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10.2.Zamawiający będzie przekazywał wykonawcom informacje w formie elektronicznej za pośrednictwem Platformy. Informacje dotyczące odpowiedzi na pytania, zmiany specyfikacji, zmiany terminu składania               </w:t>
      </w:r>
      <w:r w:rsidRPr="00646F1B">
        <w:rPr>
          <w:rFonts w:ascii="Times New Roman" w:eastAsia="Calibri" w:hAnsi="Times New Roman" w:cs="Times New Roman"/>
          <w:lang w:eastAsia="pl-PL"/>
        </w:rPr>
        <w:lastRenderedPageBreak/>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w:t>
      </w:r>
      <w:proofErr w:type="spellStart"/>
      <w:r w:rsidRPr="00646F1B">
        <w:rPr>
          <w:rFonts w:ascii="Times New Roman" w:eastAsia="Calibri" w:hAnsi="Times New Roman" w:cs="Times New Roman"/>
          <w:lang w:eastAsia="pl-PL"/>
        </w:rPr>
        <w:t>Adobe</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Reader</w:t>
      </w:r>
      <w:proofErr w:type="spellEnd"/>
      <w:r w:rsidRPr="00646F1B">
        <w:rPr>
          <w:rFonts w:ascii="Times New Roman" w:eastAsia="Calibri" w:hAnsi="Times New Roman" w:cs="Times New Roman"/>
          <w:lang w:eastAsia="pl-PL"/>
        </w:rPr>
        <w:t xml:space="preserve">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xml:space="preserve">) generowany </w:t>
      </w:r>
      <w:proofErr w:type="spellStart"/>
      <w:r w:rsidRPr="00646F1B">
        <w:rPr>
          <w:rFonts w:ascii="Times New Roman" w:eastAsia="Calibri" w:hAnsi="Times New Roman" w:cs="Times New Roman"/>
          <w:lang w:eastAsia="pl-PL"/>
        </w:rPr>
        <w:t>wg</w:t>
      </w:r>
      <w:proofErr w:type="spellEnd"/>
      <w:r w:rsidRPr="00646F1B">
        <w:rPr>
          <w:rFonts w:ascii="Times New Roman" w:eastAsia="Calibri" w:hAnsi="Times New Roman" w:cs="Times New Roman"/>
          <w:lang w:eastAsia="pl-PL"/>
        </w:rPr>
        <w:t>.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5">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6"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lastRenderedPageBreak/>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 xml:space="preserve">2 lub średniej arytmetycznej cen wszystkich </w:t>
      </w:r>
      <w:r w:rsidRPr="00FA4672">
        <w:rPr>
          <w:rFonts w:ascii="Times New Roman" w:eastAsia="Times New Roman" w:hAnsi="Times New Roman" w:cs="Times New Roman"/>
          <w:lang w:eastAsia="pl-PL"/>
        </w:rPr>
        <w:lastRenderedPageBreak/>
        <w:t>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 usług, zaktualizowanej z 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 xml:space="preserve">menty, których </w:t>
      </w:r>
      <w:r>
        <w:rPr>
          <w:rFonts w:ascii="Times New Roman" w:eastAsia="Times New Roman" w:hAnsi="Times New Roman" w:cs="Times New Roman"/>
          <w:kern w:val="20"/>
          <w:lang w:eastAsia="pl-PL"/>
        </w:rPr>
        <w:lastRenderedPageBreak/>
        <w:t>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r w:rsidR="00244E18" w:rsidRPr="002F67F6">
        <w:rPr>
          <w:rFonts w:ascii="Times New Roman" w:eastAsia="Times New Roman" w:hAnsi="Times New Roman" w:cs="Times New Roman"/>
          <w:b/>
          <w:kern w:val="20"/>
          <w:lang w:eastAsia="pl-PL"/>
        </w:rPr>
        <w:t>Biuro Rektora Kancelaria</w:t>
      </w:r>
      <w:r w:rsidR="00244E18" w:rsidRPr="00244E18">
        <w:rPr>
          <w:rFonts w:ascii="Times New Roman" w:eastAsia="Times New Roman" w:hAnsi="Times New Roman" w:cs="Times New Roman"/>
          <w:b/>
          <w:kern w:val="20"/>
          <w:lang w:eastAsia="pl-PL"/>
        </w:rPr>
        <w:t xml:space="preserve">, ul. Narutowicza 68, 90 – 136 Łódź, pokój </w:t>
      </w:r>
      <w:r w:rsidR="00244E18" w:rsidRPr="002F67F6">
        <w:rPr>
          <w:rFonts w:ascii="Times New Roman" w:eastAsia="Times New Roman" w:hAnsi="Times New Roman" w:cs="Times New Roman"/>
          <w:b/>
          <w:kern w:val="20"/>
          <w:lang w:eastAsia="pl-PL"/>
        </w:rPr>
        <w:t>001a (poziom -1)</w:t>
      </w:r>
      <w:r w:rsidRPr="00FA4672">
        <w:rPr>
          <w:rFonts w:ascii="Times New Roman" w:eastAsia="Times New Roman" w:hAnsi="Times New Roman" w:cs="Times New Roman"/>
          <w:b/>
          <w:kern w:val="20"/>
          <w:lang w:eastAsia="pl-PL"/>
        </w:rPr>
        <w:t xml:space="preserve"> do dnia </w:t>
      </w:r>
      <w:r w:rsidR="00C21D26">
        <w:rPr>
          <w:rFonts w:ascii="Times New Roman" w:eastAsia="Times New Roman" w:hAnsi="Times New Roman" w:cs="Times New Roman"/>
          <w:b/>
          <w:kern w:val="20"/>
          <w:lang w:eastAsia="pl-PL"/>
        </w:rPr>
        <w:t>22</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w:t>
      </w:r>
      <w:r w:rsidR="001E11C9">
        <w:rPr>
          <w:rFonts w:ascii="Times New Roman" w:eastAsia="Times New Roman" w:hAnsi="Times New Roman" w:cs="Times New Roman"/>
          <w:b/>
          <w:kern w:val="20"/>
          <w:lang w:eastAsia="pl-PL"/>
        </w:rPr>
        <w:t>5</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w:t>
      </w:r>
      <w:r w:rsidR="00C21D26">
        <w:rPr>
          <w:rFonts w:ascii="Times New Roman" w:eastAsia="Times New Roman" w:hAnsi="Times New Roman" w:cs="Times New Roman"/>
          <w:b/>
          <w:kern w:val="20"/>
          <w:szCs w:val="24"/>
          <w:lang w:eastAsia="pl-PL"/>
        </w:rPr>
        <w:t>10</w:t>
      </w:r>
      <w:r w:rsidRPr="00FA4672">
        <w:rPr>
          <w:rFonts w:ascii="Times New Roman" w:eastAsia="Times New Roman" w:hAnsi="Times New Roman" w:cs="Times New Roman"/>
          <w:b/>
          <w:kern w:val="20"/>
          <w:szCs w:val="24"/>
          <w:lang w:eastAsia="pl-PL"/>
        </w:rPr>
        <w:t>.</w:t>
      </w:r>
      <w:r w:rsidR="00C21D26">
        <w:rPr>
          <w:rFonts w:ascii="Times New Roman" w:eastAsia="Times New Roman" w:hAnsi="Times New Roman" w:cs="Times New Roman"/>
          <w:b/>
          <w:kern w:val="20"/>
          <w:szCs w:val="24"/>
          <w:lang w:eastAsia="pl-PL"/>
        </w:rPr>
        <w:t>0</w:t>
      </w:r>
      <w:r w:rsidRPr="00FA4672">
        <w:rPr>
          <w:rFonts w:ascii="Times New Roman" w:eastAsia="Times New Roman" w:hAnsi="Times New Roman" w:cs="Times New Roman"/>
          <w:b/>
          <w:kern w:val="20"/>
          <w:szCs w:val="24"/>
          <w:lang w:eastAsia="pl-PL"/>
        </w:rPr>
        <w:t>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r w:rsidRPr="002F67F6">
        <w:rPr>
          <w:rFonts w:ascii="Times New Roman" w:eastAsia="Times New Roman" w:hAnsi="Times New Roman" w:cs="Times New Roman"/>
          <w:lang w:eastAsia="pl-PL"/>
        </w:rPr>
        <w:t>Biura Rektora Kancelaria</w:t>
      </w:r>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Otwarcie ofert nastąpi w dniu </w:t>
      </w:r>
      <w:r w:rsidR="003D427C">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w:t>
      </w:r>
      <w:r w:rsidR="001E11C9">
        <w:rPr>
          <w:rFonts w:ascii="Times New Roman" w:eastAsia="Times New Roman" w:hAnsi="Times New Roman" w:cs="Times New Roman"/>
          <w:b/>
          <w:lang w:eastAsia="pl-PL"/>
        </w:rPr>
        <w:t>5</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w:t>
      </w:r>
      <w:r w:rsidR="00C21D26">
        <w:rPr>
          <w:rFonts w:ascii="Times New Roman" w:eastAsia="Times New Roman" w:hAnsi="Times New Roman" w:cs="Times New Roman"/>
          <w:b/>
          <w:lang w:eastAsia="pl-PL"/>
        </w:rPr>
        <w:t>12</w:t>
      </w:r>
      <w:r w:rsidRPr="00FA4672">
        <w:rPr>
          <w:rFonts w:ascii="Times New Roman" w:eastAsia="Times New Roman" w:hAnsi="Times New Roman" w:cs="Times New Roman"/>
          <w:b/>
          <w:lang w:eastAsia="pl-PL"/>
        </w:rPr>
        <w:t>:00,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w:t>
      </w:r>
      <w:r w:rsidRPr="00FA4672">
        <w:rPr>
          <w:rFonts w:ascii="Times New Roman" w:eastAsia="Times New Roman" w:hAnsi="Times New Roman" w:cs="Times New Roman"/>
          <w:kern w:val="20"/>
          <w:lang w:eastAsia="pl-PL"/>
        </w:rPr>
        <w:lastRenderedPageBreak/>
        <w:t xml:space="preserve">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8"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lang w:eastAsia="pl-PL"/>
        </w:rPr>
        <w:t>(</w:t>
      </w:r>
      <w:r w:rsidRPr="00FA4672">
        <w:rPr>
          <w:rFonts w:ascii="Times New Roman" w:eastAsia="Times New Roman" w:hAnsi="Times New Roman" w:cs="Times New Roman"/>
          <w:b/>
          <w:lang w:eastAsia="pl-PL"/>
        </w:rPr>
        <w:t>B</w:t>
      </w:r>
      <w:proofErr w:type="spellEnd"/>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w:t>
      </w:r>
      <w:proofErr w:type="spellStart"/>
      <w:r w:rsidRPr="00FA4672">
        <w:rPr>
          <w:rFonts w:ascii="Times New Roman" w:eastAsia="Times New Roman" w:hAnsi="Times New Roman" w:cs="Times New Roman"/>
          <w:lang w:eastAsia="pl-PL"/>
        </w:rPr>
        <w:t>pkt</w:t>
      </w:r>
      <w:proofErr w:type="spellEnd"/>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 xml:space="preserve">n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1. </w:t>
      </w:r>
      <w:r w:rsidRPr="00FA4672">
        <w:rPr>
          <w:rFonts w:ascii="Times New Roman" w:eastAsia="Times New Roman" w:hAnsi="Times New Roman" w:cs="Times New Roman"/>
          <w:iCs/>
          <w:lang w:eastAsia="pl-PL"/>
        </w:rPr>
        <w:tab/>
        <w:t>Cena oferty brutto A</w:t>
      </w:r>
      <w:r w:rsidRPr="00FA4672">
        <w:rPr>
          <w:rFonts w:ascii="Times New Roman" w:eastAsia="Times New Roman" w:hAnsi="Times New Roman" w:cs="Times New Roman"/>
          <w:iCs/>
          <w:vertAlign w:val="subscript"/>
          <w:lang w:eastAsia="pl-PL"/>
        </w:rPr>
        <w:t>n</w:t>
      </w:r>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w:t>
      </w:r>
      <w:proofErr w:type="spellStart"/>
      <w:r w:rsidRPr="00FA4672">
        <w:rPr>
          <w:rFonts w:ascii="Times New Roman" w:eastAsia="Times New Roman" w:hAnsi="Times New Roman" w:cs="Times New Roman"/>
          <w:lang w:eastAsia="pl-PL"/>
        </w:rPr>
        <w:t>pkt</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Liczba punktów a</w:t>
            </w:r>
            <w:r w:rsidRPr="00FA4672">
              <w:rPr>
                <w:rFonts w:ascii="Times New Roman" w:eastAsia="Times New Roman" w:hAnsi="Times New Roman" w:cs="Times New Roman"/>
                <w:vertAlign w:val="subscript"/>
                <w:lang w:eastAsia="pl-PL"/>
              </w:rPr>
              <w:t>n</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kryterium 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lastRenderedPageBreak/>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wnosi się do Prezesa Krajowej Izby Odwoławczej w formie pisemnej albo elektronicznej opatrzonej bezpiecznym podpisem elektronicznym weryfikowanym przy pomocy ważnego </w:t>
      </w:r>
      <w:r w:rsidRPr="00FA4672">
        <w:rPr>
          <w:rFonts w:ascii="Times New Roman" w:eastAsia="Times New Roman" w:hAnsi="Times New Roman" w:cs="Times New Roman"/>
          <w:bCs/>
          <w:color w:val="000000"/>
          <w:lang w:eastAsia="pl-PL"/>
        </w:rPr>
        <w:lastRenderedPageBreak/>
        <w:t>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19"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W przypadku gdy wykonanie obowiązków, o których mowa w art. 15 ust. 1-3 rozporządzenia 2016/679, wymagałoby niewspółmiernie dużego wysiłku, zamawiający może żądać od osoby, której dane dotyczą, </w:t>
      </w:r>
      <w:r w:rsidRPr="00D87359">
        <w:rPr>
          <w:rFonts w:ascii="Times New Roman" w:eastAsia="Times New Roman" w:hAnsi="Times New Roman" w:cs="Times New Roman"/>
          <w:i/>
          <w:lang w:eastAsia="pl-PL"/>
        </w:rPr>
        <w:lastRenderedPageBreak/>
        <w:t>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POWER nr </w:t>
      </w:r>
      <w:r w:rsidR="00DF3744" w:rsidRPr="00DF3744">
        <w:rPr>
          <w:rFonts w:ascii="Times New Roman" w:eastAsia="Times New Roman" w:hAnsi="Times New Roman" w:cs="Times New Roman"/>
          <w:i/>
          <w:lang w:eastAsia="pl-PL"/>
        </w:rPr>
        <w:t xml:space="preserve">nr POWR.03.01.00-00-T141/18 </w:t>
      </w:r>
      <w:r w:rsidRPr="00224373">
        <w:rPr>
          <w:rFonts w:ascii="Times New Roman" w:eastAsia="Times New Roman" w:hAnsi="Times New Roman" w:cs="Times New Roman"/>
          <w:i/>
          <w:lang w:eastAsia="pl-PL"/>
        </w:rPr>
        <w:t xml:space="preserve"> z dnia 27.12.2018r. poprzez email: </w:t>
      </w:r>
      <w:hyperlink r:id="rId20"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w:t>
      </w:r>
      <w:r w:rsidRPr="00224373">
        <w:rPr>
          <w:rFonts w:ascii="Times New Roman" w:eastAsia="Times New Roman" w:hAnsi="Times New Roman" w:cs="Times New Roman"/>
          <w:bCs/>
          <w:i/>
          <w:lang w:eastAsia="pl-PL"/>
        </w:rPr>
        <w:lastRenderedPageBreak/>
        <w:t xml:space="preserve">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lastRenderedPageBreak/>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w:t>
      </w:r>
      <w:proofErr w:type="spellStart"/>
      <w:r w:rsidRPr="00FA4672">
        <w:rPr>
          <w:rFonts w:ascii="Arial" w:eastAsia="Times New Roman" w:hAnsi="Arial" w:cs="Arial"/>
          <w:i/>
          <w:sz w:val="16"/>
          <w:szCs w:val="16"/>
          <w:lang w:eastAsia="pl-PL"/>
        </w:rPr>
        <w:t>pkt</w:t>
      </w:r>
      <w:proofErr w:type="spellEnd"/>
      <w:r w:rsidRPr="00FA4672">
        <w:rPr>
          <w:rFonts w:ascii="Arial" w:eastAsia="Times New Roman" w:hAnsi="Arial" w:cs="Arial"/>
          <w:i/>
          <w:sz w:val="16"/>
          <w:szCs w:val="16"/>
          <w:lang w:eastAsia="pl-PL"/>
        </w:rPr>
        <w:t xml:space="preserve">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511E7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6"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w:t>
      </w:r>
      <w:r w:rsidRPr="00B624F8">
        <w:rPr>
          <w:rFonts w:ascii="Times New Roman" w:hAnsi="Times New Roman" w:cs="Times New Roman"/>
        </w:rPr>
        <w:lastRenderedPageBreak/>
        <w:t>nieprawidłowości 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lastRenderedPageBreak/>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w:t>
      </w:r>
      <w:r w:rsidR="00FA4672" w:rsidRPr="00FA4672">
        <w:rPr>
          <w:rFonts w:ascii="Times New Roman" w:eastAsia="Times New Roman" w:hAnsi="Times New Roman" w:cs="Times New Roman"/>
          <w:lang w:eastAsia="pl-PL"/>
        </w:rPr>
        <w:lastRenderedPageBreak/>
        <w:t>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1"/>
      <w:footerReference w:type="default" r:id="rId22"/>
      <w:headerReference w:type="first" r:id="rId23"/>
      <w:pgSz w:w="11906" w:h="16838" w:code="9"/>
      <w:pgMar w:top="962" w:right="849" w:bottom="993" w:left="993" w:header="15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DF" w:rsidRDefault="00341ADF">
      <w:pPr>
        <w:spacing w:after="0" w:line="240" w:lineRule="auto"/>
      </w:pPr>
      <w:r>
        <w:separator/>
      </w:r>
    </w:p>
  </w:endnote>
  <w:endnote w:type="continuationSeparator" w:id="0">
    <w:p w:rsidR="00341ADF" w:rsidRDefault="0034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511E7C">
    <w:pPr>
      <w:pStyle w:val="Stopka"/>
      <w:jc w:val="right"/>
    </w:pPr>
    <w:r>
      <w:fldChar w:fldCharType="begin"/>
    </w:r>
    <w:r w:rsidR="003B07FC">
      <w:instrText>PAGE   \* MERGEFORMAT</w:instrText>
    </w:r>
    <w:r>
      <w:fldChar w:fldCharType="separate"/>
    </w:r>
    <w:r w:rsidR="003D427C">
      <w:rPr>
        <w:noProof/>
      </w:rPr>
      <w:t>12</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DF" w:rsidRDefault="00341ADF">
      <w:pPr>
        <w:spacing w:after="0" w:line="240" w:lineRule="auto"/>
      </w:pPr>
      <w:r>
        <w:separator/>
      </w:r>
    </w:p>
  </w:footnote>
  <w:footnote w:type="continuationSeparator" w:id="0">
    <w:p w:rsidR="00341ADF" w:rsidRDefault="0034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rPr>
        <w:rFonts w:ascii="Tahoma" w:hAnsi="Tahoma" w:cs="Tahoma"/>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D2F06"/>
    <w:multiLevelType w:val="singleLevel"/>
    <w:tmpl w:val="297CDFC8"/>
    <w:lvl w:ilvl="0">
      <w:start w:val="1"/>
      <w:numFmt w:val="decimal"/>
      <w:lvlText w:val="%1."/>
      <w:lvlJc w:val="left"/>
      <w:pPr>
        <w:tabs>
          <w:tab w:val="num" w:pos="360"/>
        </w:tabs>
        <w:ind w:left="360" w:hanging="360"/>
      </w:pPr>
    </w:lvl>
  </w:abstractNum>
  <w:abstractNum w:abstractNumId="37">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9751A"/>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11C9"/>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2F67F6"/>
    <w:rsid w:val="00320984"/>
    <w:rsid w:val="00324E52"/>
    <w:rsid w:val="00327A46"/>
    <w:rsid w:val="0033559E"/>
    <w:rsid w:val="00335D07"/>
    <w:rsid w:val="00336DE2"/>
    <w:rsid w:val="00341ADF"/>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B7723"/>
    <w:rsid w:val="003D08E3"/>
    <w:rsid w:val="003D1D4F"/>
    <w:rsid w:val="003D427C"/>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01ED"/>
    <w:rsid w:val="00511E7C"/>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3282"/>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1D4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E3835"/>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1D26"/>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63384"/>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4791D"/>
    <w:rsid w:val="00E5261C"/>
    <w:rsid w:val="00E5491D"/>
    <w:rsid w:val="00E74A50"/>
    <w:rsid w:val="00E81340"/>
    <w:rsid w:val="00E92010"/>
    <w:rsid w:val="00E94A1A"/>
    <w:rsid w:val="00EA1A34"/>
    <w:rsid w:val="00EA2A5B"/>
    <w:rsid w:val="00EA3974"/>
    <w:rsid w:val="00EC2BC0"/>
    <w:rsid w:val="00EC396C"/>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3C23"/>
    <w:rsid w:val="00FC5A36"/>
    <w:rsid w:val="00FE5436"/>
    <w:rsid w:val="00FF0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14F3-2CA7-4C71-84AE-1350D873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12333</Words>
  <Characters>73998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cp:lastModifiedBy>
  <cp:revision>7</cp:revision>
  <cp:lastPrinted>2020-03-06T12:44:00Z</cp:lastPrinted>
  <dcterms:created xsi:type="dcterms:W3CDTF">2020-04-09T11:52:00Z</dcterms:created>
  <dcterms:modified xsi:type="dcterms:W3CDTF">2020-05-05T08:55:00Z</dcterms:modified>
</cp:coreProperties>
</file>