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6D7C8E" w14:textId="77777777" w:rsidR="00C6279A" w:rsidRPr="00021789" w:rsidRDefault="00C6279A" w:rsidP="003D0153">
      <w:pPr>
        <w:pStyle w:val="Pro-Inwest"/>
        <w:jc w:val="center"/>
        <w:rPr>
          <w:rFonts w:asciiTheme="minorHAnsi" w:hAnsiTheme="minorHAnsi"/>
          <w:b/>
          <w:sz w:val="28"/>
          <w:szCs w:val="28"/>
        </w:rPr>
      </w:pPr>
      <w:bookmarkStart w:id="0" w:name="_Hlk156377947"/>
      <w:bookmarkEnd w:id="0"/>
      <w:r w:rsidRPr="00021789">
        <w:rPr>
          <w:rFonts w:asciiTheme="minorHAnsi" w:hAnsiTheme="minorHAnsi"/>
          <w:b/>
          <w:sz w:val="28"/>
          <w:szCs w:val="28"/>
        </w:rPr>
        <w:t>Spis treści</w:t>
      </w:r>
      <w:r w:rsidR="00DE4D28" w:rsidRPr="00021789">
        <w:rPr>
          <w:rFonts w:asciiTheme="minorHAnsi" w:hAnsiTheme="minorHAnsi"/>
          <w:b/>
        </w:rPr>
        <w:br/>
      </w:r>
    </w:p>
    <w:tbl>
      <w:tblPr>
        <w:tblStyle w:val="Tabela-Siatka"/>
        <w:tblW w:w="0" w:type="auto"/>
        <w:tblLook w:val="04A0" w:firstRow="1" w:lastRow="0" w:firstColumn="1" w:lastColumn="0" w:noHBand="0" w:noVBand="1"/>
      </w:tblPr>
      <w:tblGrid>
        <w:gridCol w:w="1395"/>
        <w:gridCol w:w="7312"/>
        <w:gridCol w:w="581"/>
      </w:tblGrid>
      <w:tr w:rsidR="00021789" w:rsidRPr="00021789" w14:paraId="6B3617CC" w14:textId="77777777" w:rsidTr="00781203">
        <w:tc>
          <w:tcPr>
            <w:tcW w:w="1395" w:type="dxa"/>
            <w:shd w:val="clear" w:color="auto" w:fill="auto"/>
            <w:vAlign w:val="center"/>
          </w:tcPr>
          <w:p w14:paraId="41503F8F" w14:textId="77777777" w:rsidR="00D35D7F" w:rsidRPr="00021789" w:rsidRDefault="00D35D7F" w:rsidP="0036153D">
            <w:pPr>
              <w:pStyle w:val="Pro-Inwest"/>
              <w:rPr>
                <w:rStyle w:val="Nagwek1Znak"/>
                <w:rFonts w:asciiTheme="minorHAnsi" w:hAnsiTheme="minorHAnsi"/>
                <w:szCs w:val="24"/>
              </w:rPr>
            </w:pPr>
            <w:r w:rsidRPr="00021789">
              <w:rPr>
                <w:rStyle w:val="Nagwek1Znak"/>
                <w:rFonts w:asciiTheme="minorHAnsi" w:hAnsiTheme="minorHAnsi"/>
                <w:szCs w:val="24"/>
              </w:rPr>
              <w:t>D.00.00.00</w:t>
            </w:r>
          </w:p>
        </w:tc>
        <w:tc>
          <w:tcPr>
            <w:tcW w:w="7312" w:type="dxa"/>
            <w:shd w:val="clear" w:color="auto" w:fill="auto"/>
            <w:vAlign w:val="center"/>
          </w:tcPr>
          <w:p w14:paraId="3EA320F9" w14:textId="77777777" w:rsidR="00D35D7F" w:rsidRPr="00021789" w:rsidRDefault="00D35D7F" w:rsidP="0036153D">
            <w:pPr>
              <w:pStyle w:val="Pro-Inwest"/>
              <w:rPr>
                <w:rStyle w:val="Nagwek1Znak"/>
                <w:rFonts w:asciiTheme="minorHAnsi" w:hAnsiTheme="minorHAnsi"/>
                <w:szCs w:val="24"/>
              </w:rPr>
            </w:pPr>
            <w:r w:rsidRPr="00021789">
              <w:rPr>
                <w:rStyle w:val="Nagwek1Znak"/>
                <w:rFonts w:asciiTheme="minorHAnsi" w:hAnsiTheme="minorHAnsi"/>
                <w:szCs w:val="24"/>
              </w:rPr>
              <w:t>WYMAGANIA OGÓLNE</w:t>
            </w:r>
          </w:p>
        </w:tc>
        <w:tc>
          <w:tcPr>
            <w:tcW w:w="581" w:type="dxa"/>
            <w:vAlign w:val="center"/>
          </w:tcPr>
          <w:p w14:paraId="1334CA00" w14:textId="77777777" w:rsidR="00D35D7F" w:rsidRPr="00021789" w:rsidRDefault="00086FC4" w:rsidP="0036153D">
            <w:pPr>
              <w:pStyle w:val="Pro-Inwest"/>
              <w:rPr>
                <w:rStyle w:val="Nagwek1Znak"/>
                <w:rFonts w:asciiTheme="minorHAnsi" w:hAnsiTheme="minorHAnsi"/>
                <w:szCs w:val="24"/>
              </w:rPr>
            </w:pPr>
            <w:r w:rsidRPr="00021789">
              <w:rPr>
                <w:rStyle w:val="Nagwek1Znak"/>
                <w:rFonts w:asciiTheme="minorHAnsi" w:hAnsiTheme="minorHAnsi"/>
                <w:szCs w:val="24"/>
              </w:rPr>
              <w:t>3</w:t>
            </w:r>
          </w:p>
        </w:tc>
      </w:tr>
      <w:tr w:rsidR="00021789" w:rsidRPr="00021789" w14:paraId="02206BA2" w14:textId="77777777" w:rsidTr="00781203">
        <w:tc>
          <w:tcPr>
            <w:tcW w:w="1395" w:type="dxa"/>
            <w:shd w:val="clear" w:color="auto" w:fill="auto"/>
            <w:vAlign w:val="center"/>
          </w:tcPr>
          <w:p w14:paraId="153BD6FC" w14:textId="77777777" w:rsidR="00D35D7F" w:rsidRPr="00021789" w:rsidRDefault="00D35D7F" w:rsidP="0036153D">
            <w:pPr>
              <w:pStyle w:val="Pro-Inwest"/>
              <w:rPr>
                <w:rStyle w:val="Nagwek1Znak"/>
                <w:rFonts w:asciiTheme="minorHAnsi" w:hAnsiTheme="minorHAnsi"/>
                <w:szCs w:val="24"/>
              </w:rPr>
            </w:pPr>
            <w:r w:rsidRPr="00021789">
              <w:rPr>
                <w:rStyle w:val="Nagwek1Znak"/>
                <w:rFonts w:asciiTheme="minorHAnsi" w:hAnsiTheme="minorHAnsi"/>
                <w:szCs w:val="24"/>
              </w:rPr>
              <w:t>D.01.00.00</w:t>
            </w:r>
          </w:p>
        </w:tc>
        <w:tc>
          <w:tcPr>
            <w:tcW w:w="7312" w:type="dxa"/>
            <w:shd w:val="clear" w:color="auto" w:fill="auto"/>
            <w:vAlign w:val="center"/>
          </w:tcPr>
          <w:p w14:paraId="33B34E59" w14:textId="77777777" w:rsidR="00D35D7F" w:rsidRPr="00021789" w:rsidRDefault="00D35D7F" w:rsidP="0036153D">
            <w:pPr>
              <w:pStyle w:val="Pro-Inwest"/>
              <w:rPr>
                <w:rStyle w:val="Nagwek1Znak"/>
                <w:rFonts w:asciiTheme="minorHAnsi" w:hAnsiTheme="minorHAnsi"/>
                <w:szCs w:val="24"/>
              </w:rPr>
            </w:pPr>
            <w:r w:rsidRPr="00021789">
              <w:rPr>
                <w:rStyle w:val="Nagwek1Znak"/>
                <w:rFonts w:asciiTheme="minorHAnsi" w:hAnsiTheme="minorHAnsi"/>
                <w:szCs w:val="24"/>
              </w:rPr>
              <w:t>ROBOTY PRZYGOTOWAWCZE</w:t>
            </w:r>
          </w:p>
        </w:tc>
        <w:tc>
          <w:tcPr>
            <w:tcW w:w="581" w:type="dxa"/>
            <w:vAlign w:val="center"/>
          </w:tcPr>
          <w:p w14:paraId="00D18D25" w14:textId="77777777" w:rsidR="00D35D7F" w:rsidRPr="00021789" w:rsidRDefault="00E416B6" w:rsidP="0036153D">
            <w:pPr>
              <w:pStyle w:val="Pro-Inwest"/>
              <w:rPr>
                <w:rStyle w:val="Nagwek1Znak"/>
                <w:rFonts w:asciiTheme="minorHAnsi" w:hAnsiTheme="minorHAnsi"/>
                <w:szCs w:val="24"/>
              </w:rPr>
            </w:pPr>
            <w:r w:rsidRPr="00021789">
              <w:rPr>
                <w:rStyle w:val="Nagwek1Znak"/>
                <w:rFonts w:asciiTheme="minorHAnsi" w:hAnsiTheme="minorHAnsi"/>
                <w:szCs w:val="24"/>
              </w:rPr>
              <w:t>13</w:t>
            </w:r>
          </w:p>
        </w:tc>
      </w:tr>
      <w:tr w:rsidR="00021789" w:rsidRPr="00021789" w14:paraId="44B1CFFF" w14:textId="77777777" w:rsidTr="00781203">
        <w:tc>
          <w:tcPr>
            <w:tcW w:w="1395" w:type="dxa"/>
            <w:shd w:val="clear" w:color="auto" w:fill="auto"/>
            <w:vAlign w:val="center"/>
          </w:tcPr>
          <w:p w14:paraId="30CDD941" w14:textId="77777777" w:rsidR="00D35D7F" w:rsidRPr="00021789" w:rsidRDefault="00D35D7F" w:rsidP="0036153D">
            <w:pPr>
              <w:pStyle w:val="Pro-Inwest"/>
              <w:rPr>
                <w:rStyle w:val="Nagwek1Znak"/>
                <w:rFonts w:asciiTheme="minorHAnsi" w:hAnsiTheme="minorHAnsi"/>
                <w:b w:val="0"/>
                <w:szCs w:val="24"/>
              </w:rPr>
            </w:pPr>
            <w:r w:rsidRPr="00021789">
              <w:rPr>
                <w:rStyle w:val="Nagwek1Znak"/>
                <w:rFonts w:asciiTheme="minorHAnsi" w:hAnsiTheme="minorHAnsi"/>
                <w:b w:val="0"/>
                <w:szCs w:val="24"/>
              </w:rPr>
              <w:t>D.01.01.01</w:t>
            </w:r>
          </w:p>
        </w:tc>
        <w:tc>
          <w:tcPr>
            <w:tcW w:w="7312" w:type="dxa"/>
            <w:shd w:val="clear" w:color="auto" w:fill="auto"/>
            <w:vAlign w:val="center"/>
          </w:tcPr>
          <w:p w14:paraId="641468D0" w14:textId="77777777" w:rsidR="00D35D7F" w:rsidRPr="00021789" w:rsidRDefault="00D35D7F" w:rsidP="0036153D">
            <w:pPr>
              <w:pStyle w:val="Pro-Inwest"/>
              <w:rPr>
                <w:rStyle w:val="Nagwek1Znak"/>
                <w:rFonts w:asciiTheme="minorHAnsi" w:hAnsiTheme="minorHAnsi"/>
                <w:b w:val="0"/>
                <w:szCs w:val="24"/>
              </w:rPr>
            </w:pPr>
            <w:r w:rsidRPr="00021789">
              <w:rPr>
                <w:rStyle w:val="Nagwek1Znak"/>
                <w:rFonts w:asciiTheme="minorHAnsi" w:hAnsiTheme="minorHAnsi"/>
                <w:b w:val="0"/>
                <w:szCs w:val="24"/>
              </w:rPr>
              <w:t>Odtworzenie trasy i punktów wysokościowych</w:t>
            </w:r>
          </w:p>
        </w:tc>
        <w:tc>
          <w:tcPr>
            <w:tcW w:w="581" w:type="dxa"/>
            <w:vAlign w:val="center"/>
          </w:tcPr>
          <w:p w14:paraId="7E05EF14" w14:textId="77777777" w:rsidR="00D35D7F" w:rsidRPr="00021789" w:rsidRDefault="00E416B6" w:rsidP="0036153D">
            <w:pPr>
              <w:pStyle w:val="Pro-Inwest"/>
              <w:rPr>
                <w:rStyle w:val="Nagwek1Znak"/>
                <w:rFonts w:asciiTheme="minorHAnsi" w:hAnsiTheme="minorHAnsi"/>
                <w:b w:val="0"/>
                <w:szCs w:val="24"/>
              </w:rPr>
            </w:pPr>
            <w:r w:rsidRPr="00021789">
              <w:rPr>
                <w:rStyle w:val="Nagwek1Znak"/>
                <w:rFonts w:asciiTheme="minorHAnsi" w:hAnsiTheme="minorHAnsi"/>
                <w:b w:val="0"/>
                <w:szCs w:val="24"/>
              </w:rPr>
              <w:t>13</w:t>
            </w:r>
          </w:p>
        </w:tc>
      </w:tr>
      <w:tr w:rsidR="00021789" w:rsidRPr="00021789" w14:paraId="381207A3" w14:textId="77777777" w:rsidTr="00781203">
        <w:tc>
          <w:tcPr>
            <w:tcW w:w="1395" w:type="dxa"/>
            <w:shd w:val="clear" w:color="auto" w:fill="auto"/>
            <w:vAlign w:val="center"/>
          </w:tcPr>
          <w:p w14:paraId="74853BAE" w14:textId="77777777" w:rsidR="00EB5953" w:rsidRPr="00021789" w:rsidRDefault="00EB5953" w:rsidP="00325C7C">
            <w:pPr>
              <w:pStyle w:val="Pro-Inwest"/>
              <w:rPr>
                <w:rStyle w:val="Nagwek1Znak"/>
                <w:rFonts w:asciiTheme="minorHAnsi" w:hAnsiTheme="minorHAnsi"/>
                <w:b w:val="0"/>
                <w:szCs w:val="24"/>
              </w:rPr>
            </w:pPr>
            <w:r w:rsidRPr="00021789">
              <w:rPr>
                <w:rStyle w:val="Nagwek1Znak"/>
                <w:rFonts w:asciiTheme="minorHAnsi" w:hAnsiTheme="minorHAnsi"/>
                <w:b w:val="0"/>
                <w:szCs w:val="24"/>
              </w:rPr>
              <w:t>D.01.02.04</w:t>
            </w:r>
          </w:p>
        </w:tc>
        <w:tc>
          <w:tcPr>
            <w:tcW w:w="7312" w:type="dxa"/>
            <w:shd w:val="clear" w:color="auto" w:fill="auto"/>
            <w:vAlign w:val="center"/>
          </w:tcPr>
          <w:p w14:paraId="364F7E71" w14:textId="77777777" w:rsidR="00EB5953" w:rsidRPr="00021789" w:rsidRDefault="00EB5953" w:rsidP="0036153D">
            <w:pPr>
              <w:pStyle w:val="Pro-Inwest"/>
              <w:rPr>
                <w:rStyle w:val="Nagwek1Znak"/>
                <w:rFonts w:asciiTheme="minorHAnsi" w:hAnsiTheme="minorHAnsi"/>
                <w:b w:val="0"/>
                <w:szCs w:val="24"/>
              </w:rPr>
            </w:pPr>
            <w:r w:rsidRPr="00021789">
              <w:rPr>
                <w:rStyle w:val="Nagwek1Znak"/>
                <w:rFonts w:asciiTheme="minorHAnsi" w:hAnsiTheme="minorHAnsi"/>
                <w:b w:val="0"/>
                <w:szCs w:val="24"/>
              </w:rPr>
              <w:t>Rozbiórka elementów dróg</w:t>
            </w:r>
          </w:p>
        </w:tc>
        <w:tc>
          <w:tcPr>
            <w:tcW w:w="581" w:type="dxa"/>
            <w:vAlign w:val="center"/>
          </w:tcPr>
          <w:p w14:paraId="22B29530" w14:textId="77777777" w:rsidR="00EB5953" w:rsidRPr="00021789" w:rsidRDefault="00181ACA" w:rsidP="0036153D">
            <w:pPr>
              <w:pStyle w:val="Pro-Inwest"/>
              <w:rPr>
                <w:rStyle w:val="Nagwek1Znak"/>
                <w:rFonts w:asciiTheme="minorHAnsi" w:hAnsiTheme="minorHAnsi"/>
                <w:b w:val="0"/>
                <w:szCs w:val="24"/>
              </w:rPr>
            </w:pPr>
            <w:r w:rsidRPr="00021789">
              <w:rPr>
                <w:rStyle w:val="Nagwek1Znak"/>
                <w:rFonts w:asciiTheme="minorHAnsi" w:hAnsiTheme="minorHAnsi"/>
                <w:b w:val="0"/>
                <w:szCs w:val="24"/>
              </w:rPr>
              <w:t>1</w:t>
            </w:r>
            <w:r w:rsidR="009E4FD9" w:rsidRPr="00021789">
              <w:rPr>
                <w:rStyle w:val="Nagwek1Znak"/>
                <w:rFonts w:asciiTheme="minorHAnsi" w:hAnsiTheme="minorHAnsi"/>
                <w:b w:val="0"/>
                <w:szCs w:val="24"/>
              </w:rPr>
              <w:t>6</w:t>
            </w:r>
          </w:p>
        </w:tc>
      </w:tr>
      <w:tr w:rsidR="00021789" w:rsidRPr="00021789" w14:paraId="621FA239" w14:textId="77777777" w:rsidTr="00781203">
        <w:tc>
          <w:tcPr>
            <w:tcW w:w="1395" w:type="dxa"/>
            <w:shd w:val="clear" w:color="auto" w:fill="auto"/>
            <w:vAlign w:val="center"/>
          </w:tcPr>
          <w:p w14:paraId="26BBD0B5" w14:textId="77777777" w:rsidR="00955C35" w:rsidRPr="00021789" w:rsidRDefault="00955C35" w:rsidP="00955C35">
            <w:pPr>
              <w:pStyle w:val="Pro-Inwest"/>
              <w:rPr>
                <w:rStyle w:val="Nagwek1Znak"/>
                <w:rFonts w:asciiTheme="minorHAnsi" w:hAnsiTheme="minorHAnsi"/>
                <w:b w:val="0"/>
                <w:szCs w:val="24"/>
              </w:rPr>
            </w:pPr>
            <w:r w:rsidRPr="00021789">
              <w:rPr>
                <w:rStyle w:val="Nagwek1Znak"/>
                <w:rFonts w:asciiTheme="minorHAnsi" w:hAnsiTheme="minorHAnsi"/>
                <w:szCs w:val="24"/>
              </w:rPr>
              <w:t>D.02.00.01</w:t>
            </w:r>
          </w:p>
        </w:tc>
        <w:tc>
          <w:tcPr>
            <w:tcW w:w="7312" w:type="dxa"/>
            <w:shd w:val="clear" w:color="auto" w:fill="auto"/>
            <w:vAlign w:val="center"/>
          </w:tcPr>
          <w:p w14:paraId="0E427717" w14:textId="77777777" w:rsidR="00955C35" w:rsidRPr="00021789" w:rsidRDefault="00955C35" w:rsidP="00955C35">
            <w:pPr>
              <w:pStyle w:val="Pro-Inwest"/>
              <w:rPr>
                <w:rStyle w:val="Nagwek1Znak"/>
                <w:rFonts w:asciiTheme="minorHAnsi" w:hAnsiTheme="minorHAnsi"/>
                <w:szCs w:val="24"/>
              </w:rPr>
            </w:pPr>
            <w:r w:rsidRPr="00021789">
              <w:rPr>
                <w:rStyle w:val="Nagwek1Znak"/>
                <w:rFonts w:asciiTheme="minorHAnsi" w:hAnsiTheme="minorHAnsi"/>
                <w:szCs w:val="24"/>
              </w:rPr>
              <w:t>ROBOTY ZIEMNE – WYMAGANIA OGÓLNE</w:t>
            </w:r>
          </w:p>
        </w:tc>
        <w:tc>
          <w:tcPr>
            <w:tcW w:w="581" w:type="dxa"/>
            <w:vAlign w:val="center"/>
          </w:tcPr>
          <w:p w14:paraId="26DF5DD6" w14:textId="77777777" w:rsidR="00955C35" w:rsidRPr="00021789" w:rsidRDefault="009E4FD9" w:rsidP="00955C35">
            <w:pPr>
              <w:pStyle w:val="Pro-Inwest"/>
              <w:rPr>
                <w:rStyle w:val="Nagwek1Znak"/>
                <w:rFonts w:asciiTheme="minorHAnsi" w:hAnsiTheme="minorHAnsi"/>
                <w:szCs w:val="24"/>
              </w:rPr>
            </w:pPr>
            <w:r w:rsidRPr="00021789">
              <w:rPr>
                <w:rStyle w:val="Nagwek1Znak"/>
                <w:rFonts w:asciiTheme="minorHAnsi" w:hAnsiTheme="minorHAnsi"/>
                <w:szCs w:val="24"/>
              </w:rPr>
              <w:t>19</w:t>
            </w:r>
          </w:p>
        </w:tc>
      </w:tr>
      <w:tr w:rsidR="00021789" w:rsidRPr="00021789" w14:paraId="7B1091EF" w14:textId="77777777" w:rsidTr="00781203">
        <w:tc>
          <w:tcPr>
            <w:tcW w:w="1395" w:type="dxa"/>
            <w:shd w:val="clear" w:color="auto" w:fill="auto"/>
            <w:vAlign w:val="center"/>
          </w:tcPr>
          <w:p w14:paraId="729F497C" w14:textId="77777777" w:rsidR="005E26AE" w:rsidRPr="00021789" w:rsidRDefault="005E26AE" w:rsidP="005E26AE">
            <w:pPr>
              <w:pStyle w:val="Pro-Inwest"/>
              <w:rPr>
                <w:rStyle w:val="Nagwek1Znak"/>
                <w:rFonts w:asciiTheme="minorHAnsi" w:hAnsiTheme="minorHAnsi"/>
                <w:szCs w:val="24"/>
              </w:rPr>
            </w:pPr>
            <w:r w:rsidRPr="00021789">
              <w:rPr>
                <w:rStyle w:val="Nagwek1Znak"/>
                <w:rFonts w:asciiTheme="minorHAnsi" w:hAnsiTheme="minorHAnsi"/>
                <w:szCs w:val="24"/>
              </w:rPr>
              <w:t>D.04.00.00</w:t>
            </w:r>
          </w:p>
        </w:tc>
        <w:tc>
          <w:tcPr>
            <w:tcW w:w="7312" w:type="dxa"/>
            <w:shd w:val="clear" w:color="auto" w:fill="auto"/>
            <w:vAlign w:val="center"/>
          </w:tcPr>
          <w:p w14:paraId="63D2FFA6" w14:textId="77777777" w:rsidR="005E26AE" w:rsidRPr="00021789" w:rsidRDefault="005E26AE" w:rsidP="005E26AE">
            <w:pPr>
              <w:pStyle w:val="Pro-Inwest"/>
              <w:rPr>
                <w:rStyle w:val="Nagwek1Znak"/>
                <w:rFonts w:asciiTheme="minorHAnsi" w:hAnsiTheme="minorHAnsi"/>
                <w:szCs w:val="24"/>
              </w:rPr>
            </w:pPr>
            <w:r w:rsidRPr="00021789">
              <w:rPr>
                <w:rStyle w:val="Nagwek1Znak"/>
                <w:rFonts w:asciiTheme="minorHAnsi" w:hAnsiTheme="minorHAnsi"/>
                <w:szCs w:val="24"/>
              </w:rPr>
              <w:t>PODBUDOWY</w:t>
            </w:r>
          </w:p>
        </w:tc>
        <w:tc>
          <w:tcPr>
            <w:tcW w:w="581" w:type="dxa"/>
            <w:vAlign w:val="center"/>
          </w:tcPr>
          <w:p w14:paraId="30A668D5" w14:textId="2C09ED7D" w:rsidR="005E26AE" w:rsidRPr="00021789" w:rsidRDefault="00021789" w:rsidP="005E26AE">
            <w:pPr>
              <w:pStyle w:val="Pro-Inwest"/>
              <w:rPr>
                <w:rStyle w:val="Nagwek1Znak"/>
                <w:rFonts w:asciiTheme="minorHAnsi" w:hAnsiTheme="minorHAnsi"/>
                <w:szCs w:val="24"/>
              </w:rPr>
            </w:pPr>
            <w:r w:rsidRPr="00021789">
              <w:rPr>
                <w:rStyle w:val="Nagwek1Znak"/>
                <w:rFonts w:asciiTheme="minorHAnsi" w:hAnsiTheme="minorHAnsi"/>
                <w:szCs w:val="24"/>
              </w:rPr>
              <w:t>37</w:t>
            </w:r>
          </w:p>
        </w:tc>
      </w:tr>
      <w:tr w:rsidR="00021789" w:rsidRPr="00021789" w14:paraId="54848B8E" w14:textId="77777777" w:rsidTr="00781203">
        <w:tc>
          <w:tcPr>
            <w:tcW w:w="1395" w:type="dxa"/>
            <w:shd w:val="clear" w:color="auto" w:fill="auto"/>
            <w:vAlign w:val="center"/>
          </w:tcPr>
          <w:p w14:paraId="45BB86DE" w14:textId="77777777"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b w:val="0"/>
                <w:szCs w:val="24"/>
              </w:rPr>
              <w:t>D.04.01.01</w:t>
            </w:r>
          </w:p>
        </w:tc>
        <w:tc>
          <w:tcPr>
            <w:tcW w:w="7312" w:type="dxa"/>
            <w:shd w:val="clear" w:color="auto" w:fill="auto"/>
            <w:vAlign w:val="center"/>
          </w:tcPr>
          <w:p w14:paraId="4631D507" w14:textId="77777777"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b w:val="0"/>
                <w:szCs w:val="24"/>
              </w:rPr>
              <w:t xml:space="preserve">Koryto wraz z profilowaniem i zagęszczaniem podłoża </w:t>
            </w:r>
          </w:p>
        </w:tc>
        <w:tc>
          <w:tcPr>
            <w:tcW w:w="581" w:type="dxa"/>
            <w:vAlign w:val="center"/>
          </w:tcPr>
          <w:p w14:paraId="00C65A58" w14:textId="13949AB5" w:rsidR="005E26AE" w:rsidRPr="00021789" w:rsidRDefault="00021789" w:rsidP="005E26AE">
            <w:pPr>
              <w:pStyle w:val="Pro-Inwest"/>
              <w:rPr>
                <w:rStyle w:val="Nagwek1Znak"/>
                <w:rFonts w:asciiTheme="minorHAnsi" w:hAnsiTheme="minorHAnsi"/>
                <w:b w:val="0"/>
                <w:szCs w:val="24"/>
              </w:rPr>
            </w:pPr>
            <w:r w:rsidRPr="00021789">
              <w:rPr>
                <w:rStyle w:val="Nagwek1Znak"/>
                <w:rFonts w:asciiTheme="minorHAnsi" w:hAnsiTheme="minorHAnsi"/>
                <w:b w:val="0"/>
                <w:szCs w:val="24"/>
              </w:rPr>
              <w:t>37</w:t>
            </w:r>
          </w:p>
        </w:tc>
      </w:tr>
      <w:tr w:rsidR="00021789" w:rsidRPr="00021789" w14:paraId="54D75897" w14:textId="77777777" w:rsidTr="00781203">
        <w:tc>
          <w:tcPr>
            <w:tcW w:w="1395" w:type="dxa"/>
            <w:shd w:val="clear" w:color="auto" w:fill="auto"/>
            <w:vAlign w:val="center"/>
          </w:tcPr>
          <w:p w14:paraId="005E028C" w14:textId="61DA8879"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b w:val="0"/>
                <w:szCs w:val="24"/>
              </w:rPr>
              <w:t>D.04.02.</w:t>
            </w:r>
            <w:r w:rsidRPr="00021789">
              <w:rPr>
                <w:rStyle w:val="Nagwek1Znak"/>
                <w:rFonts w:asciiTheme="minorHAnsi" w:hAnsiTheme="minorHAnsi" w:cstheme="minorHAnsi"/>
                <w:b w:val="0"/>
                <w:szCs w:val="24"/>
              </w:rPr>
              <w:t>01a</w:t>
            </w:r>
          </w:p>
        </w:tc>
        <w:tc>
          <w:tcPr>
            <w:tcW w:w="7312" w:type="dxa"/>
            <w:shd w:val="clear" w:color="auto" w:fill="auto"/>
            <w:vAlign w:val="center"/>
          </w:tcPr>
          <w:p w14:paraId="3194603E" w14:textId="17B262AD"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cstheme="minorHAnsi"/>
                <w:b w:val="0"/>
                <w:szCs w:val="24"/>
              </w:rPr>
              <w:t xml:space="preserve">Warstwa </w:t>
            </w:r>
            <w:proofErr w:type="spellStart"/>
            <w:r w:rsidRPr="00021789">
              <w:rPr>
                <w:rStyle w:val="Nagwek1Znak"/>
                <w:rFonts w:asciiTheme="minorHAnsi" w:hAnsiTheme="minorHAnsi" w:cstheme="minorHAnsi"/>
                <w:b w:val="0"/>
                <w:szCs w:val="24"/>
              </w:rPr>
              <w:t>separacyjno</w:t>
            </w:r>
            <w:proofErr w:type="spellEnd"/>
            <w:r w:rsidRPr="00021789">
              <w:rPr>
                <w:rStyle w:val="Nagwek1Znak"/>
                <w:rFonts w:asciiTheme="minorHAnsi" w:hAnsiTheme="minorHAnsi" w:cstheme="minorHAnsi"/>
                <w:b w:val="0"/>
                <w:szCs w:val="24"/>
              </w:rPr>
              <w:t xml:space="preserve"> - wzmacniająca z </w:t>
            </w:r>
            <w:proofErr w:type="spellStart"/>
            <w:r w:rsidRPr="00021789">
              <w:rPr>
                <w:rStyle w:val="Nagwek1Znak"/>
                <w:rFonts w:asciiTheme="minorHAnsi" w:hAnsiTheme="minorHAnsi" w:cstheme="minorHAnsi"/>
                <w:b w:val="0"/>
                <w:szCs w:val="24"/>
              </w:rPr>
              <w:t>geosyntetyku</w:t>
            </w:r>
            <w:proofErr w:type="spellEnd"/>
          </w:p>
        </w:tc>
        <w:tc>
          <w:tcPr>
            <w:tcW w:w="581" w:type="dxa"/>
            <w:vAlign w:val="center"/>
          </w:tcPr>
          <w:p w14:paraId="243D0AE2" w14:textId="5C2486C7"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b w:val="0"/>
                <w:szCs w:val="24"/>
              </w:rPr>
              <w:t>4</w:t>
            </w:r>
            <w:r w:rsidR="00021789" w:rsidRPr="00021789">
              <w:rPr>
                <w:rStyle w:val="Nagwek1Znak"/>
                <w:rFonts w:asciiTheme="minorHAnsi" w:hAnsiTheme="minorHAnsi"/>
                <w:b w:val="0"/>
                <w:szCs w:val="24"/>
              </w:rPr>
              <w:t>0</w:t>
            </w:r>
          </w:p>
        </w:tc>
      </w:tr>
      <w:tr w:rsidR="00021789" w:rsidRPr="00021789" w14:paraId="4D17887D" w14:textId="77777777" w:rsidTr="00781203">
        <w:tc>
          <w:tcPr>
            <w:tcW w:w="1395" w:type="dxa"/>
            <w:shd w:val="clear" w:color="auto" w:fill="auto"/>
            <w:vAlign w:val="center"/>
          </w:tcPr>
          <w:p w14:paraId="7FC72A91" w14:textId="6B6A7D9D"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b w:val="0"/>
                <w:szCs w:val="24"/>
              </w:rPr>
              <w:t>D.04.02.02</w:t>
            </w:r>
          </w:p>
        </w:tc>
        <w:tc>
          <w:tcPr>
            <w:tcW w:w="7312" w:type="dxa"/>
            <w:shd w:val="clear" w:color="auto" w:fill="auto"/>
            <w:vAlign w:val="center"/>
          </w:tcPr>
          <w:p w14:paraId="16B8EDBF" w14:textId="05ECDD86"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b w:val="0"/>
                <w:szCs w:val="24"/>
              </w:rPr>
              <w:t xml:space="preserve">Warstwa </w:t>
            </w:r>
            <w:proofErr w:type="spellStart"/>
            <w:r w:rsidRPr="00021789">
              <w:rPr>
                <w:rStyle w:val="Nagwek1Znak"/>
                <w:rFonts w:asciiTheme="minorHAnsi" w:hAnsiTheme="minorHAnsi" w:cstheme="minorHAnsi"/>
                <w:b w:val="0"/>
                <w:szCs w:val="24"/>
              </w:rPr>
              <w:t>mrozochronna</w:t>
            </w:r>
            <w:proofErr w:type="spellEnd"/>
            <w:r w:rsidR="00021789" w:rsidRPr="00021789">
              <w:rPr>
                <w:rStyle w:val="Nagwek1Znak"/>
                <w:rFonts w:asciiTheme="minorHAnsi" w:hAnsiTheme="minorHAnsi" w:cstheme="minorHAnsi"/>
                <w:b w:val="0"/>
                <w:szCs w:val="24"/>
              </w:rPr>
              <w:t>/ odsączająca</w:t>
            </w:r>
          </w:p>
        </w:tc>
        <w:tc>
          <w:tcPr>
            <w:tcW w:w="581" w:type="dxa"/>
            <w:vAlign w:val="center"/>
          </w:tcPr>
          <w:p w14:paraId="4F856F9C" w14:textId="25AA8260" w:rsidR="005E26AE" w:rsidRPr="00FC634A" w:rsidRDefault="00021789" w:rsidP="005E26AE">
            <w:pPr>
              <w:pStyle w:val="Pro-Inwest"/>
              <w:rPr>
                <w:rStyle w:val="Nagwek1Znak"/>
                <w:rFonts w:asciiTheme="minorHAnsi" w:hAnsiTheme="minorHAnsi"/>
                <w:b w:val="0"/>
                <w:szCs w:val="24"/>
              </w:rPr>
            </w:pPr>
            <w:r w:rsidRPr="00FC634A">
              <w:rPr>
                <w:rStyle w:val="Nagwek1Znak"/>
                <w:rFonts w:asciiTheme="minorHAnsi" w:hAnsiTheme="minorHAnsi"/>
                <w:b w:val="0"/>
                <w:szCs w:val="24"/>
              </w:rPr>
              <w:t>43</w:t>
            </w:r>
          </w:p>
        </w:tc>
      </w:tr>
      <w:tr w:rsidR="00021789" w:rsidRPr="00021789" w14:paraId="08462DEE" w14:textId="77777777" w:rsidTr="00781203">
        <w:tc>
          <w:tcPr>
            <w:tcW w:w="1395" w:type="dxa"/>
            <w:shd w:val="clear" w:color="auto" w:fill="auto"/>
            <w:vAlign w:val="center"/>
          </w:tcPr>
          <w:p w14:paraId="1ADC14EE" w14:textId="1B3326F2"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b w:val="0"/>
                <w:szCs w:val="24"/>
              </w:rPr>
              <w:t>D.04.04.02</w:t>
            </w:r>
          </w:p>
        </w:tc>
        <w:tc>
          <w:tcPr>
            <w:tcW w:w="7312" w:type="dxa"/>
            <w:shd w:val="clear" w:color="auto" w:fill="auto"/>
            <w:vAlign w:val="center"/>
          </w:tcPr>
          <w:p w14:paraId="081BA90F" w14:textId="1469C697"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b w:val="0"/>
                <w:szCs w:val="24"/>
              </w:rPr>
              <w:t>Podbudowa zasadnicza z mieszanki niezwiązanej</w:t>
            </w:r>
          </w:p>
        </w:tc>
        <w:tc>
          <w:tcPr>
            <w:tcW w:w="581" w:type="dxa"/>
            <w:vAlign w:val="center"/>
          </w:tcPr>
          <w:p w14:paraId="28315993" w14:textId="0A4D1432" w:rsidR="005E26AE" w:rsidRPr="00E33361" w:rsidRDefault="00E33361" w:rsidP="005E26AE">
            <w:pPr>
              <w:pStyle w:val="Pro-Inwest"/>
              <w:rPr>
                <w:rStyle w:val="Nagwek1Znak"/>
                <w:rFonts w:asciiTheme="minorHAnsi" w:hAnsiTheme="minorHAnsi"/>
                <w:b w:val="0"/>
                <w:szCs w:val="24"/>
              </w:rPr>
            </w:pPr>
            <w:r w:rsidRPr="00E33361">
              <w:rPr>
                <w:rStyle w:val="Nagwek1Znak"/>
                <w:rFonts w:asciiTheme="minorHAnsi" w:hAnsiTheme="minorHAnsi"/>
                <w:b w:val="0"/>
                <w:szCs w:val="24"/>
              </w:rPr>
              <w:t>54</w:t>
            </w:r>
          </w:p>
        </w:tc>
      </w:tr>
      <w:tr w:rsidR="00021789" w:rsidRPr="00021789" w14:paraId="787C275A" w14:textId="77777777" w:rsidTr="00781203">
        <w:tc>
          <w:tcPr>
            <w:tcW w:w="1395" w:type="dxa"/>
            <w:shd w:val="clear" w:color="auto" w:fill="auto"/>
            <w:vAlign w:val="center"/>
          </w:tcPr>
          <w:p w14:paraId="075CA88E" w14:textId="77777777" w:rsidR="005E26AE" w:rsidRPr="00021789" w:rsidRDefault="005E26AE" w:rsidP="005E26AE">
            <w:pPr>
              <w:pStyle w:val="Pro-Inwest"/>
              <w:rPr>
                <w:rStyle w:val="Nagwek1Znak"/>
                <w:rFonts w:asciiTheme="minorHAnsi" w:hAnsiTheme="minorHAnsi"/>
                <w:szCs w:val="24"/>
              </w:rPr>
            </w:pPr>
            <w:r w:rsidRPr="00021789">
              <w:rPr>
                <w:rStyle w:val="Nagwek1Znak"/>
                <w:rFonts w:asciiTheme="minorHAnsi" w:hAnsiTheme="minorHAnsi"/>
                <w:szCs w:val="24"/>
              </w:rPr>
              <w:t>D.05.00.00</w:t>
            </w:r>
          </w:p>
        </w:tc>
        <w:tc>
          <w:tcPr>
            <w:tcW w:w="7312" w:type="dxa"/>
            <w:shd w:val="clear" w:color="auto" w:fill="auto"/>
            <w:vAlign w:val="center"/>
          </w:tcPr>
          <w:p w14:paraId="08BAFFB2" w14:textId="77777777" w:rsidR="005E26AE" w:rsidRPr="00021789" w:rsidRDefault="005E26AE" w:rsidP="005E26AE">
            <w:pPr>
              <w:pStyle w:val="Pro-Inwest"/>
              <w:rPr>
                <w:rStyle w:val="Nagwek1Znak"/>
                <w:rFonts w:asciiTheme="minorHAnsi" w:hAnsiTheme="minorHAnsi"/>
                <w:szCs w:val="24"/>
              </w:rPr>
            </w:pPr>
            <w:r w:rsidRPr="00021789">
              <w:rPr>
                <w:rStyle w:val="Nagwek1Znak"/>
                <w:rFonts w:asciiTheme="minorHAnsi" w:hAnsiTheme="minorHAnsi"/>
                <w:szCs w:val="24"/>
              </w:rPr>
              <w:t>NAWIERZCHNIE</w:t>
            </w:r>
          </w:p>
        </w:tc>
        <w:tc>
          <w:tcPr>
            <w:tcW w:w="581" w:type="dxa"/>
            <w:vAlign w:val="center"/>
          </w:tcPr>
          <w:p w14:paraId="08EFF44F" w14:textId="6BF61FA6" w:rsidR="005E26AE" w:rsidRPr="00FA7F06" w:rsidRDefault="00FA7F06" w:rsidP="005E26AE">
            <w:pPr>
              <w:pStyle w:val="Pro-Inwest"/>
              <w:rPr>
                <w:rStyle w:val="Nagwek1Znak"/>
                <w:rFonts w:asciiTheme="minorHAnsi" w:hAnsiTheme="minorHAnsi"/>
                <w:szCs w:val="24"/>
              </w:rPr>
            </w:pPr>
            <w:r w:rsidRPr="00FA7F06">
              <w:rPr>
                <w:rStyle w:val="Nagwek1Znak"/>
                <w:rFonts w:asciiTheme="minorHAnsi" w:hAnsiTheme="minorHAnsi"/>
                <w:szCs w:val="24"/>
              </w:rPr>
              <w:t>69</w:t>
            </w:r>
          </w:p>
        </w:tc>
      </w:tr>
      <w:tr w:rsidR="00021789" w:rsidRPr="00021789" w14:paraId="2C9BF4DD" w14:textId="77777777" w:rsidTr="00781203">
        <w:tc>
          <w:tcPr>
            <w:tcW w:w="1395" w:type="dxa"/>
            <w:shd w:val="clear" w:color="auto" w:fill="auto"/>
            <w:vAlign w:val="center"/>
          </w:tcPr>
          <w:p w14:paraId="4711B7B0" w14:textId="37D3C927" w:rsidR="005E26AE" w:rsidRPr="00021789" w:rsidRDefault="005E26AE" w:rsidP="005E26AE">
            <w:pPr>
              <w:pStyle w:val="Pro-Inwest"/>
              <w:rPr>
                <w:rStyle w:val="Nagwek1Znak"/>
                <w:rFonts w:asciiTheme="minorHAnsi" w:hAnsiTheme="minorHAnsi"/>
                <w:szCs w:val="24"/>
              </w:rPr>
            </w:pPr>
            <w:r w:rsidRPr="00021789">
              <w:rPr>
                <w:rStyle w:val="Nagwek1Znak"/>
                <w:rFonts w:asciiTheme="minorHAnsi" w:hAnsiTheme="minorHAnsi"/>
                <w:b w:val="0"/>
                <w:szCs w:val="24"/>
              </w:rPr>
              <w:t>D.05.02.01</w:t>
            </w:r>
          </w:p>
        </w:tc>
        <w:tc>
          <w:tcPr>
            <w:tcW w:w="7312" w:type="dxa"/>
            <w:shd w:val="clear" w:color="auto" w:fill="auto"/>
            <w:vAlign w:val="center"/>
          </w:tcPr>
          <w:p w14:paraId="0DC0C617" w14:textId="0B951952" w:rsidR="005E26AE" w:rsidRPr="00021789" w:rsidRDefault="005E26AE" w:rsidP="005E26AE">
            <w:pPr>
              <w:pStyle w:val="Pro-Inwest"/>
              <w:rPr>
                <w:rStyle w:val="Nagwek1Znak"/>
                <w:rFonts w:asciiTheme="minorHAnsi" w:hAnsiTheme="minorHAnsi"/>
                <w:b w:val="0"/>
                <w:bCs w:val="0"/>
                <w:szCs w:val="24"/>
              </w:rPr>
            </w:pPr>
            <w:r w:rsidRPr="00021789">
              <w:rPr>
                <w:rStyle w:val="Nagwek1Znak"/>
                <w:rFonts w:asciiTheme="minorHAnsi" w:hAnsiTheme="minorHAnsi"/>
                <w:b w:val="0"/>
                <w:bCs w:val="0"/>
                <w:szCs w:val="24"/>
              </w:rPr>
              <w:t>Nawierzchnia mineralna z użyciem naturalnego środka wiążącego. Nawierzchnia wodoprzepuszczalna</w:t>
            </w:r>
          </w:p>
        </w:tc>
        <w:tc>
          <w:tcPr>
            <w:tcW w:w="581" w:type="dxa"/>
            <w:vAlign w:val="center"/>
          </w:tcPr>
          <w:p w14:paraId="377C0A17" w14:textId="363C348D" w:rsidR="005E26AE" w:rsidRPr="00FA7F06" w:rsidRDefault="00FA7F06" w:rsidP="005E26AE">
            <w:pPr>
              <w:pStyle w:val="Pro-Inwest"/>
              <w:rPr>
                <w:rStyle w:val="Nagwek1Znak"/>
                <w:rFonts w:asciiTheme="minorHAnsi" w:hAnsiTheme="minorHAnsi"/>
                <w:szCs w:val="24"/>
              </w:rPr>
            </w:pPr>
            <w:r w:rsidRPr="00FA7F06">
              <w:rPr>
                <w:rStyle w:val="Nagwek1Znak"/>
                <w:rFonts w:asciiTheme="minorHAnsi" w:hAnsiTheme="minorHAnsi"/>
                <w:b w:val="0"/>
                <w:szCs w:val="24"/>
              </w:rPr>
              <w:t>69</w:t>
            </w:r>
          </w:p>
        </w:tc>
      </w:tr>
      <w:tr w:rsidR="00021789" w:rsidRPr="00021789" w14:paraId="2061EED6" w14:textId="77777777" w:rsidTr="00781203">
        <w:tc>
          <w:tcPr>
            <w:tcW w:w="1395" w:type="dxa"/>
            <w:shd w:val="clear" w:color="auto" w:fill="auto"/>
            <w:vAlign w:val="center"/>
          </w:tcPr>
          <w:p w14:paraId="25A8831B" w14:textId="7BD7B2EA" w:rsidR="005E26AE" w:rsidRPr="00021789" w:rsidRDefault="005E26AE" w:rsidP="005E26AE">
            <w:pPr>
              <w:pStyle w:val="Pro-Inwest"/>
              <w:rPr>
                <w:rStyle w:val="Nagwek1Znak"/>
                <w:rFonts w:asciiTheme="minorHAnsi" w:hAnsiTheme="minorHAnsi"/>
                <w:szCs w:val="24"/>
              </w:rPr>
            </w:pPr>
            <w:r w:rsidRPr="00021789">
              <w:rPr>
                <w:rStyle w:val="Nagwek1Znak"/>
                <w:rFonts w:asciiTheme="minorHAnsi" w:hAnsiTheme="minorHAnsi"/>
                <w:b w:val="0"/>
                <w:szCs w:val="24"/>
              </w:rPr>
              <w:t>D.05.03.01</w:t>
            </w:r>
          </w:p>
        </w:tc>
        <w:tc>
          <w:tcPr>
            <w:tcW w:w="7312" w:type="dxa"/>
            <w:shd w:val="clear" w:color="auto" w:fill="auto"/>
            <w:vAlign w:val="center"/>
          </w:tcPr>
          <w:p w14:paraId="4CBA5EC0" w14:textId="6680E447" w:rsidR="005E26AE" w:rsidRPr="00021789" w:rsidRDefault="005E26AE" w:rsidP="005E26AE">
            <w:pPr>
              <w:pStyle w:val="Pro-Inwest"/>
              <w:rPr>
                <w:rStyle w:val="Nagwek1Znak"/>
                <w:rFonts w:asciiTheme="minorHAnsi" w:hAnsiTheme="minorHAnsi"/>
                <w:szCs w:val="24"/>
              </w:rPr>
            </w:pPr>
            <w:r w:rsidRPr="00021789">
              <w:rPr>
                <w:rFonts w:asciiTheme="minorHAnsi" w:hAnsiTheme="minorHAnsi"/>
              </w:rPr>
              <w:t>Nawierzchnia z kostki kamiennej</w:t>
            </w:r>
          </w:p>
        </w:tc>
        <w:tc>
          <w:tcPr>
            <w:tcW w:w="581" w:type="dxa"/>
            <w:vAlign w:val="center"/>
          </w:tcPr>
          <w:p w14:paraId="24D1D194" w14:textId="4AEC8320" w:rsidR="005E26AE" w:rsidRPr="00FA7F06" w:rsidRDefault="00AF6417" w:rsidP="005E26AE">
            <w:pPr>
              <w:pStyle w:val="Pro-Inwest"/>
              <w:rPr>
                <w:rStyle w:val="Nagwek1Znak"/>
                <w:rFonts w:asciiTheme="minorHAnsi" w:hAnsiTheme="minorHAnsi"/>
                <w:szCs w:val="24"/>
              </w:rPr>
            </w:pPr>
            <w:r w:rsidRPr="00FA7F06">
              <w:rPr>
                <w:rStyle w:val="Nagwek1Znak"/>
                <w:rFonts w:asciiTheme="minorHAnsi" w:hAnsiTheme="minorHAnsi"/>
                <w:b w:val="0"/>
                <w:szCs w:val="24"/>
              </w:rPr>
              <w:t>7</w:t>
            </w:r>
            <w:r w:rsidR="00FA7F06" w:rsidRPr="00FA7F06">
              <w:rPr>
                <w:rStyle w:val="Nagwek1Znak"/>
                <w:rFonts w:asciiTheme="minorHAnsi" w:hAnsiTheme="minorHAnsi"/>
                <w:b w:val="0"/>
                <w:szCs w:val="24"/>
              </w:rPr>
              <w:t>2</w:t>
            </w:r>
          </w:p>
        </w:tc>
      </w:tr>
      <w:tr w:rsidR="00021789" w:rsidRPr="00021789" w14:paraId="4DCDD76D" w14:textId="77777777" w:rsidTr="00781203">
        <w:tc>
          <w:tcPr>
            <w:tcW w:w="1395" w:type="dxa"/>
            <w:shd w:val="clear" w:color="auto" w:fill="auto"/>
            <w:vAlign w:val="center"/>
          </w:tcPr>
          <w:p w14:paraId="30C44862" w14:textId="77777777" w:rsidR="005E26AE" w:rsidRPr="00021789" w:rsidRDefault="005E26AE" w:rsidP="005E26AE">
            <w:pPr>
              <w:pStyle w:val="Pro-Inwest"/>
              <w:rPr>
                <w:rStyle w:val="Nagwek1Znak"/>
                <w:rFonts w:asciiTheme="minorHAnsi" w:hAnsiTheme="minorHAnsi"/>
                <w:szCs w:val="24"/>
              </w:rPr>
            </w:pPr>
            <w:r w:rsidRPr="00021789">
              <w:rPr>
                <w:rStyle w:val="Nagwek1Znak"/>
                <w:rFonts w:asciiTheme="minorHAnsi" w:hAnsiTheme="minorHAnsi"/>
                <w:szCs w:val="24"/>
              </w:rPr>
              <w:t>D.07.00.00</w:t>
            </w:r>
          </w:p>
        </w:tc>
        <w:tc>
          <w:tcPr>
            <w:tcW w:w="7312" w:type="dxa"/>
            <w:shd w:val="clear" w:color="auto" w:fill="auto"/>
            <w:vAlign w:val="center"/>
          </w:tcPr>
          <w:p w14:paraId="7519A3F3" w14:textId="77777777" w:rsidR="005E26AE" w:rsidRPr="00021789" w:rsidRDefault="005E26AE" w:rsidP="005E26AE">
            <w:pPr>
              <w:pStyle w:val="Pro-Inwest"/>
              <w:rPr>
                <w:rStyle w:val="Nagwek1Znak"/>
                <w:rFonts w:asciiTheme="minorHAnsi" w:hAnsiTheme="minorHAnsi"/>
                <w:szCs w:val="24"/>
              </w:rPr>
            </w:pPr>
            <w:r w:rsidRPr="00021789">
              <w:rPr>
                <w:rStyle w:val="Nagwek1Znak"/>
                <w:rFonts w:asciiTheme="minorHAnsi" w:hAnsiTheme="minorHAnsi"/>
                <w:szCs w:val="24"/>
              </w:rPr>
              <w:t>URZĄDZENIA BEZPIECZEŃSTWA RUCHU</w:t>
            </w:r>
          </w:p>
        </w:tc>
        <w:tc>
          <w:tcPr>
            <w:tcW w:w="581" w:type="dxa"/>
            <w:vAlign w:val="center"/>
          </w:tcPr>
          <w:p w14:paraId="73B3A500" w14:textId="1C015594" w:rsidR="005E26AE" w:rsidRPr="00FA7F06" w:rsidRDefault="00FA7F06" w:rsidP="005E26AE">
            <w:pPr>
              <w:pStyle w:val="Pro-Inwest"/>
              <w:rPr>
                <w:rStyle w:val="Nagwek1Znak"/>
                <w:rFonts w:asciiTheme="minorHAnsi" w:hAnsiTheme="minorHAnsi"/>
                <w:szCs w:val="24"/>
              </w:rPr>
            </w:pPr>
            <w:r w:rsidRPr="00FA7F06">
              <w:rPr>
                <w:rStyle w:val="Nagwek1Znak"/>
                <w:rFonts w:asciiTheme="minorHAnsi" w:hAnsiTheme="minorHAnsi"/>
                <w:szCs w:val="24"/>
              </w:rPr>
              <w:t>80</w:t>
            </w:r>
          </w:p>
        </w:tc>
      </w:tr>
      <w:tr w:rsidR="00021789" w:rsidRPr="00021789" w14:paraId="3D32CF29" w14:textId="77777777" w:rsidTr="00781203">
        <w:tc>
          <w:tcPr>
            <w:tcW w:w="1395" w:type="dxa"/>
            <w:shd w:val="clear" w:color="auto" w:fill="auto"/>
            <w:vAlign w:val="center"/>
          </w:tcPr>
          <w:p w14:paraId="6CCE5620" w14:textId="77777777"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b w:val="0"/>
                <w:szCs w:val="24"/>
              </w:rPr>
              <w:t>D.07.01.01</w:t>
            </w:r>
          </w:p>
        </w:tc>
        <w:tc>
          <w:tcPr>
            <w:tcW w:w="7312" w:type="dxa"/>
            <w:shd w:val="clear" w:color="auto" w:fill="auto"/>
            <w:vAlign w:val="center"/>
          </w:tcPr>
          <w:p w14:paraId="42CAE82F" w14:textId="77777777" w:rsidR="005E26AE" w:rsidRPr="00021789" w:rsidRDefault="005E26AE" w:rsidP="005E26AE">
            <w:pPr>
              <w:pStyle w:val="Pro-Inwest"/>
              <w:rPr>
                <w:rFonts w:asciiTheme="minorHAnsi" w:hAnsiTheme="minorHAnsi"/>
              </w:rPr>
            </w:pPr>
            <w:r w:rsidRPr="00021789">
              <w:rPr>
                <w:rFonts w:asciiTheme="minorHAnsi" w:hAnsiTheme="minorHAnsi"/>
              </w:rPr>
              <w:t>Oznakowanie poziome</w:t>
            </w:r>
          </w:p>
        </w:tc>
        <w:tc>
          <w:tcPr>
            <w:tcW w:w="581" w:type="dxa"/>
            <w:vAlign w:val="center"/>
          </w:tcPr>
          <w:p w14:paraId="7D3A35E7" w14:textId="27B24E4C" w:rsidR="005E26AE" w:rsidRPr="00FA7F06" w:rsidRDefault="00FA7F06" w:rsidP="005E26AE">
            <w:pPr>
              <w:pStyle w:val="Pro-Inwest"/>
              <w:rPr>
                <w:rStyle w:val="Nagwek1Znak"/>
                <w:rFonts w:asciiTheme="minorHAnsi" w:hAnsiTheme="minorHAnsi"/>
                <w:b w:val="0"/>
                <w:szCs w:val="24"/>
              </w:rPr>
            </w:pPr>
            <w:r w:rsidRPr="00FA7F06">
              <w:rPr>
                <w:rStyle w:val="Nagwek1Znak"/>
                <w:rFonts w:asciiTheme="minorHAnsi" w:hAnsiTheme="minorHAnsi"/>
                <w:b w:val="0"/>
                <w:szCs w:val="24"/>
              </w:rPr>
              <w:t>80</w:t>
            </w:r>
          </w:p>
        </w:tc>
      </w:tr>
      <w:tr w:rsidR="00021789" w:rsidRPr="00021789" w14:paraId="6CC75ED0" w14:textId="77777777" w:rsidTr="00781203">
        <w:tc>
          <w:tcPr>
            <w:tcW w:w="1395" w:type="dxa"/>
            <w:shd w:val="clear" w:color="auto" w:fill="auto"/>
            <w:vAlign w:val="center"/>
          </w:tcPr>
          <w:p w14:paraId="614235A1" w14:textId="77777777"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b w:val="0"/>
                <w:szCs w:val="24"/>
              </w:rPr>
              <w:t>D.07.02.01</w:t>
            </w:r>
          </w:p>
        </w:tc>
        <w:tc>
          <w:tcPr>
            <w:tcW w:w="7312" w:type="dxa"/>
            <w:shd w:val="clear" w:color="auto" w:fill="auto"/>
            <w:vAlign w:val="center"/>
          </w:tcPr>
          <w:p w14:paraId="4410443E" w14:textId="77777777" w:rsidR="005E26AE" w:rsidRPr="00021789" w:rsidRDefault="005E26AE" w:rsidP="005E26AE">
            <w:pPr>
              <w:pStyle w:val="Pro-Inwest"/>
              <w:rPr>
                <w:rFonts w:asciiTheme="minorHAnsi" w:hAnsiTheme="minorHAnsi"/>
              </w:rPr>
            </w:pPr>
            <w:r w:rsidRPr="00021789">
              <w:rPr>
                <w:rFonts w:asciiTheme="minorHAnsi" w:hAnsiTheme="minorHAnsi"/>
              </w:rPr>
              <w:t>Oznakowanie pionowe</w:t>
            </w:r>
          </w:p>
        </w:tc>
        <w:tc>
          <w:tcPr>
            <w:tcW w:w="581" w:type="dxa"/>
            <w:vAlign w:val="center"/>
          </w:tcPr>
          <w:p w14:paraId="3F16E7CC" w14:textId="714A5E85" w:rsidR="005E26AE" w:rsidRPr="007D03F5" w:rsidRDefault="007D03F5" w:rsidP="005E26AE">
            <w:pPr>
              <w:pStyle w:val="Pro-Inwest"/>
              <w:rPr>
                <w:rStyle w:val="Nagwek1Znak"/>
                <w:rFonts w:asciiTheme="minorHAnsi" w:hAnsiTheme="minorHAnsi"/>
                <w:b w:val="0"/>
                <w:szCs w:val="24"/>
              </w:rPr>
            </w:pPr>
            <w:r w:rsidRPr="007D03F5">
              <w:rPr>
                <w:rStyle w:val="Nagwek1Znak"/>
                <w:rFonts w:asciiTheme="minorHAnsi" w:hAnsiTheme="minorHAnsi"/>
                <w:b w:val="0"/>
                <w:szCs w:val="24"/>
              </w:rPr>
              <w:t>88</w:t>
            </w:r>
          </w:p>
        </w:tc>
      </w:tr>
      <w:tr w:rsidR="00021789" w:rsidRPr="00021789" w14:paraId="692CCFB8" w14:textId="77777777" w:rsidTr="00781203">
        <w:tc>
          <w:tcPr>
            <w:tcW w:w="1395" w:type="dxa"/>
            <w:vAlign w:val="center"/>
          </w:tcPr>
          <w:p w14:paraId="378D4C5F" w14:textId="77777777" w:rsidR="005E26AE" w:rsidRPr="00021789" w:rsidRDefault="005E26AE" w:rsidP="005E26AE">
            <w:pPr>
              <w:pStyle w:val="Pro-Inwest"/>
              <w:rPr>
                <w:rStyle w:val="Nagwek1Znak"/>
                <w:rFonts w:asciiTheme="minorHAnsi" w:hAnsiTheme="minorHAnsi"/>
                <w:b w:val="0"/>
                <w:szCs w:val="24"/>
              </w:rPr>
            </w:pPr>
            <w:r w:rsidRPr="00021789">
              <w:rPr>
                <w:rStyle w:val="Nagwek1Znak"/>
                <w:rFonts w:asciiTheme="minorHAnsi" w:hAnsiTheme="minorHAnsi"/>
                <w:szCs w:val="24"/>
              </w:rPr>
              <w:t>D.08.00.00</w:t>
            </w:r>
          </w:p>
        </w:tc>
        <w:tc>
          <w:tcPr>
            <w:tcW w:w="7312" w:type="dxa"/>
            <w:vAlign w:val="center"/>
          </w:tcPr>
          <w:p w14:paraId="42B7A743" w14:textId="77777777" w:rsidR="005E26AE" w:rsidRPr="00021789" w:rsidRDefault="005E26AE" w:rsidP="005E26AE">
            <w:pPr>
              <w:pStyle w:val="Pro-Inwest"/>
              <w:rPr>
                <w:rFonts w:asciiTheme="minorHAnsi" w:hAnsiTheme="minorHAnsi"/>
                <w:b/>
              </w:rPr>
            </w:pPr>
            <w:r w:rsidRPr="00021789">
              <w:rPr>
                <w:rFonts w:asciiTheme="minorHAnsi" w:hAnsiTheme="minorHAnsi"/>
                <w:b/>
              </w:rPr>
              <w:t>ELEMENTY ULIC</w:t>
            </w:r>
          </w:p>
        </w:tc>
        <w:tc>
          <w:tcPr>
            <w:tcW w:w="581" w:type="dxa"/>
            <w:vAlign w:val="center"/>
          </w:tcPr>
          <w:p w14:paraId="1A988B83" w14:textId="260E21FB" w:rsidR="005E26AE" w:rsidRPr="007D03F5" w:rsidRDefault="007D03F5" w:rsidP="005E26AE">
            <w:pPr>
              <w:pStyle w:val="Pro-Inwest"/>
              <w:rPr>
                <w:rStyle w:val="Nagwek1Znak"/>
                <w:rFonts w:asciiTheme="minorHAnsi" w:hAnsiTheme="minorHAnsi"/>
                <w:szCs w:val="24"/>
              </w:rPr>
            </w:pPr>
            <w:r w:rsidRPr="007D03F5">
              <w:rPr>
                <w:rStyle w:val="Nagwek1Znak"/>
                <w:rFonts w:asciiTheme="minorHAnsi" w:hAnsiTheme="minorHAnsi"/>
                <w:szCs w:val="24"/>
              </w:rPr>
              <w:t>98</w:t>
            </w:r>
          </w:p>
        </w:tc>
      </w:tr>
      <w:tr w:rsidR="00021789" w:rsidRPr="00021789" w14:paraId="29725C0C" w14:textId="77777777" w:rsidTr="00781203">
        <w:tc>
          <w:tcPr>
            <w:tcW w:w="1395" w:type="dxa"/>
            <w:vAlign w:val="center"/>
          </w:tcPr>
          <w:p w14:paraId="7729A958" w14:textId="0B1E8D0C" w:rsidR="005E26AE" w:rsidRPr="00021789" w:rsidRDefault="005E26AE" w:rsidP="005E26AE">
            <w:pPr>
              <w:pStyle w:val="Pro-Inwest"/>
              <w:rPr>
                <w:rStyle w:val="Nagwek1Znak"/>
                <w:rFonts w:asciiTheme="minorHAnsi" w:hAnsiTheme="minorHAnsi" w:cstheme="minorHAnsi"/>
                <w:b w:val="0"/>
                <w:szCs w:val="24"/>
              </w:rPr>
            </w:pPr>
            <w:r w:rsidRPr="00021789">
              <w:rPr>
                <w:rStyle w:val="Nagwek1Znak"/>
                <w:rFonts w:asciiTheme="minorHAnsi" w:hAnsiTheme="minorHAnsi" w:cstheme="minorHAnsi"/>
                <w:b w:val="0"/>
                <w:szCs w:val="24"/>
              </w:rPr>
              <w:t>D.08.01.0</w:t>
            </w:r>
            <w:r w:rsidR="006F2C0F" w:rsidRPr="00021789">
              <w:rPr>
                <w:rStyle w:val="Nagwek1Znak"/>
                <w:rFonts w:asciiTheme="minorHAnsi" w:hAnsiTheme="minorHAnsi" w:cstheme="minorHAnsi"/>
                <w:b w:val="0"/>
                <w:szCs w:val="24"/>
              </w:rPr>
              <w:t>2</w:t>
            </w:r>
          </w:p>
        </w:tc>
        <w:tc>
          <w:tcPr>
            <w:tcW w:w="7312" w:type="dxa"/>
            <w:vAlign w:val="center"/>
          </w:tcPr>
          <w:p w14:paraId="14529D91" w14:textId="50428A2E" w:rsidR="005E26AE" w:rsidRPr="00021789" w:rsidRDefault="005E26AE" w:rsidP="005E26AE">
            <w:pPr>
              <w:pStyle w:val="Pro-Inwest"/>
              <w:rPr>
                <w:rFonts w:asciiTheme="minorHAnsi" w:hAnsiTheme="minorHAnsi" w:cstheme="minorHAnsi"/>
              </w:rPr>
            </w:pPr>
            <w:r w:rsidRPr="00021789">
              <w:rPr>
                <w:rFonts w:asciiTheme="minorHAnsi" w:hAnsiTheme="minorHAnsi" w:cstheme="minorHAnsi"/>
              </w:rPr>
              <w:t xml:space="preserve">Krawężniki </w:t>
            </w:r>
            <w:r w:rsidR="006F2C0F" w:rsidRPr="00021789">
              <w:rPr>
                <w:rFonts w:asciiTheme="minorHAnsi" w:hAnsiTheme="minorHAnsi" w:cstheme="minorHAnsi"/>
              </w:rPr>
              <w:t>i oporniki kamienne</w:t>
            </w:r>
          </w:p>
        </w:tc>
        <w:tc>
          <w:tcPr>
            <w:tcW w:w="581" w:type="dxa"/>
            <w:vAlign w:val="center"/>
          </w:tcPr>
          <w:p w14:paraId="40737C3F" w14:textId="232AAE2D" w:rsidR="005E26AE" w:rsidRPr="007D03F5" w:rsidRDefault="007D03F5" w:rsidP="005E26AE">
            <w:pPr>
              <w:pStyle w:val="Pro-Inwest"/>
              <w:rPr>
                <w:rStyle w:val="Nagwek1Znak"/>
                <w:rFonts w:asciiTheme="minorHAnsi" w:hAnsiTheme="minorHAnsi"/>
                <w:b w:val="0"/>
                <w:szCs w:val="24"/>
              </w:rPr>
            </w:pPr>
            <w:r w:rsidRPr="007D03F5">
              <w:rPr>
                <w:rStyle w:val="Nagwek1Znak"/>
                <w:rFonts w:asciiTheme="minorHAnsi" w:hAnsiTheme="minorHAnsi"/>
                <w:b w:val="0"/>
                <w:szCs w:val="24"/>
              </w:rPr>
              <w:t>98</w:t>
            </w:r>
          </w:p>
        </w:tc>
      </w:tr>
      <w:tr w:rsidR="00021789" w:rsidRPr="00021789" w14:paraId="726DADBF" w14:textId="77777777" w:rsidTr="00781203">
        <w:tc>
          <w:tcPr>
            <w:tcW w:w="1395" w:type="dxa"/>
            <w:vAlign w:val="center"/>
          </w:tcPr>
          <w:p w14:paraId="23420610" w14:textId="1DD7B972" w:rsidR="005E26AE" w:rsidRPr="00021789" w:rsidRDefault="005E26AE" w:rsidP="005E26AE">
            <w:pPr>
              <w:pStyle w:val="Pro-Inwest"/>
              <w:rPr>
                <w:rStyle w:val="Nagwek1Znak"/>
                <w:rFonts w:asciiTheme="minorHAnsi" w:hAnsiTheme="minorHAnsi" w:cstheme="minorHAnsi"/>
                <w:b w:val="0"/>
                <w:szCs w:val="24"/>
              </w:rPr>
            </w:pPr>
            <w:r w:rsidRPr="00021789">
              <w:rPr>
                <w:rStyle w:val="Nagwek1Znak"/>
                <w:rFonts w:asciiTheme="minorHAnsi" w:hAnsiTheme="minorHAnsi" w:cstheme="minorHAnsi"/>
                <w:b w:val="0"/>
                <w:szCs w:val="24"/>
              </w:rPr>
              <w:t>D.08.03.02</w:t>
            </w:r>
          </w:p>
        </w:tc>
        <w:tc>
          <w:tcPr>
            <w:tcW w:w="7312" w:type="dxa"/>
            <w:vAlign w:val="center"/>
          </w:tcPr>
          <w:p w14:paraId="36EF5527" w14:textId="7F1F04B3" w:rsidR="005E26AE" w:rsidRPr="00021789" w:rsidRDefault="005E26AE" w:rsidP="005E26AE">
            <w:pPr>
              <w:pStyle w:val="Pro-Inwest"/>
              <w:rPr>
                <w:rFonts w:asciiTheme="minorHAnsi" w:hAnsiTheme="minorHAnsi" w:cstheme="minorHAnsi"/>
              </w:rPr>
            </w:pPr>
            <w:r w:rsidRPr="00021789">
              <w:rPr>
                <w:rFonts w:asciiTheme="minorHAnsi" w:hAnsiTheme="minorHAnsi" w:cstheme="minorHAnsi"/>
              </w:rPr>
              <w:t>Obrzeża kamienne</w:t>
            </w:r>
          </w:p>
        </w:tc>
        <w:tc>
          <w:tcPr>
            <w:tcW w:w="581" w:type="dxa"/>
            <w:vAlign w:val="center"/>
          </w:tcPr>
          <w:p w14:paraId="16A27BA2" w14:textId="46232E01" w:rsidR="005E26AE" w:rsidRPr="007D03F5" w:rsidRDefault="005E26AE" w:rsidP="005E26AE">
            <w:pPr>
              <w:pStyle w:val="Pro-Inwest"/>
              <w:rPr>
                <w:rStyle w:val="Nagwek1Znak"/>
                <w:rFonts w:asciiTheme="minorHAnsi" w:hAnsiTheme="minorHAnsi" w:cstheme="minorHAnsi"/>
                <w:b w:val="0"/>
                <w:szCs w:val="24"/>
              </w:rPr>
            </w:pPr>
            <w:r w:rsidRPr="007D03F5">
              <w:rPr>
                <w:rStyle w:val="Nagwek1Znak"/>
                <w:rFonts w:asciiTheme="minorHAnsi" w:hAnsiTheme="minorHAnsi" w:cstheme="minorHAnsi"/>
                <w:b w:val="0"/>
                <w:szCs w:val="24"/>
              </w:rPr>
              <w:t>1</w:t>
            </w:r>
            <w:r w:rsidR="007D03F5" w:rsidRPr="007D03F5">
              <w:rPr>
                <w:rStyle w:val="Nagwek1Znak"/>
                <w:rFonts w:asciiTheme="minorHAnsi" w:hAnsiTheme="minorHAnsi" w:cstheme="minorHAnsi"/>
                <w:b w:val="0"/>
                <w:szCs w:val="24"/>
              </w:rPr>
              <w:t>0</w:t>
            </w:r>
            <w:r w:rsidR="00962978" w:rsidRPr="007D03F5">
              <w:rPr>
                <w:rStyle w:val="Nagwek1Znak"/>
                <w:rFonts w:asciiTheme="minorHAnsi" w:hAnsiTheme="minorHAnsi" w:cstheme="minorHAnsi"/>
                <w:b w:val="0"/>
                <w:szCs w:val="24"/>
              </w:rPr>
              <w:t>1</w:t>
            </w:r>
          </w:p>
        </w:tc>
      </w:tr>
      <w:tr w:rsidR="00021789" w:rsidRPr="00021789" w14:paraId="2B743C06" w14:textId="77777777" w:rsidTr="00781203">
        <w:tc>
          <w:tcPr>
            <w:tcW w:w="1395" w:type="dxa"/>
            <w:vAlign w:val="center"/>
          </w:tcPr>
          <w:p w14:paraId="23E6D55C" w14:textId="55125282" w:rsidR="00021789" w:rsidRPr="00021789" w:rsidRDefault="00021789" w:rsidP="00021789">
            <w:pPr>
              <w:pStyle w:val="Pro-Inwest"/>
              <w:rPr>
                <w:rStyle w:val="Nagwek1Znak"/>
                <w:rFonts w:asciiTheme="minorHAnsi" w:hAnsiTheme="minorHAnsi" w:cstheme="minorHAnsi"/>
                <w:b w:val="0"/>
                <w:szCs w:val="24"/>
              </w:rPr>
            </w:pPr>
            <w:r w:rsidRPr="00021789">
              <w:rPr>
                <w:rStyle w:val="Nagwek1Znak"/>
                <w:rFonts w:asciiTheme="minorHAnsi" w:hAnsiTheme="minorHAnsi" w:cstheme="minorHAnsi"/>
                <w:b w:val="0"/>
                <w:szCs w:val="24"/>
              </w:rPr>
              <w:t>D.08.0</w:t>
            </w:r>
            <w:r>
              <w:rPr>
                <w:rStyle w:val="Nagwek1Znak"/>
                <w:rFonts w:asciiTheme="minorHAnsi" w:hAnsiTheme="minorHAnsi" w:cstheme="minorHAnsi"/>
                <w:b w:val="0"/>
                <w:szCs w:val="24"/>
              </w:rPr>
              <w:t>5</w:t>
            </w:r>
            <w:r w:rsidRPr="00021789">
              <w:rPr>
                <w:rStyle w:val="Nagwek1Znak"/>
                <w:rFonts w:asciiTheme="minorHAnsi" w:hAnsiTheme="minorHAnsi" w:cstheme="minorHAnsi"/>
                <w:b w:val="0"/>
                <w:szCs w:val="24"/>
              </w:rPr>
              <w:t>.0</w:t>
            </w:r>
            <w:r>
              <w:rPr>
                <w:rStyle w:val="Nagwek1Znak"/>
                <w:rFonts w:asciiTheme="minorHAnsi" w:hAnsiTheme="minorHAnsi" w:cstheme="minorHAnsi"/>
                <w:b w:val="0"/>
                <w:szCs w:val="24"/>
              </w:rPr>
              <w:t>3</w:t>
            </w:r>
          </w:p>
        </w:tc>
        <w:tc>
          <w:tcPr>
            <w:tcW w:w="7312" w:type="dxa"/>
            <w:vAlign w:val="center"/>
          </w:tcPr>
          <w:p w14:paraId="6993DE32" w14:textId="1065B9AD" w:rsidR="00021789" w:rsidRPr="00021789" w:rsidRDefault="00021789" w:rsidP="00021789">
            <w:pPr>
              <w:pStyle w:val="Pro-Inwest"/>
              <w:rPr>
                <w:rFonts w:asciiTheme="minorHAnsi" w:hAnsiTheme="minorHAnsi" w:cstheme="minorHAnsi"/>
              </w:rPr>
            </w:pPr>
            <w:r w:rsidRPr="00021789">
              <w:rPr>
                <w:rFonts w:asciiTheme="minorHAnsi" w:hAnsiTheme="minorHAnsi" w:cstheme="minorHAnsi"/>
              </w:rPr>
              <w:t>Ścieki z kostki kamiennej</w:t>
            </w:r>
          </w:p>
        </w:tc>
        <w:tc>
          <w:tcPr>
            <w:tcW w:w="581" w:type="dxa"/>
            <w:vAlign w:val="center"/>
          </w:tcPr>
          <w:p w14:paraId="68C011B5" w14:textId="605923E3" w:rsidR="00021789" w:rsidRPr="00B75FB1" w:rsidRDefault="00021789" w:rsidP="00021789">
            <w:pPr>
              <w:pStyle w:val="Pro-Inwest"/>
              <w:rPr>
                <w:rStyle w:val="Nagwek1Znak"/>
                <w:rFonts w:asciiTheme="minorHAnsi" w:hAnsiTheme="minorHAnsi" w:cstheme="minorHAnsi"/>
                <w:b w:val="0"/>
                <w:szCs w:val="24"/>
              </w:rPr>
            </w:pPr>
            <w:r w:rsidRPr="00B75FB1">
              <w:rPr>
                <w:rStyle w:val="Nagwek1Znak"/>
                <w:rFonts w:asciiTheme="minorHAnsi" w:hAnsiTheme="minorHAnsi" w:cstheme="minorHAnsi"/>
                <w:b w:val="0"/>
                <w:szCs w:val="24"/>
              </w:rPr>
              <w:t>1</w:t>
            </w:r>
            <w:r w:rsidR="00B75FB1" w:rsidRPr="00B75FB1">
              <w:rPr>
                <w:rStyle w:val="Nagwek1Znak"/>
                <w:rFonts w:asciiTheme="minorHAnsi" w:hAnsiTheme="minorHAnsi" w:cstheme="minorHAnsi"/>
                <w:b w:val="0"/>
                <w:szCs w:val="24"/>
              </w:rPr>
              <w:t>05</w:t>
            </w:r>
          </w:p>
        </w:tc>
      </w:tr>
      <w:tr w:rsidR="00021789" w:rsidRPr="00021789" w14:paraId="54D744CF" w14:textId="77777777" w:rsidTr="00781203">
        <w:tc>
          <w:tcPr>
            <w:tcW w:w="1395" w:type="dxa"/>
            <w:vAlign w:val="center"/>
          </w:tcPr>
          <w:p w14:paraId="74AF658E" w14:textId="5CE30EB0" w:rsidR="00021789" w:rsidRPr="00021789" w:rsidRDefault="00021789" w:rsidP="00021789">
            <w:pPr>
              <w:pStyle w:val="Pro-Inwest"/>
              <w:rPr>
                <w:rStyle w:val="Nagwek1Znak"/>
                <w:rFonts w:asciiTheme="minorHAnsi" w:hAnsiTheme="minorHAnsi" w:cstheme="minorHAnsi"/>
                <w:b w:val="0"/>
                <w:szCs w:val="24"/>
              </w:rPr>
            </w:pPr>
            <w:r w:rsidRPr="00021789">
              <w:rPr>
                <w:rStyle w:val="Nagwek1Znak"/>
                <w:rFonts w:asciiTheme="minorHAnsi" w:hAnsiTheme="minorHAnsi" w:cstheme="minorHAnsi"/>
                <w:b w:val="0"/>
                <w:szCs w:val="24"/>
              </w:rPr>
              <w:t>D.08.06.01</w:t>
            </w:r>
          </w:p>
        </w:tc>
        <w:tc>
          <w:tcPr>
            <w:tcW w:w="7312" w:type="dxa"/>
            <w:vAlign w:val="center"/>
          </w:tcPr>
          <w:p w14:paraId="07D7EB74" w14:textId="0C6EB420" w:rsidR="00021789" w:rsidRPr="00021789" w:rsidRDefault="00021789" w:rsidP="00021789">
            <w:pPr>
              <w:pStyle w:val="Pro-Inwest"/>
              <w:rPr>
                <w:rFonts w:asciiTheme="minorHAnsi" w:hAnsiTheme="minorHAnsi" w:cstheme="minorHAnsi"/>
                <w:bCs/>
              </w:rPr>
            </w:pPr>
            <w:r w:rsidRPr="00021789">
              <w:rPr>
                <w:rFonts w:asciiTheme="minorHAnsi" w:hAnsiTheme="minorHAnsi" w:cstheme="minorHAnsi"/>
                <w:bCs/>
              </w:rPr>
              <w:t>O</w:t>
            </w:r>
            <w:r w:rsidRPr="00021789">
              <w:rPr>
                <w:rFonts w:asciiTheme="minorHAnsi" w:hAnsiTheme="minorHAnsi" w:cstheme="minorHAnsi"/>
              </w:rPr>
              <w:t>bramowanie chodników listwami stalowymi</w:t>
            </w:r>
          </w:p>
        </w:tc>
        <w:tc>
          <w:tcPr>
            <w:tcW w:w="581" w:type="dxa"/>
            <w:vAlign w:val="center"/>
          </w:tcPr>
          <w:p w14:paraId="01708627" w14:textId="02A9E667" w:rsidR="00021789" w:rsidRPr="007D4A73" w:rsidRDefault="00021789" w:rsidP="00021789">
            <w:pPr>
              <w:pStyle w:val="Pro-Inwest"/>
              <w:rPr>
                <w:rStyle w:val="Nagwek1Znak"/>
                <w:rFonts w:asciiTheme="minorHAnsi" w:hAnsiTheme="minorHAnsi"/>
                <w:b w:val="0"/>
                <w:szCs w:val="24"/>
              </w:rPr>
            </w:pPr>
            <w:r w:rsidRPr="007D4A73">
              <w:rPr>
                <w:rStyle w:val="Nagwek1Znak"/>
                <w:rFonts w:asciiTheme="minorHAnsi" w:hAnsiTheme="minorHAnsi"/>
                <w:b w:val="0"/>
                <w:szCs w:val="24"/>
              </w:rPr>
              <w:t>1</w:t>
            </w:r>
            <w:r w:rsidR="007D4A73" w:rsidRPr="007D4A73">
              <w:rPr>
                <w:rStyle w:val="Nagwek1Znak"/>
                <w:rFonts w:asciiTheme="minorHAnsi" w:hAnsiTheme="minorHAnsi"/>
                <w:b w:val="0"/>
                <w:szCs w:val="24"/>
              </w:rPr>
              <w:t>08</w:t>
            </w:r>
          </w:p>
        </w:tc>
      </w:tr>
    </w:tbl>
    <w:p w14:paraId="61778D58" w14:textId="77777777" w:rsidR="00D35D7F" w:rsidRPr="00021789" w:rsidRDefault="00D35D7F" w:rsidP="00D35D7F">
      <w:pPr>
        <w:pStyle w:val="Pro-Inwest"/>
        <w:rPr>
          <w:rStyle w:val="Nagwek1Znak"/>
          <w:b w:val="0"/>
          <w:color w:val="FF0000"/>
          <w:szCs w:val="24"/>
        </w:rPr>
      </w:pPr>
    </w:p>
    <w:p w14:paraId="42764D99" w14:textId="77777777" w:rsidR="00D35D7F" w:rsidRPr="00021789" w:rsidRDefault="00D35D7F" w:rsidP="00D35D7F">
      <w:pPr>
        <w:pStyle w:val="Pro-Inwest"/>
        <w:rPr>
          <w:rStyle w:val="Nagwek1Znak"/>
          <w:b w:val="0"/>
          <w:color w:val="FF0000"/>
          <w:szCs w:val="24"/>
        </w:rPr>
      </w:pPr>
    </w:p>
    <w:p w14:paraId="4F8BBE3F" w14:textId="77777777" w:rsidR="00276B96" w:rsidRPr="00021789" w:rsidRDefault="00276B96" w:rsidP="00D35D7F">
      <w:pPr>
        <w:pStyle w:val="Pro-Inwest"/>
        <w:rPr>
          <w:rStyle w:val="Nagwek1Znak"/>
          <w:b w:val="0"/>
          <w:color w:val="FF0000"/>
          <w:szCs w:val="24"/>
        </w:rPr>
      </w:pPr>
    </w:p>
    <w:p w14:paraId="3F0E64A8" w14:textId="77777777" w:rsidR="008F2319" w:rsidRPr="00021789" w:rsidRDefault="008F2319" w:rsidP="00D35D7F">
      <w:pPr>
        <w:pStyle w:val="Pro-Inwest"/>
        <w:rPr>
          <w:rStyle w:val="Nagwek1Znak"/>
          <w:b w:val="0"/>
          <w:color w:val="FF0000"/>
          <w:szCs w:val="24"/>
        </w:rPr>
      </w:pPr>
    </w:p>
    <w:p w14:paraId="26385ED8" w14:textId="77777777" w:rsidR="008F2319" w:rsidRPr="00021789" w:rsidRDefault="008F2319" w:rsidP="00D35D7F">
      <w:pPr>
        <w:pStyle w:val="Pro-Inwest"/>
        <w:rPr>
          <w:rStyle w:val="Nagwek1Znak"/>
          <w:b w:val="0"/>
          <w:color w:val="FF0000"/>
          <w:szCs w:val="24"/>
        </w:rPr>
      </w:pPr>
    </w:p>
    <w:p w14:paraId="5B9B47D4" w14:textId="77777777" w:rsidR="008F2319" w:rsidRPr="00021789" w:rsidRDefault="008F2319" w:rsidP="00D35D7F">
      <w:pPr>
        <w:pStyle w:val="Pro-Inwest"/>
        <w:rPr>
          <w:rStyle w:val="Nagwek1Znak"/>
          <w:b w:val="0"/>
          <w:color w:val="FF0000"/>
          <w:szCs w:val="24"/>
        </w:rPr>
      </w:pPr>
    </w:p>
    <w:p w14:paraId="6F1F752B" w14:textId="77777777" w:rsidR="008F2319" w:rsidRPr="00021789" w:rsidRDefault="008F2319" w:rsidP="00D35D7F">
      <w:pPr>
        <w:pStyle w:val="Pro-Inwest"/>
        <w:rPr>
          <w:rStyle w:val="Nagwek1Znak"/>
          <w:b w:val="0"/>
          <w:color w:val="FF0000"/>
          <w:szCs w:val="24"/>
        </w:rPr>
      </w:pPr>
    </w:p>
    <w:p w14:paraId="24DED4B4" w14:textId="77777777" w:rsidR="00B44BB7" w:rsidRPr="00021789" w:rsidRDefault="00B44BB7" w:rsidP="00D35D7F">
      <w:pPr>
        <w:pStyle w:val="Pro-Inwest"/>
        <w:rPr>
          <w:rStyle w:val="Nagwek1Znak"/>
          <w:b w:val="0"/>
          <w:color w:val="FF0000"/>
          <w:szCs w:val="24"/>
        </w:rPr>
      </w:pPr>
    </w:p>
    <w:p w14:paraId="1392CE64" w14:textId="77777777" w:rsidR="00B44BB7" w:rsidRPr="00021789" w:rsidRDefault="00B44BB7" w:rsidP="00D35D7F">
      <w:pPr>
        <w:pStyle w:val="Pro-Inwest"/>
        <w:rPr>
          <w:rStyle w:val="Nagwek1Znak"/>
          <w:b w:val="0"/>
          <w:color w:val="FF0000"/>
          <w:szCs w:val="24"/>
        </w:rPr>
      </w:pPr>
    </w:p>
    <w:p w14:paraId="0204935F" w14:textId="77777777" w:rsidR="00B44BB7" w:rsidRPr="00021789" w:rsidRDefault="00B44BB7" w:rsidP="00D35D7F">
      <w:pPr>
        <w:pStyle w:val="Pro-Inwest"/>
        <w:rPr>
          <w:rStyle w:val="Nagwek1Znak"/>
          <w:b w:val="0"/>
          <w:color w:val="FF0000"/>
          <w:szCs w:val="24"/>
        </w:rPr>
      </w:pPr>
    </w:p>
    <w:p w14:paraId="04964A1B" w14:textId="77777777" w:rsidR="00B44BB7" w:rsidRPr="00021789" w:rsidRDefault="00B44BB7" w:rsidP="00D35D7F">
      <w:pPr>
        <w:pStyle w:val="Pro-Inwest"/>
        <w:rPr>
          <w:rStyle w:val="Nagwek1Znak"/>
          <w:b w:val="0"/>
          <w:color w:val="FF0000"/>
          <w:szCs w:val="24"/>
        </w:rPr>
      </w:pPr>
    </w:p>
    <w:p w14:paraId="14A58FD5" w14:textId="77777777" w:rsidR="00076D3F" w:rsidRPr="00021789" w:rsidRDefault="00076D3F" w:rsidP="00D35D7F">
      <w:pPr>
        <w:pStyle w:val="Pro-Inwest"/>
        <w:rPr>
          <w:rStyle w:val="Nagwek1Znak"/>
          <w:b w:val="0"/>
          <w:color w:val="FF0000"/>
          <w:szCs w:val="24"/>
        </w:rPr>
      </w:pPr>
    </w:p>
    <w:p w14:paraId="2E8B9452" w14:textId="77777777" w:rsidR="00076D3F" w:rsidRDefault="00076D3F" w:rsidP="00D35D7F">
      <w:pPr>
        <w:pStyle w:val="Pro-Inwest"/>
        <w:rPr>
          <w:rStyle w:val="Nagwek1Znak"/>
          <w:b w:val="0"/>
          <w:color w:val="FF0000"/>
          <w:szCs w:val="24"/>
        </w:rPr>
      </w:pPr>
    </w:p>
    <w:p w14:paraId="5C9A6407" w14:textId="77777777" w:rsidR="00021789" w:rsidRDefault="00021789" w:rsidP="00D35D7F">
      <w:pPr>
        <w:pStyle w:val="Pro-Inwest"/>
        <w:rPr>
          <w:rStyle w:val="Nagwek1Znak"/>
          <w:b w:val="0"/>
          <w:color w:val="FF0000"/>
          <w:szCs w:val="24"/>
        </w:rPr>
      </w:pPr>
    </w:p>
    <w:p w14:paraId="4FE20A89" w14:textId="77777777" w:rsidR="00021789" w:rsidRDefault="00021789" w:rsidP="00D35D7F">
      <w:pPr>
        <w:pStyle w:val="Pro-Inwest"/>
        <w:rPr>
          <w:rStyle w:val="Nagwek1Znak"/>
          <w:b w:val="0"/>
          <w:color w:val="FF0000"/>
          <w:szCs w:val="24"/>
        </w:rPr>
      </w:pPr>
    </w:p>
    <w:p w14:paraId="7B639F62" w14:textId="77777777" w:rsidR="00021789" w:rsidRPr="00021789" w:rsidRDefault="00021789" w:rsidP="00D35D7F">
      <w:pPr>
        <w:pStyle w:val="Pro-Inwest"/>
        <w:rPr>
          <w:rStyle w:val="Nagwek1Znak"/>
          <w:b w:val="0"/>
          <w:color w:val="FF0000"/>
          <w:szCs w:val="24"/>
        </w:rPr>
      </w:pPr>
    </w:p>
    <w:p w14:paraId="3BC5CFFD" w14:textId="77777777" w:rsidR="00076D3F" w:rsidRPr="00021789" w:rsidRDefault="00076D3F" w:rsidP="00D35D7F">
      <w:pPr>
        <w:pStyle w:val="Pro-Inwest"/>
        <w:rPr>
          <w:rStyle w:val="Nagwek1Znak"/>
          <w:b w:val="0"/>
          <w:color w:val="FF0000"/>
          <w:szCs w:val="24"/>
        </w:rPr>
      </w:pPr>
    </w:p>
    <w:p w14:paraId="2EC8F5F7" w14:textId="77777777" w:rsidR="00076D3F" w:rsidRPr="00021789" w:rsidRDefault="00076D3F" w:rsidP="00D35D7F">
      <w:pPr>
        <w:pStyle w:val="Pro-Inwest"/>
        <w:rPr>
          <w:rStyle w:val="Nagwek1Znak"/>
          <w:b w:val="0"/>
          <w:color w:val="FF0000"/>
          <w:szCs w:val="24"/>
        </w:rPr>
      </w:pPr>
    </w:p>
    <w:p w14:paraId="44984AE9" w14:textId="77777777" w:rsidR="00636302" w:rsidRPr="00021789" w:rsidRDefault="009B1243" w:rsidP="005E2534">
      <w:pPr>
        <w:pStyle w:val="Pro-Inwest"/>
        <w:ind w:firstLine="708"/>
        <w:jc w:val="both"/>
        <w:rPr>
          <w:rFonts w:asciiTheme="minorHAnsi" w:hAnsiTheme="minorHAnsi"/>
          <w:sz w:val="16"/>
          <w:szCs w:val="16"/>
          <w:lang w:eastAsia="ar-SA"/>
        </w:rPr>
      </w:pPr>
      <w:r w:rsidRPr="00021789">
        <w:rPr>
          <w:rFonts w:asciiTheme="minorHAnsi" w:hAnsiTheme="minorHAnsi"/>
          <w:sz w:val="16"/>
          <w:szCs w:val="16"/>
          <w:lang w:eastAsia="ar-SA"/>
        </w:rPr>
        <w:lastRenderedPageBreak/>
        <w:t xml:space="preserve">Roboty powinny być prowadzone w oparciu </w:t>
      </w:r>
      <w:r w:rsidRPr="00021789">
        <w:rPr>
          <w:rFonts w:asciiTheme="minorHAnsi" w:eastAsia="Times New Roman" w:hAnsiTheme="minorHAnsi" w:cs="Arial"/>
          <w:sz w:val="16"/>
          <w:szCs w:val="16"/>
          <w:lang w:eastAsia="ar-SA"/>
        </w:rPr>
        <w:t xml:space="preserve">o </w:t>
      </w:r>
      <w:r w:rsidR="003812D0" w:rsidRPr="00021789">
        <w:rPr>
          <w:rFonts w:asciiTheme="minorHAnsi" w:eastAsia="Times New Roman" w:hAnsiTheme="minorHAnsi" w:cs="Arial"/>
          <w:sz w:val="16"/>
          <w:szCs w:val="16"/>
          <w:lang w:eastAsia="ar-SA"/>
        </w:rPr>
        <w:t>ostateczne pozwolenie na budowę</w:t>
      </w:r>
      <w:r w:rsidRPr="00021789">
        <w:rPr>
          <w:rFonts w:asciiTheme="minorHAnsi" w:eastAsia="Times New Roman" w:hAnsiTheme="minorHAnsi" w:cs="Arial"/>
          <w:sz w:val="16"/>
          <w:szCs w:val="16"/>
          <w:lang w:eastAsia="ar-SA"/>
        </w:rPr>
        <w:t xml:space="preserve"> i projekt  wykonawczy</w:t>
      </w:r>
      <w:r w:rsidRPr="00021789">
        <w:rPr>
          <w:rFonts w:asciiTheme="minorHAnsi" w:hAnsiTheme="minorHAnsi"/>
          <w:sz w:val="16"/>
          <w:szCs w:val="16"/>
          <w:lang w:eastAsia="ar-SA"/>
        </w:rPr>
        <w:t xml:space="preserve">. Niezależnie </w:t>
      </w:r>
      <w:r w:rsidR="005E2534" w:rsidRPr="00021789">
        <w:rPr>
          <w:rFonts w:asciiTheme="minorHAnsi" w:hAnsiTheme="minorHAnsi"/>
          <w:sz w:val="16"/>
          <w:szCs w:val="16"/>
          <w:lang w:eastAsia="ar-SA"/>
        </w:rPr>
        <w:t xml:space="preserve"> </w:t>
      </w:r>
      <w:r w:rsidRPr="00021789">
        <w:rPr>
          <w:rFonts w:asciiTheme="minorHAnsi" w:hAnsiTheme="minorHAnsi"/>
          <w:sz w:val="16"/>
          <w:szCs w:val="16"/>
          <w:lang w:eastAsia="ar-SA"/>
        </w:rPr>
        <w:t xml:space="preserve">od stopnia dokładności i precyzji dokumentów otrzymanych od Inwestora, definiujących usługę do wykonania, Wykonawca zobowiązany jest do uzyskania dobrego rezultatu końcowego. Wszystkie wymiary należy sprawdzić na budowie. Przed rozpoczęciem robót budowlanych należy wytyczyć obiekt w terenie </w:t>
      </w:r>
      <w:r w:rsidR="005E2534" w:rsidRPr="00021789">
        <w:rPr>
          <w:rFonts w:asciiTheme="minorHAnsi" w:hAnsiTheme="minorHAnsi"/>
          <w:sz w:val="16"/>
          <w:szCs w:val="16"/>
          <w:lang w:eastAsia="ar-SA"/>
        </w:rPr>
        <w:t xml:space="preserve"> </w:t>
      </w:r>
      <w:r w:rsidRPr="00021789">
        <w:rPr>
          <w:rFonts w:asciiTheme="minorHAnsi" w:hAnsiTheme="minorHAnsi"/>
          <w:sz w:val="16"/>
          <w:szCs w:val="16"/>
          <w:lang w:eastAsia="ar-SA"/>
        </w:rPr>
        <w:t>i sprawdzić zgodność projektu - w przypadku domniemania</w:t>
      </w:r>
      <w:r w:rsidR="003812D0" w:rsidRPr="00021789">
        <w:rPr>
          <w:rFonts w:asciiTheme="minorHAnsi" w:hAnsiTheme="minorHAnsi"/>
          <w:sz w:val="16"/>
          <w:szCs w:val="16"/>
          <w:lang w:eastAsia="ar-SA"/>
        </w:rPr>
        <w:t xml:space="preserve"> </w:t>
      </w:r>
      <w:r w:rsidRPr="00021789">
        <w:rPr>
          <w:rFonts w:asciiTheme="minorHAnsi" w:hAnsiTheme="minorHAnsi"/>
          <w:sz w:val="16"/>
          <w:szCs w:val="16"/>
          <w:lang w:eastAsia="ar-SA"/>
        </w:rPr>
        <w:t>lub pojawienia się nieścisłości lub błędów należy natychmiast powiadomić Inwestora i/lub Projektanta. Rysunki i część opisowa</w:t>
      </w:r>
      <w:r w:rsidR="003812D0" w:rsidRPr="00021789">
        <w:rPr>
          <w:rFonts w:asciiTheme="minorHAnsi" w:hAnsiTheme="minorHAnsi"/>
          <w:sz w:val="16"/>
          <w:szCs w:val="16"/>
          <w:lang w:eastAsia="ar-SA"/>
        </w:rPr>
        <w:t xml:space="preserve"> </w:t>
      </w:r>
      <w:r w:rsidRPr="00021789">
        <w:rPr>
          <w:rFonts w:asciiTheme="minorHAnsi" w:hAnsiTheme="minorHAnsi"/>
          <w:sz w:val="16"/>
          <w:szCs w:val="16"/>
          <w:lang w:eastAsia="ar-SA"/>
        </w:rPr>
        <w:t>są dokumentami wzajemnie się uzupełniającymi. Wszystkie elementy ujęte w specyfikacji (opisie),</w:t>
      </w:r>
      <w:r w:rsidR="00F224C1" w:rsidRPr="00021789">
        <w:rPr>
          <w:rFonts w:asciiTheme="minorHAnsi" w:hAnsiTheme="minorHAnsi"/>
          <w:sz w:val="16"/>
          <w:szCs w:val="16"/>
          <w:lang w:eastAsia="ar-SA"/>
        </w:rPr>
        <w:t xml:space="preserve"> </w:t>
      </w:r>
      <w:r w:rsidRPr="00021789">
        <w:rPr>
          <w:rFonts w:asciiTheme="minorHAnsi" w:hAnsiTheme="minorHAnsi"/>
          <w:sz w:val="16"/>
          <w:szCs w:val="16"/>
          <w:lang w:eastAsia="ar-SA"/>
        </w:rPr>
        <w:t>a nie ujęte na rysunkach lub ujęte</w:t>
      </w:r>
      <w:r w:rsidR="003812D0" w:rsidRPr="00021789">
        <w:rPr>
          <w:rFonts w:asciiTheme="minorHAnsi" w:hAnsiTheme="minorHAnsi"/>
          <w:sz w:val="16"/>
          <w:szCs w:val="16"/>
          <w:lang w:eastAsia="ar-SA"/>
        </w:rPr>
        <w:t xml:space="preserve"> </w:t>
      </w:r>
      <w:r w:rsidRPr="00021789">
        <w:rPr>
          <w:rFonts w:asciiTheme="minorHAnsi" w:hAnsiTheme="minorHAnsi"/>
          <w:sz w:val="16"/>
          <w:szCs w:val="16"/>
          <w:lang w:eastAsia="ar-SA"/>
        </w:rPr>
        <w:t>na rysunkach, a nie ujęte w specyfikacji (opisie) winne być traktowane tak jakby były ujęte w obu. W przypadku rozbieżności</w:t>
      </w:r>
      <w:r w:rsidR="003812D0" w:rsidRPr="00021789">
        <w:rPr>
          <w:rFonts w:asciiTheme="minorHAnsi" w:hAnsiTheme="minorHAnsi"/>
          <w:sz w:val="16"/>
          <w:szCs w:val="16"/>
          <w:lang w:eastAsia="ar-SA"/>
        </w:rPr>
        <w:t xml:space="preserve"> </w:t>
      </w:r>
      <w:r w:rsidRPr="00021789">
        <w:rPr>
          <w:rFonts w:asciiTheme="minorHAnsi" w:hAnsiTheme="minorHAnsi"/>
          <w:sz w:val="16"/>
          <w:szCs w:val="16"/>
          <w:lang w:eastAsia="ar-SA"/>
        </w:rPr>
        <w:t>w jakimkolwiek z elementów dokumentacji należy zgłosić</w:t>
      </w:r>
      <w:r w:rsidR="003812D0" w:rsidRPr="00021789">
        <w:rPr>
          <w:rFonts w:asciiTheme="minorHAnsi" w:hAnsiTheme="minorHAnsi"/>
          <w:sz w:val="16"/>
          <w:szCs w:val="16"/>
          <w:lang w:eastAsia="ar-SA"/>
        </w:rPr>
        <w:br/>
      </w:r>
      <w:r w:rsidRPr="00021789">
        <w:rPr>
          <w:rFonts w:asciiTheme="minorHAnsi" w:hAnsiTheme="minorHAnsi"/>
          <w:sz w:val="16"/>
          <w:szCs w:val="16"/>
          <w:lang w:eastAsia="ar-SA"/>
        </w:rPr>
        <w:t>to Projektantowi, który zobowiązany będzie do pise</w:t>
      </w:r>
      <w:r w:rsidR="00796CF2" w:rsidRPr="00021789">
        <w:rPr>
          <w:rFonts w:asciiTheme="minorHAnsi" w:hAnsiTheme="minorHAnsi"/>
          <w:sz w:val="16"/>
          <w:szCs w:val="16"/>
          <w:lang w:eastAsia="ar-SA"/>
        </w:rPr>
        <w:t>mnego rozstrzygnięcia problemu.</w:t>
      </w:r>
    </w:p>
    <w:p w14:paraId="217E9FAB" w14:textId="77777777" w:rsidR="00FE7195" w:rsidRPr="00021789" w:rsidRDefault="001915C1" w:rsidP="00D05B7B">
      <w:pPr>
        <w:pStyle w:val="Nagwek5"/>
        <w:spacing w:line="240" w:lineRule="auto"/>
        <w:rPr>
          <w:rFonts w:asciiTheme="minorHAnsi" w:eastAsiaTheme="minorHAnsi" w:hAnsiTheme="minorHAnsi" w:cstheme="minorBidi"/>
          <w:b/>
          <w:bCs/>
          <w:color w:val="auto"/>
          <w:sz w:val="16"/>
          <w:szCs w:val="16"/>
          <w:lang w:eastAsia="ar-SA"/>
        </w:rPr>
      </w:pPr>
      <w:r w:rsidRPr="00021789">
        <w:rPr>
          <w:rFonts w:asciiTheme="minorHAnsi" w:eastAsiaTheme="minorHAnsi" w:hAnsiTheme="minorHAnsi" w:cstheme="minorBidi"/>
          <w:b/>
          <w:bCs/>
          <w:color w:val="auto"/>
          <w:sz w:val="16"/>
          <w:szCs w:val="16"/>
          <w:lang w:eastAsia="ar-SA"/>
        </w:rPr>
        <w:t>D.</w:t>
      </w:r>
      <w:r w:rsidR="00FE7195" w:rsidRPr="00021789">
        <w:rPr>
          <w:rFonts w:asciiTheme="minorHAnsi" w:eastAsiaTheme="minorHAnsi" w:hAnsiTheme="minorHAnsi" w:cstheme="minorBidi"/>
          <w:b/>
          <w:bCs/>
          <w:color w:val="auto"/>
          <w:sz w:val="16"/>
          <w:szCs w:val="16"/>
          <w:lang w:eastAsia="ar-SA"/>
        </w:rPr>
        <w:t>00.00.00 WYMAGANIA OGÓLNE</w:t>
      </w:r>
    </w:p>
    <w:p w14:paraId="216EA2B6" w14:textId="4EE2878D" w:rsidR="002B232E" w:rsidRPr="00021789" w:rsidRDefault="00FE7195" w:rsidP="002B232E">
      <w:pPr>
        <w:spacing w:after="0"/>
        <w:jc w:val="both"/>
        <w:rPr>
          <w:sz w:val="16"/>
          <w:szCs w:val="16"/>
        </w:rPr>
      </w:pPr>
      <w:r w:rsidRPr="00021789">
        <w:rPr>
          <w:sz w:val="16"/>
          <w:szCs w:val="16"/>
          <w:lang w:eastAsia="ar-SA"/>
        </w:rPr>
        <w:t xml:space="preserve">Dotyczy zadania o nazwie </w:t>
      </w:r>
      <w:r w:rsidR="00FE4A49" w:rsidRPr="00021789">
        <w:rPr>
          <w:sz w:val="16"/>
          <w:szCs w:val="16"/>
          <w:lang w:eastAsia="ar-SA"/>
        </w:rPr>
        <w:t>„</w:t>
      </w:r>
      <w:r w:rsidR="002B232E" w:rsidRPr="00021789">
        <w:rPr>
          <w:sz w:val="16"/>
          <w:szCs w:val="16"/>
        </w:rPr>
        <w:t>Przebudowa, rozbudowa i remont budynku Uniwersytetu Łódzkiego przy ul. Sienkiewicza 21 w Łodzi, wraz ze zmianą jego sposobu użytkowania z funkcji dydaktycznej  na budynek usługowy o funkcji nauki i kultury z częścią o funkcji zamieszkania zbiorowego(centrum kultury z pokojami gościnnymi) rozbiórką balkonów i schodów zewnętrznych wraz z zadaszeniem, oraz wykonaniem ocieplenia elewacji północnej oraz zachodniej, budową szklanego świetlika nad dziedzińcem wewnętrznym oraz realizacją niezbędnej infrastruktury technicznej i zagospodarowania terenu</w:t>
      </w:r>
      <w:r w:rsidR="00FE4A49" w:rsidRPr="00021789">
        <w:rPr>
          <w:sz w:val="16"/>
          <w:szCs w:val="16"/>
        </w:rPr>
        <w:t>”</w:t>
      </w:r>
      <w:r w:rsidRPr="00021789">
        <w:rPr>
          <w:sz w:val="16"/>
          <w:szCs w:val="16"/>
        </w:rPr>
        <w:t>. Inwestorem przedsięwzięcia jest</w:t>
      </w:r>
      <w:r w:rsidR="001A5930" w:rsidRPr="00021789">
        <w:rPr>
          <w:sz w:val="16"/>
          <w:szCs w:val="16"/>
        </w:rPr>
        <w:t xml:space="preserve"> </w:t>
      </w:r>
      <w:r w:rsidR="002B232E" w:rsidRPr="00021789">
        <w:rPr>
          <w:sz w:val="16"/>
          <w:szCs w:val="16"/>
        </w:rPr>
        <w:t>Uniwersytet Łódzki, ul. Narutowicza 68 , 90-136 Łódź.</w:t>
      </w:r>
    </w:p>
    <w:p w14:paraId="12AB2C30" w14:textId="77777777" w:rsidR="00184C31" w:rsidRPr="00021789" w:rsidRDefault="00184C31" w:rsidP="0001761C">
      <w:pPr>
        <w:pStyle w:val="Pro-Inwest"/>
        <w:spacing w:line="240" w:lineRule="auto"/>
        <w:jc w:val="both"/>
        <w:rPr>
          <w:rFonts w:asciiTheme="minorHAnsi" w:hAnsiTheme="minorHAnsi"/>
          <w:b/>
          <w:bCs/>
          <w:sz w:val="16"/>
          <w:szCs w:val="16"/>
        </w:rPr>
      </w:pPr>
      <w:r w:rsidRPr="00021789">
        <w:rPr>
          <w:rFonts w:asciiTheme="minorHAnsi" w:hAnsiTheme="minorHAnsi"/>
          <w:b/>
          <w:bCs/>
          <w:sz w:val="16"/>
          <w:szCs w:val="16"/>
        </w:rPr>
        <w:t>1. WSTĘP</w:t>
      </w:r>
    </w:p>
    <w:p w14:paraId="4BCAD992" w14:textId="77777777" w:rsidR="00184C31" w:rsidRPr="00021789" w:rsidRDefault="00184C31" w:rsidP="0001761C">
      <w:pPr>
        <w:pStyle w:val="Pro-Inwest"/>
        <w:spacing w:line="240" w:lineRule="auto"/>
        <w:jc w:val="both"/>
        <w:rPr>
          <w:rFonts w:asciiTheme="minorHAnsi" w:hAnsiTheme="minorHAnsi"/>
          <w:b/>
          <w:sz w:val="16"/>
          <w:szCs w:val="16"/>
        </w:rPr>
      </w:pPr>
      <w:r w:rsidRPr="00021789">
        <w:rPr>
          <w:rFonts w:asciiTheme="minorHAnsi" w:hAnsiTheme="minorHAnsi"/>
          <w:b/>
          <w:sz w:val="16"/>
          <w:szCs w:val="16"/>
        </w:rPr>
        <w:t xml:space="preserve">1.1. Przedmiot </w:t>
      </w:r>
      <w:proofErr w:type="spellStart"/>
      <w:r w:rsidR="00914C3F" w:rsidRPr="00021789">
        <w:rPr>
          <w:rFonts w:asciiTheme="minorHAnsi" w:hAnsiTheme="minorHAnsi"/>
          <w:b/>
          <w:sz w:val="16"/>
          <w:szCs w:val="16"/>
        </w:rPr>
        <w:t>STWiORB</w:t>
      </w:r>
      <w:proofErr w:type="spellEnd"/>
    </w:p>
    <w:p w14:paraId="377445C8" w14:textId="77777777" w:rsidR="002B232E" w:rsidRPr="00021789" w:rsidRDefault="00184C31" w:rsidP="002B232E">
      <w:pPr>
        <w:spacing w:after="0"/>
        <w:ind w:firstLine="708"/>
        <w:jc w:val="both"/>
        <w:rPr>
          <w:sz w:val="16"/>
          <w:szCs w:val="16"/>
        </w:rPr>
      </w:pPr>
      <w:r w:rsidRPr="00021789">
        <w:rPr>
          <w:sz w:val="16"/>
          <w:szCs w:val="16"/>
        </w:rPr>
        <w:t>Przedmiotem niniejszej specyfikacji technicznej (</w:t>
      </w:r>
      <w:proofErr w:type="spellStart"/>
      <w:r w:rsidR="00914C3F" w:rsidRPr="00021789">
        <w:rPr>
          <w:sz w:val="16"/>
          <w:szCs w:val="16"/>
        </w:rPr>
        <w:t>STWiORB</w:t>
      </w:r>
      <w:proofErr w:type="spellEnd"/>
      <w:r w:rsidRPr="00021789">
        <w:rPr>
          <w:sz w:val="16"/>
          <w:szCs w:val="16"/>
        </w:rPr>
        <w:t xml:space="preserve">) są wymagania ogólne dotyczące wykonania i odbioru robót drogowych dla opracowania dokumentacji projektowej dla zadania o </w:t>
      </w:r>
      <w:r w:rsidR="00796CF2" w:rsidRPr="00021789">
        <w:rPr>
          <w:sz w:val="16"/>
          <w:szCs w:val="16"/>
        </w:rPr>
        <w:t xml:space="preserve">nazwie </w:t>
      </w:r>
      <w:r w:rsidR="006B6F24" w:rsidRPr="00021789">
        <w:rPr>
          <w:sz w:val="16"/>
          <w:szCs w:val="16"/>
        </w:rPr>
        <w:t>„</w:t>
      </w:r>
      <w:r w:rsidR="002B232E" w:rsidRPr="00021789">
        <w:rPr>
          <w:sz w:val="16"/>
          <w:szCs w:val="16"/>
        </w:rPr>
        <w:t>Przebudowa, rozbudowa i remont budynku Uniwersytetu Łódzkiego przy ul. Sienkiewicza 21 w Łodzi, wraz ze zmianą jego sposobu użytkowania z funkcji dydaktycznej  na budynek usługowy o funkcji nauki i kultury z częścią o funkcji zamieszkania zbiorowego(centrum kultury z pokojami gościnnymi) rozbiórką balkonów i schodów zewnętrznych wraz z zadaszeniem, oraz wykonaniem ocieplenia elewacji północnej oraz zachodniej, budową szklanego świetlika nad dziedzińcem wewnętrznym oraz realizacją niezbędnej infrastruktury technicznej i zagospodarowania terenu”. Inwestorem przedsięwzięcia jest Uniwersytet Łódzki, ul. Narutowicza 68 , 90-136 Łódź.</w:t>
      </w:r>
    </w:p>
    <w:p w14:paraId="49CD5D51" w14:textId="77777777" w:rsidR="00184C31" w:rsidRPr="00021789" w:rsidRDefault="00184C31" w:rsidP="00FE4A49">
      <w:pPr>
        <w:autoSpaceDE w:val="0"/>
        <w:autoSpaceDN w:val="0"/>
        <w:adjustRightInd w:val="0"/>
        <w:spacing w:after="0" w:line="240" w:lineRule="auto"/>
        <w:jc w:val="both"/>
        <w:rPr>
          <w:sz w:val="16"/>
          <w:szCs w:val="16"/>
        </w:rPr>
      </w:pPr>
      <w:r w:rsidRPr="00021789">
        <w:rPr>
          <w:sz w:val="16"/>
          <w:szCs w:val="16"/>
        </w:rPr>
        <w:t>Szczegółowa specyfikacja techniczna stosowana jest jako dokument przetargowy i kontraktowy przy zlecaniu i realizacji robót drogowych.</w:t>
      </w:r>
    </w:p>
    <w:p w14:paraId="6681BC4C" w14:textId="77777777" w:rsidR="00184C31" w:rsidRPr="00021789" w:rsidRDefault="00184C31" w:rsidP="0001761C">
      <w:pPr>
        <w:pStyle w:val="Pro-Inwest"/>
        <w:spacing w:line="240" w:lineRule="auto"/>
        <w:jc w:val="both"/>
        <w:rPr>
          <w:rFonts w:asciiTheme="minorHAnsi" w:hAnsiTheme="minorHAnsi"/>
          <w:b/>
          <w:sz w:val="16"/>
          <w:szCs w:val="16"/>
        </w:rPr>
      </w:pPr>
      <w:r w:rsidRPr="00021789">
        <w:rPr>
          <w:rFonts w:asciiTheme="minorHAnsi" w:hAnsiTheme="minorHAnsi"/>
          <w:b/>
          <w:sz w:val="16"/>
          <w:szCs w:val="16"/>
        </w:rPr>
        <w:t xml:space="preserve">1.3. Zakres robót objętych </w:t>
      </w:r>
      <w:proofErr w:type="spellStart"/>
      <w:r w:rsidR="00914C3F" w:rsidRPr="00021789">
        <w:rPr>
          <w:rFonts w:asciiTheme="minorHAnsi" w:hAnsiTheme="minorHAnsi"/>
          <w:b/>
          <w:sz w:val="16"/>
          <w:szCs w:val="16"/>
        </w:rPr>
        <w:t>STWiORB</w:t>
      </w:r>
      <w:proofErr w:type="spellEnd"/>
    </w:p>
    <w:p w14:paraId="1A21A194" w14:textId="77777777" w:rsidR="00184C31" w:rsidRPr="00021789" w:rsidRDefault="00184C31" w:rsidP="0001761C">
      <w:pPr>
        <w:pStyle w:val="Pro-Inwest"/>
        <w:spacing w:line="240" w:lineRule="auto"/>
        <w:jc w:val="both"/>
        <w:rPr>
          <w:rFonts w:asciiTheme="minorHAnsi" w:hAnsiTheme="minorHAnsi"/>
          <w:sz w:val="16"/>
          <w:szCs w:val="16"/>
        </w:rPr>
      </w:pPr>
      <w:r w:rsidRPr="00021789">
        <w:rPr>
          <w:rFonts w:asciiTheme="minorHAnsi" w:hAnsiTheme="minorHAnsi"/>
          <w:sz w:val="16"/>
          <w:szCs w:val="16"/>
        </w:rPr>
        <w:t>Ustalenia zawarte w niniejszej specyfikacji obejmują wymagania szczegółowe, wspólne dla robót objętych specyfikacjami technicznymi</w:t>
      </w:r>
      <w:r w:rsidR="00AA0049" w:rsidRPr="00021789">
        <w:rPr>
          <w:rFonts w:asciiTheme="minorHAnsi" w:hAnsiTheme="minorHAnsi"/>
          <w:sz w:val="16"/>
          <w:szCs w:val="16"/>
        </w:rPr>
        <w:br/>
      </w:r>
      <w:r w:rsidRPr="00021789">
        <w:rPr>
          <w:rFonts w:asciiTheme="minorHAnsi" w:hAnsiTheme="minorHAnsi"/>
          <w:sz w:val="16"/>
          <w:szCs w:val="16"/>
        </w:rPr>
        <w:t xml:space="preserve">dla poszczególnych asortymentów robót drogowych. W przypadku braku szczegółowych specyfikacji technicznych dla danego asortymentu robót, ustalenia dotyczą również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sporządzanych indywidualnie.</w:t>
      </w:r>
    </w:p>
    <w:p w14:paraId="174068CF" w14:textId="77777777" w:rsidR="00184C31" w:rsidRPr="00021789" w:rsidRDefault="00184C31" w:rsidP="0050598A">
      <w:pPr>
        <w:pStyle w:val="Pro-Inwest"/>
        <w:spacing w:line="240" w:lineRule="auto"/>
        <w:jc w:val="both"/>
        <w:rPr>
          <w:rFonts w:asciiTheme="minorHAnsi" w:hAnsiTheme="minorHAnsi"/>
          <w:b/>
          <w:sz w:val="16"/>
          <w:szCs w:val="16"/>
        </w:rPr>
      </w:pPr>
      <w:r w:rsidRPr="00021789">
        <w:rPr>
          <w:rFonts w:asciiTheme="minorHAnsi" w:hAnsiTheme="minorHAnsi"/>
          <w:b/>
          <w:sz w:val="16"/>
          <w:szCs w:val="16"/>
        </w:rPr>
        <w:t>1.4. Określenia podstawowe</w:t>
      </w:r>
    </w:p>
    <w:p w14:paraId="1D018FF6"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Użyte w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wymienione poniżej określenia należy rozumieć w każdym przypadku następująco:</w:t>
      </w:r>
    </w:p>
    <w:p w14:paraId="5FFCA423"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1.4.1.</w:t>
      </w:r>
      <w:r w:rsidRPr="00021789">
        <w:rPr>
          <w:rFonts w:asciiTheme="minorHAnsi" w:hAnsiTheme="minorHAnsi"/>
          <w:sz w:val="16"/>
          <w:szCs w:val="16"/>
        </w:rPr>
        <w:t xml:space="preserve"> Budowla drogowa - obiekt budowlany, nie będący budynkiem, stanowiący całość techniczno-użytkową (droga) albo jego część stanowiącą odrębny element konstrukcyjny lub technologiczny (obiekt mostowy, korpus ziemny, węzeł).</w:t>
      </w:r>
    </w:p>
    <w:p w14:paraId="7A31AF66"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1.4.2.</w:t>
      </w:r>
      <w:r w:rsidRPr="00021789">
        <w:rPr>
          <w:rFonts w:asciiTheme="minorHAnsi" w:hAnsiTheme="minorHAnsi"/>
          <w:sz w:val="16"/>
          <w:szCs w:val="16"/>
        </w:rPr>
        <w:t xml:space="preserve"> Chodnik - wyznaczony pas terenu przy jezdni lub odsunięty od jezdni, przeznaczony do ruchu pieszych.</w:t>
      </w:r>
    </w:p>
    <w:p w14:paraId="5F22D058"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1.4.3.</w:t>
      </w:r>
      <w:r w:rsidRPr="00021789">
        <w:rPr>
          <w:rFonts w:asciiTheme="minorHAnsi" w:hAnsiTheme="minorHAnsi"/>
          <w:sz w:val="16"/>
          <w:szCs w:val="16"/>
        </w:rPr>
        <w:t xml:space="preserve"> Droga - wydzielony pas terenu przeznaczony do ruchu lub postoju pojazdów oraz ruchu pieszych wraz z wszelkimi urządzeniami technicznymi związanymi z prowadzeniem i zabezpieczeniem ruchu.</w:t>
      </w:r>
    </w:p>
    <w:p w14:paraId="559F9636"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1.4.4.</w:t>
      </w:r>
      <w:r w:rsidRPr="00021789">
        <w:rPr>
          <w:rFonts w:asciiTheme="minorHAnsi" w:hAnsiTheme="minorHAnsi"/>
          <w:sz w:val="16"/>
          <w:szCs w:val="16"/>
        </w:rPr>
        <w:t xml:space="preserve"> Droga tymczasowa (montażowa) - droga specjalnie przygotowana, przeznaczona do ruchu pojazdów obsługujących zadanie budowlane na czas jego wykonania, przewidziana do usunięcia po jego zakończeniu.</w:t>
      </w:r>
    </w:p>
    <w:p w14:paraId="66527214"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1.4.5.</w:t>
      </w:r>
      <w:r w:rsidRPr="00021789">
        <w:rPr>
          <w:rFonts w:asciiTheme="minorHAnsi" w:hAnsiTheme="minorHAnsi"/>
          <w:sz w:val="16"/>
          <w:szCs w:val="16"/>
        </w:rPr>
        <w:t xml:space="preserve"> 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03EF48A7"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1.4.6.</w:t>
      </w:r>
      <w:r w:rsidRPr="00021789">
        <w:rPr>
          <w:rFonts w:asciiTheme="minorHAnsi" w:hAnsiTheme="minorHAnsi"/>
          <w:sz w:val="16"/>
          <w:szCs w:val="16"/>
        </w:rPr>
        <w:t xml:space="preserve"> Inżynier/Kierownik projektu – osoba wymieniona w danych kontraktowych (wyznaczona przez Zamawiającego, o której wyznaczeniu poinformowany jest Wykonawca), odpowiedzialna za nadzorowanie robót i administrowanie kontraktem.</w:t>
      </w:r>
    </w:p>
    <w:p w14:paraId="0DC2EAEA"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1.4.7.</w:t>
      </w:r>
      <w:r w:rsidRPr="00021789">
        <w:rPr>
          <w:rFonts w:asciiTheme="minorHAnsi" w:hAnsiTheme="minorHAnsi"/>
          <w:sz w:val="16"/>
          <w:szCs w:val="16"/>
        </w:rPr>
        <w:t xml:space="preserve"> Jezdnia - część korony drogi przeznaczona do ruchu pojazdów.</w:t>
      </w:r>
    </w:p>
    <w:p w14:paraId="09BAC7FC"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1.4.8.</w:t>
      </w:r>
      <w:r w:rsidRPr="00021789">
        <w:rPr>
          <w:rFonts w:asciiTheme="minorHAnsi" w:hAnsiTheme="minorHAnsi"/>
          <w:sz w:val="16"/>
          <w:szCs w:val="16"/>
        </w:rPr>
        <w:t xml:space="preserve"> Kierownik budowy - osoba wyznaczona przez Wykonawcę, upoważniona do kierowania robotami i do występowania w jego imieniu w sprawach realizacji kontraktu.</w:t>
      </w:r>
    </w:p>
    <w:p w14:paraId="5D96D221"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1.4.9.</w:t>
      </w:r>
      <w:r w:rsidRPr="00021789">
        <w:rPr>
          <w:rFonts w:asciiTheme="minorHAnsi" w:hAnsiTheme="minorHAnsi"/>
          <w:sz w:val="16"/>
          <w:szCs w:val="16"/>
        </w:rPr>
        <w:t xml:space="preserve"> Korona drogi - jezdnia (jezdnie) z poboczami lub chodnikami, zatokami, pasami awaryjnego postoju i pasami dzielącymi jezdnie.</w:t>
      </w:r>
    </w:p>
    <w:p w14:paraId="7E08360B"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1.4.10.</w:t>
      </w:r>
      <w:r w:rsidRPr="00021789">
        <w:rPr>
          <w:rFonts w:asciiTheme="minorHAnsi" w:hAnsiTheme="minorHAnsi"/>
          <w:sz w:val="16"/>
          <w:szCs w:val="16"/>
        </w:rPr>
        <w:t xml:space="preserve"> Konstrukcja nawierzchni - układ warstw nawierzchni wraz ze sposobem ich połączenia.</w:t>
      </w:r>
    </w:p>
    <w:p w14:paraId="1C0E4014"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1.4.11.</w:t>
      </w:r>
      <w:r w:rsidRPr="00021789">
        <w:rPr>
          <w:rFonts w:asciiTheme="minorHAnsi" w:hAnsiTheme="minorHAnsi"/>
          <w:sz w:val="16"/>
          <w:szCs w:val="16"/>
        </w:rPr>
        <w:t xml:space="preserve"> Korpus drogowy - nasyp lub ta część wykopu, która jest ograniczona koroną drogi i skarpami rowów.</w:t>
      </w:r>
    </w:p>
    <w:p w14:paraId="69BD114F"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1.4.12.</w:t>
      </w:r>
      <w:r w:rsidRPr="00021789">
        <w:rPr>
          <w:rFonts w:asciiTheme="minorHAnsi" w:hAnsiTheme="minorHAnsi"/>
          <w:sz w:val="16"/>
          <w:szCs w:val="16"/>
        </w:rPr>
        <w:t xml:space="preserve"> Koryto - element uformowany w korpusie drogowym w celu ułożenia w nim konstrukcji nawierzchni.</w:t>
      </w:r>
    </w:p>
    <w:p w14:paraId="154DFFEF"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1.4.13.</w:t>
      </w:r>
      <w:r w:rsidRPr="00021789">
        <w:rPr>
          <w:rFonts w:asciiTheme="minorHAnsi" w:hAnsiTheme="minorHAnsi"/>
          <w:sz w:val="16"/>
          <w:szCs w:val="16"/>
        </w:rPr>
        <w:t xml:space="preserve"> Książka obmiarów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14:paraId="6C602D71"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1.4.14.</w:t>
      </w:r>
      <w:r w:rsidRPr="00021789">
        <w:rPr>
          <w:rFonts w:asciiTheme="minorHAnsi" w:hAnsiTheme="minorHAnsi"/>
          <w:sz w:val="16"/>
          <w:szCs w:val="16"/>
        </w:rPr>
        <w:t xml:space="preserve"> Laboratorium - drogowe lub inne laboratorium badawcze, zaakceptowane przez Zamawiającego, niezbędne do przeprowadzenia wszelkich badań i prób związanych z oceną jakości materiałów oraz robót.</w:t>
      </w:r>
    </w:p>
    <w:p w14:paraId="40BC3C0A"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1.4.15.</w:t>
      </w:r>
      <w:r w:rsidRPr="00021789">
        <w:rPr>
          <w:rFonts w:asciiTheme="minorHAnsi" w:hAnsiTheme="minorHAnsi"/>
          <w:sz w:val="16"/>
          <w:szCs w:val="16"/>
        </w:rPr>
        <w:t xml:space="preserve"> Materiały - wszelkie tworzywa niezbędne do wykonania robót, zgodne z dokumentacją projektową i specyfikacjami technicznymi, zaakceptowane przez Inżyniera/ Kierownika projektu.</w:t>
      </w:r>
    </w:p>
    <w:p w14:paraId="10582C5E"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sz w:val="16"/>
          <w:szCs w:val="16"/>
        </w:rPr>
        <w:t>1.4.16.</w:t>
      </w:r>
      <w:r w:rsidRPr="00021789">
        <w:rPr>
          <w:rFonts w:asciiTheme="minorHAnsi" w:hAnsiTheme="minorHAnsi"/>
          <w:sz w:val="16"/>
          <w:szCs w:val="16"/>
        </w:rPr>
        <w:t xml:space="preserve"> Nawierzchnia - warstwa lub zespół warstw służących do przejmowania i rozkładania obciążeń od ruchu na podłoże gruntowe</w:t>
      </w:r>
      <w:r w:rsidR="00F224C1" w:rsidRPr="00021789">
        <w:rPr>
          <w:rFonts w:asciiTheme="minorHAnsi" w:hAnsiTheme="minorHAnsi"/>
          <w:sz w:val="16"/>
          <w:szCs w:val="16"/>
        </w:rPr>
        <w:br/>
      </w:r>
      <w:r w:rsidRPr="00021789">
        <w:rPr>
          <w:rFonts w:asciiTheme="minorHAnsi" w:hAnsiTheme="minorHAnsi"/>
          <w:sz w:val="16"/>
          <w:szCs w:val="16"/>
        </w:rPr>
        <w:t>i zapewniających dogodne warunki dla ruchu.</w:t>
      </w:r>
    </w:p>
    <w:p w14:paraId="21AAD8BC"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 Warstwa ścieralna - górna warstwa nawierzchni poddana bezpośrednio oddziaływaniu ruchu i czynników atmosferycznych.</w:t>
      </w:r>
    </w:p>
    <w:p w14:paraId="32495BD2"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 Warstwa wiążąca - warstwa znajdująca się między warstwą ścieralną a podbudową, zapewniająca lepsze rozłożenie </w:t>
      </w:r>
      <w:proofErr w:type="spellStart"/>
      <w:r w:rsidRPr="00021789">
        <w:rPr>
          <w:rFonts w:asciiTheme="minorHAnsi" w:hAnsiTheme="minorHAnsi"/>
          <w:sz w:val="16"/>
          <w:szCs w:val="16"/>
        </w:rPr>
        <w:t>naprężeń</w:t>
      </w:r>
      <w:proofErr w:type="spellEnd"/>
      <w:r w:rsidR="00F224C1" w:rsidRPr="00021789">
        <w:rPr>
          <w:rFonts w:asciiTheme="minorHAnsi" w:hAnsiTheme="minorHAnsi"/>
          <w:sz w:val="16"/>
          <w:szCs w:val="16"/>
        </w:rPr>
        <w:br/>
      </w:r>
      <w:r w:rsidRPr="00021789">
        <w:rPr>
          <w:rFonts w:asciiTheme="minorHAnsi" w:hAnsiTheme="minorHAnsi"/>
          <w:sz w:val="16"/>
          <w:szCs w:val="16"/>
        </w:rPr>
        <w:t>w nawierzchni i przekazywanie ich na podbudowę.</w:t>
      </w:r>
    </w:p>
    <w:p w14:paraId="4354519E"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 Warstwa wyrównawcza - warstwa służąca do wyrównania nierówności podbudowy lub profilu istniejącej nawierzchni.</w:t>
      </w:r>
    </w:p>
    <w:p w14:paraId="14CBFB6F"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 Podbudowa - dolna część nawierzchni służąca do przenoszenia obciążeń od ruchu na podłoże. Podbudowa może składać się z podbudowy zasadniczej i podbudowy pomocniczej.</w:t>
      </w:r>
    </w:p>
    <w:p w14:paraId="70798D6A"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 Podbudowa zasadnicza - górna część podbudowy spełniająca funkcje nośne w konstrukcji nawierzchni. Może ona składać się z jednej lub dwóch warstw.</w:t>
      </w:r>
    </w:p>
    <w:p w14:paraId="02330F47"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lastRenderedPageBreak/>
        <w:t xml:space="preserve">- Podbudowa pomocnicza - dolna część podbudowy spełniająca, obok funkcji nośnych, funkcje zabezpieczenia nawierzchni przed działaniem wody, mrozu i przenikaniem cząstek podłoża. Może zawierać warstwę </w:t>
      </w:r>
      <w:proofErr w:type="spellStart"/>
      <w:r w:rsidRPr="00021789">
        <w:rPr>
          <w:rFonts w:asciiTheme="minorHAnsi" w:hAnsiTheme="minorHAnsi"/>
          <w:sz w:val="16"/>
          <w:szCs w:val="16"/>
        </w:rPr>
        <w:t>mrozoochronną</w:t>
      </w:r>
      <w:proofErr w:type="spellEnd"/>
      <w:r w:rsidRPr="00021789">
        <w:rPr>
          <w:rFonts w:asciiTheme="minorHAnsi" w:hAnsiTheme="minorHAnsi"/>
          <w:sz w:val="16"/>
          <w:szCs w:val="16"/>
        </w:rPr>
        <w:t>, odsączającą lub odcinającą.</w:t>
      </w:r>
    </w:p>
    <w:p w14:paraId="7BDDBC54"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 Warstwa </w:t>
      </w:r>
      <w:proofErr w:type="spellStart"/>
      <w:r w:rsidRPr="00021789">
        <w:rPr>
          <w:rFonts w:asciiTheme="minorHAnsi" w:hAnsiTheme="minorHAnsi"/>
          <w:sz w:val="16"/>
          <w:szCs w:val="16"/>
        </w:rPr>
        <w:t>mrozoochronna</w:t>
      </w:r>
      <w:proofErr w:type="spellEnd"/>
      <w:r w:rsidRPr="00021789">
        <w:rPr>
          <w:rFonts w:asciiTheme="minorHAnsi" w:hAnsiTheme="minorHAnsi"/>
          <w:sz w:val="16"/>
          <w:szCs w:val="16"/>
        </w:rPr>
        <w:t xml:space="preserve"> - warstwa, której głównym zadaniem jest ochrona nawierzchni przed skutkami działania mrozu.</w:t>
      </w:r>
    </w:p>
    <w:p w14:paraId="048EE2CD"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 Warstwa odcinająca - warstwa stosowana w celu uniemożliwienia przenikania cząstek drobnych gruntu do warstwy nawierzchni leżącej powyżej.</w:t>
      </w:r>
    </w:p>
    <w:p w14:paraId="789F7576"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 Warstwa odsączająca - warstwa służąca do odprowadzenia wody przedostającej się do nawierzchni.</w:t>
      </w:r>
    </w:p>
    <w:p w14:paraId="186A2967"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1.4.17. </w:t>
      </w:r>
      <w:r w:rsidRPr="00021789">
        <w:rPr>
          <w:rFonts w:asciiTheme="minorHAnsi" w:hAnsiTheme="minorHAnsi"/>
          <w:sz w:val="16"/>
          <w:szCs w:val="16"/>
        </w:rPr>
        <w:t>Niweleta - wysokościowe i geometryczne rozwinięcie na płaszczyźnie pionowego przekroju w osi drogi lub obiektu mostowego.</w:t>
      </w:r>
    </w:p>
    <w:p w14:paraId="3BC31FDF"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1.4.18. </w:t>
      </w:r>
      <w:r w:rsidRPr="00021789">
        <w:rPr>
          <w:rFonts w:asciiTheme="minorHAnsi" w:hAnsiTheme="minorHAnsi"/>
          <w:sz w:val="16"/>
          <w:szCs w:val="16"/>
        </w:rPr>
        <w:t>Objazd tymczasowy - droga specjalnie przygotowana i odpowiednio utrzymana do przeprowadzenia ruchu publicznego na okres budowy.</w:t>
      </w:r>
    </w:p>
    <w:p w14:paraId="47AA847B"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1.4.19. </w:t>
      </w:r>
      <w:r w:rsidRPr="00021789">
        <w:rPr>
          <w:rFonts w:asciiTheme="minorHAnsi" w:hAnsiTheme="minorHAnsi"/>
          <w:sz w:val="16"/>
          <w:szCs w:val="16"/>
        </w:rPr>
        <w:t>Odpowiednia (bliska) zgodność - zgodność wykonywanych robót z dopuszczonymi tolerancjami, a jeśli przedział tolerancji nie został określony - z przeciętnymi tolerancjami, przyjmowanymi zwyczajowo dla danego rodzaju robót budowlanych.</w:t>
      </w:r>
    </w:p>
    <w:p w14:paraId="73A92DAF"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1.4.20.</w:t>
      </w:r>
      <w:r w:rsidRPr="00021789">
        <w:rPr>
          <w:rFonts w:asciiTheme="minorHAnsi" w:hAnsiTheme="minorHAnsi"/>
          <w:sz w:val="16"/>
          <w:szCs w:val="16"/>
        </w:rPr>
        <w:t xml:space="preserve"> 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3C4A8BF5"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1.4.21. </w:t>
      </w:r>
      <w:r w:rsidRPr="00021789">
        <w:rPr>
          <w:rFonts w:asciiTheme="minorHAnsi" w:hAnsiTheme="minorHAnsi"/>
          <w:sz w:val="16"/>
          <w:szCs w:val="16"/>
        </w:rPr>
        <w:t>Pobocze - część korony drogi przeznaczona do chwilowego postoju pojazdów, umieszczenia urządzeń organizacji i bezpieczeństwa ruchu oraz do ruchu pieszych, służąca jednocześnie do bocznego oparcia konstrukcji nawierzchni.</w:t>
      </w:r>
    </w:p>
    <w:p w14:paraId="12E819BD"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1.4.22.</w:t>
      </w:r>
      <w:r w:rsidRPr="00021789">
        <w:rPr>
          <w:rFonts w:asciiTheme="minorHAnsi" w:hAnsiTheme="minorHAnsi"/>
          <w:sz w:val="16"/>
          <w:szCs w:val="16"/>
        </w:rPr>
        <w:t xml:space="preserve"> Podłoże nawierzchni - grunt rodzimy lub nasypowy, leżący pod nawierzchnią do głębokości przemarzania.</w:t>
      </w:r>
    </w:p>
    <w:p w14:paraId="6D301211"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1.4.23.</w:t>
      </w:r>
      <w:r w:rsidRPr="00021789">
        <w:rPr>
          <w:rFonts w:asciiTheme="minorHAnsi" w:hAnsiTheme="minorHAnsi"/>
          <w:sz w:val="16"/>
          <w:szCs w:val="16"/>
        </w:rPr>
        <w:t xml:space="preserve"> Podłoże ulepszone nawierzchni - górna warstwa podłoża, leżąca bezpośrednio pod nawierzchnią, ulepszona w celu umożliwienia przejęcia ruchu budowlanego i właściwego wykonania nawierzchni.</w:t>
      </w:r>
    </w:p>
    <w:p w14:paraId="68320F08"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1.4.24.</w:t>
      </w:r>
      <w:r w:rsidRPr="00021789">
        <w:rPr>
          <w:rFonts w:asciiTheme="minorHAnsi" w:hAnsiTheme="minorHAnsi"/>
          <w:sz w:val="16"/>
          <w:szCs w:val="16"/>
        </w:rPr>
        <w:t xml:space="preserve"> Polecenie Inżyniera/Kierownika projektu - wszelkie polecenia przekazane Wykonawcy przez Inżyniera/Kierownika projektu,</w:t>
      </w:r>
      <w:r w:rsidR="00F224C1" w:rsidRPr="00021789">
        <w:rPr>
          <w:rFonts w:asciiTheme="minorHAnsi" w:hAnsiTheme="minorHAnsi"/>
          <w:sz w:val="16"/>
          <w:szCs w:val="16"/>
        </w:rPr>
        <w:br/>
      </w:r>
      <w:r w:rsidRPr="00021789">
        <w:rPr>
          <w:rFonts w:asciiTheme="minorHAnsi" w:hAnsiTheme="minorHAnsi"/>
          <w:sz w:val="16"/>
          <w:szCs w:val="16"/>
        </w:rPr>
        <w:t>w formie pisemnej, dotyczące sposobu realizacji robót lub innych spraw związanych z prowadzeniem budowy.</w:t>
      </w:r>
    </w:p>
    <w:p w14:paraId="6377A5A8"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1.4.25.</w:t>
      </w:r>
      <w:r w:rsidRPr="00021789">
        <w:rPr>
          <w:rFonts w:asciiTheme="minorHAnsi" w:hAnsiTheme="minorHAnsi"/>
          <w:sz w:val="16"/>
          <w:szCs w:val="16"/>
        </w:rPr>
        <w:t xml:space="preserve"> Projektant - uprawniona osoba prawna lub fizyczna będąca autorem dokumentacji projektowej.</w:t>
      </w:r>
    </w:p>
    <w:p w14:paraId="001B12A0"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1.4.26. </w:t>
      </w:r>
      <w:r w:rsidRPr="00021789">
        <w:rPr>
          <w:rFonts w:asciiTheme="minorHAnsi" w:hAnsiTheme="minorHAnsi"/>
          <w:sz w:val="16"/>
          <w:szCs w:val="16"/>
        </w:rPr>
        <w:t>Przedsięwzięcie budowlane - kompleksowa realizacja nowego połączenia drogowego lub całkowita modernizacja/przebudowa (zmiana parametrów geometrycznych trasy w planie i przekroju podłużnym) istniejącego połączenia.</w:t>
      </w:r>
    </w:p>
    <w:p w14:paraId="29A62984"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1.4.27. </w:t>
      </w:r>
      <w:r w:rsidRPr="00021789">
        <w:rPr>
          <w:rFonts w:asciiTheme="minorHAnsi" w:hAnsiTheme="minorHAnsi"/>
          <w:sz w:val="16"/>
          <w:szCs w:val="16"/>
        </w:rPr>
        <w:t>Przepust – budowla o przekroju poprzecznym zamkniętym, przeznaczona do przeprowadzenia cieku, szlaku wędrówek zwierząt dziko żyjących lub urządzeń technicznych przez korpus drogowy.</w:t>
      </w:r>
    </w:p>
    <w:p w14:paraId="669378EE"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1.4.28. </w:t>
      </w:r>
      <w:r w:rsidRPr="00021789">
        <w:rPr>
          <w:rFonts w:asciiTheme="minorHAnsi" w:hAnsiTheme="minorHAnsi"/>
          <w:sz w:val="16"/>
          <w:szCs w:val="16"/>
        </w:rPr>
        <w:t>Przeszkoda naturalna - element środowiska naturalnego, stanowiący utrudnienie w realizacji zadania budowlanego, na przykład dolina, bagno, rzeka, szlak wędrówek dzikich zwierząt itp.</w:t>
      </w:r>
    </w:p>
    <w:p w14:paraId="429331BB"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1.4.29. </w:t>
      </w:r>
      <w:r w:rsidRPr="00021789">
        <w:rPr>
          <w:rFonts w:asciiTheme="minorHAnsi" w:hAnsiTheme="minorHAnsi"/>
          <w:sz w:val="16"/>
          <w:szCs w:val="16"/>
        </w:rPr>
        <w:t>Przeszkoda sztuczna - dzieło ludzkie, stanowiące utrudnienie w realizacji zadania budowlanego, na przykład droga, kolej, rurociąg, kanał, ciąg pieszy lub rowerowy itp.</w:t>
      </w:r>
    </w:p>
    <w:p w14:paraId="23E7A2A9"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1.4.30. </w:t>
      </w:r>
      <w:r w:rsidRPr="00021789">
        <w:rPr>
          <w:rFonts w:asciiTheme="minorHAnsi" w:hAnsiTheme="minorHAnsi"/>
          <w:sz w:val="16"/>
          <w:szCs w:val="16"/>
        </w:rPr>
        <w:t>Przetargowa dokumentacja projektowa - część dokumentacji projektowej, która wskazuje lokalizację, charakterystykę i wymiary obiektu będącego przedmiotem robót.</w:t>
      </w:r>
    </w:p>
    <w:p w14:paraId="0857EB10"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1.4.31.</w:t>
      </w:r>
      <w:r w:rsidRPr="00021789">
        <w:rPr>
          <w:rFonts w:asciiTheme="minorHAnsi" w:hAnsiTheme="minorHAnsi"/>
          <w:sz w:val="16"/>
          <w:szCs w:val="16"/>
        </w:rPr>
        <w:t xml:space="preserve"> Rekultywacja - roboty mające na celu uporządkowanie i przywrócenie pierwotnych funkcji terenom naruszonym w czasie realizacji zadania budowlanego.</w:t>
      </w:r>
    </w:p>
    <w:p w14:paraId="2FE18B19"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1.4.32. </w:t>
      </w:r>
      <w:r w:rsidRPr="00021789">
        <w:rPr>
          <w:rFonts w:asciiTheme="minorHAnsi" w:hAnsiTheme="minorHAnsi"/>
          <w:sz w:val="16"/>
          <w:szCs w:val="16"/>
        </w:rPr>
        <w:t>Szerokość całkowita obiektu (mostu / wiaduktu) - odległość między zewnętrznymi krawędziami konstrukcji obiektu, mierzona w linii prostopadłej do osi podłużnej, obejmuje całkowitą szerokość konstrukcyjną ustroju niosącego.</w:t>
      </w:r>
    </w:p>
    <w:p w14:paraId="7AA20017"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1.4.33. </w:t>
      </w:r>
      <w:r w:rsidRPr="00021789">
        <w:rPr>
          <w:rFonts w:asciiTheme="minorHAnsi" w:hAnsiTheme="minorHAnsi"/>
          <w:sz w:val="16"/>
          <w:szCs w:val="16"/>
        </w:rPr>
        <w:t>Szerokość użytkowa obiektu - szerokość jezdni (nawierzchni) przeznaczona dla poszczególnych rodzajów ruchu oraz szerokość chodników mierzona w świetle poręczy mostowych z wyłączeniem konstrukcji przy jezdni dołem oddzielającej ruch kołowy od ruchu pieszego.</w:t>
      </w:r>
    </w:p>
    <w:p w14:paraId="33EA7388"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1.4.34.</w:t>
      </w:r>
      <w:r w:rsidRPr="00021789">
        <w:rPr>
          <w:rFonts w:asciiTheme="minorHAnsi" w:hAnsiTheme="minorHAnsi"/>
          <w:sz w:val="16"/>
          <w:szCs w:val="16"/>
        </w:rPr>
        <w:t xml:space="preserve"> Ślepy kosztorys - wykaz robót z podaniem ich ilości (przedmiarem) w kolejności technologicznej ich wykonania.</w:t>
      </w:r>
    </w:p>
    <w:p w14:paraId="445F07F1"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1.4.35.</w:t>
      </w:r>
      <w:r w:rsidRPr="00021789">
        <w:rPr>
          <w:rFonts w:asciiTheme="minorHAnsi" w:hAnsiTheme="minorHAnsi"/>
          <w:sz w:val="16"/>
          <w:szCs w:val="16"/>
        </w:rPr>
        <w:t xml:space="preserve"> Teren budowy - teren udostępniony przez Zamawiającego dla wykonania na nim robót oraz inne miejsca wymienione w kontrakcie jako tworzące część terenu budowy.</w:t>
      </w:r>
    </w:p>
    <w:p w14:paraId="0CC072BC"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1.4.36.</w:t>
      </w:r>
      <w:r w:rsidRPr="00021789">
        <w:rPr>
          <w:rFonts w:asciiTheme="minorHAnsi" w:hAnsiTheme="minorHAnsi"/>
          <w:sz w:val="16"/>
          <w:szCs w:val="16"/>
        </w:rPr>
        <w:t xml:space="preserve"> Tunel - obiekt zagłębiony poniżej poziomu terenu dla zapewnienia komunikacji drogowej i ruchu pieszego.</w:t>
      </w:r>
    </w:p>
    <w:p w14:paraId="4DFE4307"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1.4.37.</w:t>
      </w:r>
      <w:r w:rsidRPr="00021789">
        <w:rPr>
          <w:rFonts w:asciiTheme="minorHAnsi" w:hAnsiTheme="minorHAnsi"/>
          <w:sz w:val="16"/>
          <w:szCs w:val="16"/>
        </w:rPr>
        <w:t xml:space="preserve"> Wiadukt - obiekt zbudowany nad linią kolejową lub inną drogą dla bezkolizyjnego zapewnienia komunikacji drogowej i ruchu pieszego.</w:t>
      </w:r>
    </w:p>
    <w:p w14:paraId="2E5E4E3E"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1.4.38.</w:t>
      </w:r>
      <w:r w:rsidRPr="00021789">
        <w:rPr>
          <w:rFonts w:asciiTheme="minorHAnsi" w:hAnsiTheme="minorHAnsi"/>
          <w:sz w:val="16"/>
          <w:szCs w:val="16"/>
        </w:rPr>
        <w:t xml:space="preserve"> 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14:paraId="72EC6D2C"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 Ogólne wymagania dotyczące robót</w:t>
      </w:r>
    </w:p>
    <w:p w14:paraId="73252A37"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Wykonawca jest odpowiedzialny za jakość wykonanych robót, bezpieczeństwo wszelkich czynności na terenie budowy, metody użyte przy budowie oraz za ich zgodność z dokumentacją projektową,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i poleceniami Inżyniera/Kierownika projektu.</w:t>
      </w:r>
    </w:p>
    <w:p w14:paraId="73D17C49"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1.5.1.</w:t>
      </w:r>
      <w:r w:rsidRPr="00021789">
        <w:rPr>
          <w:rFonts w:asciiTheme="minorHAnsi" w:hAnsiTheme="minorHAnsi"/>
          <w:sz w:val="16"/>
          <w:szCs w:val="16"/>
        </w:rPr>
        <w:t xml:space="preserve"> Przekazanie terenu budowy</w:t>
      </w:r>
    </w:p>
    <w:p w14:paraId="4699E38C"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dokumentacji projektowej i dwa komplety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w:t>
      </w:r>
    </w:p>
    <w:p w14:paraId="18BB4269"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Na Wykonawcy spoczywa odpowiedzialność za ochronę przekazanych mu punktów pomiarowych do chwili odbioru ostatecznego robót. Uszkodzone lub zniszczone znaki geodezyjne Wykonawca odtworzy i utrwali na własny koszt.</w:t>
      </w:r>
    </w:p>
    <w:p w14:paraId="62EF73BC"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1.5.2.</w:t>
      </w:r>
      <w:r w:rsidRPr="00021789">
        <w:rPr>
          <w:rFonts w:asciiTheme="minorHAnsi" w:hAnsiTheme="minorHAnsi"/>
          <w:sz w:val="16"/>
          <w:szCs w:val="16"/>
        </w:rPr>
        <w:t xml:space="preserve"> Dokumentacja projektowa</w:t>
      </w:r>
    </w:p>
    <w:p w14:paraId="1737D8FA" w14:textId="77777777" w:rsidR="00184C31" w:rsidRPr="00021789" w:rsidRDefault="00184C31" w:rsidP="0050598A">
      <w:pPr>
        <w:pStyle w:val="Pro-Inwest"/>
        <w:spacing w:line="240" w:lineRule="auto"/>
        <w:jc w:val="both"/>
        <w:rPr>
          <w:rFonts w:asciiTheme="minorHAnsi" w:hAnsiTheme="minorHAnsi"/>
          <w:sz w:val="16"/>
          <w:szCs w:val="16"/>
        </w:rPr>
      </w:pPr>
      <w:r w:rsidRPr="00021789">
        <w:rPr>
          <w:rFonts w:asciiTheme="minorHAnsi" w:hAnsiTheme="minorHAnsi"/>
          <w:sz w:val="16"/>
          <w:szCs w:val="16"/>
        </w:rPr>
        <w:t>Dokumentacja projektowa będzie zawierać rysunki, obliczenia i dokumenty, zgodne z wykazem podanym w szczegółowych warunkach umowy, uwzględniającym podział na dokumentację projektową:</w:t>
      </w:r>
    </w:p>
    <w:p w14:paraId="548BB4F4" w14:textId="77777777" w:rsidR="00184C31" w:rsidRPr="00021789" w:rsidRDefault="00184C31" w:rsidP="009C55F8">
      <w:pPr>
        <w:pStyle w:val="Pro-Inwest"/>
        <w:numPr>
          <w:ilvl w:val="0"/>
          <w:numId w:val="1"/>
        </w:numPr>
        <w:spacing w:line="240" w:lineRule="auto"/>
        <w:jc w:val="both"/>
        <w:rPr>
          <w:rFonts w:asciiTheme="minorHAnsi" w:hAnsiTheme="minorHAnsi"/>
          <w:sz w:val="16"/>
          <w:szCs w:val="16"/>
        </w:rPr>
      </w:pPr>
      <w:r w:rsidRPr="00021789">
        <w:rPr>
          <w:rFonts w:asciiTheme="minorHAnsi" w:hAnsiTheme="minorHAnsi"/>
          <w:sz w:val="16"/>
          <w:szCs w:val="16"/>
        </w:rPr>
        <w:t>Zamawiającego; wykaz pozycji, które stanowią przetargową dokumentację projektową oraz projektową dokumentację wykonawczą (techniczną) i zostaną przekazane Wykonawcy,</w:t>
      </w:r>
    </w:p>
    <w:p w14:paraId="0EA9CF15" w14:textId="77777777" w:rsidR="00184C31" w:rsidRPr="00021789" w:rsidRDefault="00184C31" w:rsidP="009C55F8">
      <w:pPr>
        <w:pStyle w:val="Pro-Inwest"/>
        <w:numPr>
          <w:ilvl w:val="0"/>
          <w:numId w:val="1"/>
        </w:numPr>
        <w:spacing w:line="240" w:lineRule="auto"/>
        <w:jc w:val="both"/>
        <w:rPr>
          <w:rFonts w:asciiTheme="minorHAnsi" w:hAnsiTheme="minorHAnsi"/>
          <w:sz w:val="16"/>
          <w:szCs w:val="16"/>
        </w:rPr>
      </w:pPr>
      <w:r w:rsidRPr="00021789">
        <w:rPr>
          <w:rFonts w:asciiTheme="minorHAnsi" w:hAnsiTheme="minorHAnsi"/>
          <w:sz w:val="16"/>
          <w:szCs w:val="16"/>
        </w:rPr>
        <w:t>Wykonawcy; wykaz zawierający spis dokumentacji projektowej, którą Wykonawca opracuje w ramach ceny kontraktowej.</w:t>
      </w:r>
    </w:p>
    <w:p w14:paraId="237A1553" w14:textId="77777777" w:rsidR="00184C31" w:rsidRPr="00021789" w:rsidRDefault="00184C31" w:rsidP="00686DA2">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1.5.3.</w:t>
      </w:r>
      <w:r w:rsidRPr="00021789">
        <w:rPr>
          <w:rFonts w:asciiTheme="minorHAnsi" w:hAnsiTheme="minorHAnsi"/>
          <w:sz w:val="16"/>
          <w:szCs w:val="16"/>
        </w:rPr>
        <w:t xml:space="preserve"> Zgodność robót z dokumentacją projektową i </w:t>
      </w:r>
      <w:proofErr w:type="spellStart"/>
      <w:r w:rsidR="00914C3F" w:rsidRPr="00021789">
        <w:rPr>
          <w:rFonts w:asciiTheme="minorHAnsi" w:hAnsiTheme="minorHAnsi"/>
          <w:sz w:val="16"/>
          <w:szCs w:val="16"/>
        </w:rPr>
        <w:t>STWiORB</w:t>
      </w:r>
      <w:proofErr w:type="spellEnd"/>
    </w:p>
    <w:p w14:paraId="1D90C993" w14:textId="77777777" w:rsidR="00184C31" w:rsidRPr="00021789" w:rsidRDefault="00184C31" w:rsidP="00686DA2">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Dokumentacja projektowa,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i wszystkie dodatkowe dokumenty przekazane Wykonawcy przez Inżyniera/Kierownika projektu stanowią część umowy, a wymagania określone w choćby jednym z nich są obowiązujące dla Wykonawcy tak jakby zawarte były w całej dokumentacji.</w:t>
      </w:r>
    </w:p>
    <w:p w14:paraId="5691DDA0" w14:textId="77777777" w:rsidR="00184C31" w:rsidRPr="00021789" w:rsidRDefault="00184C31" w:rsidP="00686DA2">
      <w:pPr>
        <w:pStyle w:val="Pro-Inwest"/>
        <w:spacing w:line="240" w:lineRule="auto"/>
        <w:jc w:val="both"/>
        <w:rPr>
          <w:rFonts w:asciiTheme="minorHAnsi" w:hAnsiTheme="minorHAnsi"/>
          <w:sz w:val="16"/>
          <w:szCs w:val="16"/>
        </w:rPr>
      </w:pPr>
      <w:r w:rsidRPr="00021789">
        <w:rPr>
          <w:rFonts w:asciiTheme="minorHAnsi" w:hAnsiTheme="minorHAnsi"/>
          <w:sz w:val="16"/>
          <w:szCs w:val="16"/>
        </w:rPr>
        <w:t>W przypadku rozbieżności w ustaleniach poszczególnych dokumentów obowiązuje kolejność ich ważności wymieniona w „Kontraktowych warunkach ogólnych” („Ogólnych warunkach umowy”).</w:t>
      </w:r>
    </w:p>
    <w:p w14:paraId="34F01912" w14:textId="77777777" w:rsidR="00184C31" w:rsidRPr="00021789" w:rsidRDefault="00184C31" w:rsidP="00686DA2">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Wykonawca nie może wykorzystywać błędów lub </w:t>
      </w:r>
      <w:proofErr w:type="spellStart"/>
      <w:r w:rsidRPr="00021789">
        <w:rPr>
          <w:rFonts w:asciiTheme="minorHAnsi" w:hAnsiTheme="minorHAnsi"/>
          <w:sz w:val="16"/>
          <w:szCs w:val="16"/>
        </w:rPr>
        <w:t>opuszczeń</w:t>
      </w:r>
      <w:proofErr w:type="spellEnd"/>
      <w:r w:rsidRPr="00021789">
        <w:rPr>
          <w:rFonts w:asciiTheme="minorHAnsi" w:hAnsiTheme="minorHAnsi"/>
          <w:sz w:val="16"/>
          <w:szCs w:val="16"/>
        </w:rPr>
        <w:t xml:space="preserve"> w dokumentach kontraktowych, a o ich wykryciu winien natychmiast powiadomić Inżyniera/Kierownika projektu, który podejmie decyzję o wprowadzeniu odpowiednich zmian i poprawek.</w:t>
      </w:r>
    </w:p>
    <w:p w14:paraId="79FE8820" w14:textId="77777777" w:rsidR="00184C31" w:rsidRPr="00021789" w:rsidRDefault="00184C31" w:rsidP="00686DA2">
      <w:pPr>
        <w:pStyle w:val="Pro-Inwest"/>
        <w:spacing w:line="240" w:lineRule="auto"/>
        <w:jc w:val="both"/>
        <w:rPr>
          <w:rFonts w:asciiTheme="minorHAnsi" w:hAnsiTheme="minorHAnsi"/>
          <w:sz w:val="16"/>
          <w:szCs w:val="16"/>
        </w:rPr>
      </w:pPr>
      <w:r w:rsidRPr="00021789">
        <w:rPr>
          <w:rFonts w:asciiTheme="minorHAnsi" w:hAnsiTheme="minorHAnsi"/>
          <w:sz w:val="16"/>
          <w:szCs w:val="16"/>
        </w:rPr>
        <w:t>W przypadku rozbieżności, wymiary podane na piśmie są ważniejsze od wymiarów określonych na podstawie odczytu ze skali rysunku.</w:t>
      </w:r>
    </w:p>
    <w:p w14:paraId="34B9237E" w14:textId="77777777" w:rsidR="00184C31" w:rsidRPr="00021789" w:rsidRDefault="00184C31" w:rsidP="00686DA2">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Wszystkie wykonane roboty i dostarczone materiały będą zgodne z dokumentacją projektową i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w:t>
      </w:r>
    </w:p>
    <w:p w14:paraId="3D9379F5" w14:textId="77777777" w:rsidR="00184C31" w:rsidRPr="00021789" w:rsidRDefault="00184C31" w:rsidP="00686DA2">
      <w:pPr>
        <w:pStyle w:val="Pro-Inwest"/>
        <w:spacing w:line="240" w:lineRule="auto"/>
        <w:jc w:val="both"/>
        <w:rPr>
          <w:rFonts w:asciiTheme="minorHAnsi" w:hAnsiTheme="minorHAnsi"/>
          <w:sz w:val="16"/>
          <w:szCs w:val="16"/>
        </w:rPr>
      </w:pPr>
      <w:r w:rsidRPr="00021789">
        <w:rPr>
          <w:rFonts w:asciiTheme="minorHAnsi" w:hAnsiTheme="minorHAnsi"/>
          <w:sz w:val="16"/>
          <w:szCs w:val="16"/>
        </w:rPr>
        <w:lastRenderedPageBreak/>
        <w:t xml:space="preserve">Dane określone w dokumentacji projektowej i w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5DBA7608" w14:textId="77777777" w:rsidR="00184C31" w:rsidRPr="00021789" w:rsidRDefault="00184C31" w:rsidP="00686DA2">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W przypadku, gdy materiały lub roboty nie będą w pełni zgodne z dokumentacją projektową lub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i wpłynie to na niezadowalającą jakość elementu budowli, to takie materiały zostaną zastąpione innymi, a elementy budowli rozebrane i wykonane ponownie na koszt Wykonawcy.</w:t>
      </w:r>
    </w:p>
    <w:p w14:paraId="554EFC6D" w14:textId="77777777" w:rsidR="00184C31" w:rsidRPr="00021789" w:rsidRDefault="00184C31" w:rsidP="00686DA2">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1.5.4.</w:t>
      </w:r>
      <w:r w:rsidRPr="00021789">
        <w:rPr>
          <w:rFonts w:asciiTheme="minorHAnsi" w:hAnsiTheme="minorHAnsi"/>
          <w:sz w:val="16"/>
          <w:szCs w:val="16"/>
        </w:rPr>
        <w:t xml:space="preserve"> Zabezpieczenie terenu budowy</w:t>
      </w:r>
    </w:p>
    <w:p w14:paraId="5236D489" w14:textId="77777777" w:rsidR="00184C31" w:rsidRPr="00021789" w:rsidRDefault="00184C31" w:rsidP="009C55F8">
      <w:pPr>
        <w:pStyle w:val="Pro-Inwest"/>
        <w:numPr>
          <w:ilvl w:val="0"/>
          <w:numId w:val="2"/>
        </w:numPr>
        <w:spacing w:line="240" w:lineRule="auto"/>
        <w:jc w:val="both"/>
        <w:rPr>
          <w:rFonts w:asciiTheme="minorHAnsi" w:hAnsiTheme="minorHAnsi"/>
          <w:sz w:val="16"/>
          <w:szCs w:val="16"/>
        </w:rPr>
      </w:pPr>
      <w:r w:rsidRPr="00021789">
        <w:rPr>
          <w:rFonts w:asciiTheme="minorHAnsi" w:hAnsiTheme="minorHAnsi"/>
          <w:sz w:val="16"/>
          <w:szCs w:val="16"/>
        </w:rPr>
        <w:t>Roboty modernizacyjne/ przebudowa i remontowe („pod ruchem”)</w:t>
      </w:r>
    </w:p>
    <w:p w14:paraId="1C847E0A"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21E3F930"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14:paraId="41DB58B7"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W czasie wykonywania robót Wykonawca dostarczy, zainstaluje i będzie obsługiwał wszystkie tymczasowe urządzenia zabezpieczające takie jak: zapory, światła ostrzegawcze, sygnały, itp., zapewniając w ten sposób bezpieczeństwo pojazdów i pieszych.</w:t>
      </w:r>
    </w:p>
    <w:p w14:paraId="16E739C0"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zapewni stałe warunki widoczności w dzień i w nocy tych zapór i znaków, dla których jest to nieodzowne ze względów bezpieczeństwa.</w:t>
      </w:r>
    </w:p>
    <w:p w14:paraId="3F9F495A"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Wszystkie znaki, zapory i inne urządzenia zabezpieczające będą akceptowane przez Inżyniera/Kierownika projektu.</w:t>
      </w:r>
    </w:p>
    <w:p w14:paraId="5CCDC9ED"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5DC866D5"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Koszt zabezpieczenia terenu budowy nie podlega odrębnej zapłacie i przyjmuje się, że jest włączony w cenę kontraktową.</w:t>
      </w:r>
    </w:p>
    <w:p w14:paraId="6C1DDC22" w14:textId="77777777" w:rsidR="00184C31" w:rsidRPr="00021789" w:rsidRDefault="00184C31" w:rsidP="009C55F8">
      <w:pPr>
        <w:pStyle w:val="Pro-Inwest"/>
        <w:numPr>
          <w:ilvl w:val="0"/>
          <w:numId w:val="2"/>
        </w:numPr>
        <w:spacing w:line="240" w:lineRule="auto"/>
        <w:jc w:val="both"/>
        <w:rPr>
          <w:rFonts w:asciiTheme="minorHAnsi" w:hAnsiTheme="minorHAnsi"/>
          <w:sz w:val="16"/>
          <w:szCs w:val="16"/>
        </w:rPr>
      </w:pPr>
      <w:r w:rsidRPr="00021789">
        <w:rPr>
          <w:rFonts w:asciiTheme="minorHAnsi" w:hAnsiTheme="minorHAnsi"/>
          <w:sz w:val="16"/>
          <w:szCs w:val="16"/>
        </w:rPr>
        <w:t>Roboty o charakterze inwestycyjnym</w:t>
      </w:r>
    </w:p>
    <w:p w14:paraId="5092EDA0"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jest zobowiązany do zabezpieczenia terenu budowy w okresie trwania realizacji kontraktu aż do zakończenia i odbioru ostatecznego robót.</w:t>
      </w:r>
    </w:p>
    <w:p w14:paraId="2FB2F4E8"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dostarczy, zainstaluje i będzie utrzymywać tymczasowe urządzenia zabezpieczające, w tym: ogrodzenia, poręcze, oświetlenie, sygnały i znaki ostrzegawcze oraz wszelkie inne środki niezbędne do ochrony robót, wygody społeczności i innych.</w:t>
      </w:r>
    </w:p>
    <w:p w14:paraId="7F6A43B1"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W miejscach przylegających do dróg otwartych dla ruchu, Wykonawca ogrodzi lub wyraźnie oznakuje teren budowy, w sposób uzgodniony z Inżynierem/Kierownikiem projektu.</w:t>
      </w:r>
    </w:p>
    <w:p w14:paraId="2AB3CE38"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Wjazdy i wyjazdy z terenu budowy przeznaczone dla pojazdów i maszyn pracujących przy realizacji robót, Wykonawca odpowiednio oznakuje w sposób uzgodniony z Inżynierem/Kierownikiem projektu.</w:t>
      </w:r>
    </w:p>
    <w:p w14:paraId="4EFB09FE"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0FBB3256" w14:textId="77777777" w:rsidR="00184C31" w:rsidRPr="00021789" w:rsidRDefault="00184C31" w:rsidP="009D40EB">
      <w:pPr>
        <w:pStyle w:val="Pro-Inwest"/>
        <w:spacing w:line="240" w:lineRule="auto"/>
        <w:jc w:val="both"/>
        <w:rPr>
          <w:rFonts w:asciiTheme="minorHAnsi" w:hAnsiTheme="minorHAnsi"/>
          <w:sz w:val="16"/>
          <w:szCs w:val="16"/>
        </w:rPr>
      </w:pPr>
      <w:r w:rsidRPr="00021789">
        <w:rPr>
          <w:rFonts w:asciiTheme="minorHAnsi" w:hAnsiTheme="minorHAnsi"/>
          <w:sz w:val="16"/>
          <w:szCs w:val="16"/>
        </w:rPr>
        <w:t>Koszt zabezpieczenia terenu budowy nie podlega odrębnej zapłacie i przyjmuje się, że jest włączony w cenę kontraktową.</w:t>
      </w:r>
    </w:p>
    <w:p w14:paraId="1B86D7A6"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1.5.5.</w:t>
      </w:r>
      <w:r w:rsidRPr="00021789">
        <w:rPr>
          <w:rFonts w:asciiTheme="minorHAnsi" w:hAnsiTheme="minorHAnsi"/>
          <w:sz w:val="16"/>
          <w:szCs w:val="16"/>
        </w:rPr>
        <w:t xml:space="preserve"> Ochrona środowiska w czasie wykonywania robót</w:t>
      </w:r>
    </w:p>
    <w:p w14:paraId="1F0BBCF2"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ma obowiązek znać i stosować w czasie prowadzenia robót wszelkie przepisy dotyczące ochrony środowiska naturalnego.</w:t>
      </w:r>
    </w:p>
    <w:p w14:paraId="205C47E3"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 okresie trwania budowy i wykańczania robót Wykonawca będzie:</w:t>
      </w:r>
    </w:p>
    <w:p w14:paraId="0F3E9D3E" w14:textId="77777777" w:rsidR="00184C31" w:rsidRPr="00021789" w:rsidRDefault="00184C31" w:rsidP="009C55F8">
      <w:pPr>
        <w:pStyle w:val="Pro-Inwest"/>
        <w:numPr>
          <w:ilvl w:val="0"/>
          <w:numId w:val="3"/>
        </w:numPr>
        <w:spacing w:line="240" w:lineRule="auto"/>
        <w:jc w:val="both"/>
        <w:rPr>
          <w:rFonts w:asciiTheme="minorHAnsi" w:hAnsiTheme="minorHAnsi"/>
          <w:sz w:val="16"/>
          <w:szCs w:val="16"/>
        </w:rPr>
      </w:pPr>
      <w:r w:rsidRPr="00021789">
        <w:rPr>
          <w:rFonts w:asciiTheme="minorHAnsi" w:hAnsiTheme="minorHAnsi"/>
          <w:sz w:val="16"/>
          <w:szCs w:val="16"/>
        </w:rPr>
        <w:t>utrzymywać teren budowy i wykopy w stanie bez wody stojącej,</w:t>
      </w:r>
    </w:p>
    <w:p w14:paraId="70231BD4" w14:textId="77777777" w:rsidR="00184C31" w:rsidRPr="00021789" w:rsidRDefault="00184C31" w:rsidP="009C55F8">
      <w:pPr>
        <w:pStyle w:val="Pro-Inwest"/>
        <w:numPr>
          <w:ilvl w:val="0"/>
          <w:numId w:val="3"/>
        </w:numPr>
        <w:spacing w:line="240" w:lineRule="auto"/>
        <w:jc w:val="both"/>
        <w:rPr>
          <w:rFonts w:asciiTheme="minorHAnsi" w:hAnsiTheme="minorHAnsi"/>
          <w:sz w:val="16"/>
          <w:szCs w:val="16"/>
        </w:rPr>
      </w:pPr>
      <w:r w:rsidRPr="00021789">
        <w:rPr>
          <w:rFonts w:asciiTheme="minorHAnsi" w:hAnsiTheme="minorHAnsi"/>
          <w:sz w:val="16"/>
          <w:szCs w:val="16"/>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14:paraId="0DEF78B9"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Stosując się do tych wymagań będzie miał szczególny wzgląd na:</w:t>
      </w:r>
    </w:p>
    <w:p w14:paraId="36F7097B" w14:textId="77777777" w:rsidR="00184C31" w:rsidRPr="00021789" w:rsidRDefault="00184C31" w:rsidP="009C55F8">
      <w:pPr>
        <w:pStyle w:val="Pro-Inwest"/>
        <w:numPr>
          <w:ilvl w:val="0"/>
          <w:numId w:val="4"/>
        </w:numPr>
        <w:spacing w:line="240" w:lineRule="auto"/>
        <w:jc w:val="both"/>
        <w:rPr>
          <w:rFonts w:asciiTheme="minorHAnsi" w:hAnsiTheme="minorHAnsi"/>
          <w:sz w:val="16"/>
          <w:szCs w:val="16"/>
        </w:rPr>
      </w:pPr>
      <w:r w:rsidRPr="00021789">
        <w:rPr>
          <w:rFonts w:asciiTheme="minorHAnsi" w:hAnsiTheme="minorHAnsi"/>
          <w:sz w:val="16"/>
          <w:szCs w:val="16"/>
        </w:rPr>
        <w:t>lokalizację baz, warsztatów, magazynów, składowisk, ukopów i dróg dojazdowych,</w:t>
      </w:r>
    </w:p>
    <w:p w14:paraId="3E3376F8" w14:textId="77777777" w:rsidR="00184C31" w:rsidRPr="00021789" w:rsidRDefault="00184C31" w:rsidP="009C55F8">
      <w:pPr>
        <w:pStyle w:val="Pro-Inwest"/>
        <w:numPr>
          <w:ilvl w:val="0"/>
          <w:numId w:val="4"/>
        </w:numPr>
        <w:spacing w:line="240" w:lineRule="auto"/>
        <w:jc w:val="both"/>
        <w:rPr>
          <w:rFonts w:asciiTheme="minorHAnsi" w:hAnsiTheme="minorHAnsi"/>
          <w:sz w:val="16"/>
          <w:szCs w:val="16"/>
        </w:rPr>
      </w:pPr>
      <w:r w:rsidRPr="00021789">
        <w:rPr>
          <w:rFonts w:asciiTheme="minorHAnsi" w:hAnsiTheme="minorHAnsi"/>
          <w:sz w:val="16"/>
          <w:szCs w:val="16"/>
        </w:rPr>
        <w:t>środki ostrożności i zabezpieczenia przed:</w:t>
      </w:r>
    </w:p>
    <w:p w14:paraId="5767E647" w14:textId="77777777" w:rsidR="00184C31" w:rsidRPr="00021789" w:rsidRDefault="00184C31" w:rsidP="009C55F8">
      <w:pPr>
        <w:pStyle w:val="Pro-Inwest"/>
        <w:numPr>
          <w:ilvl w:val="0"/>
          <w:numId w:val="4"/>
        </w:numPr>
        <w:spacing w:line="240" w:lineRule="auto"/>
        <w:jc w:val="both"/>
        <w:rPr>
          <w:rFonts w:asciiTheme="minorHAnsi" w:hAnsiTheme="minorHAnsi"/>
          <w:sz w:val="16"/>
          <w:szCs w:val="16"/>
        </w:rPr>
      </w:pPr>
      <w:r w:rsidRPr="00021789">
        <w:rPr>
          <w:rFonts w:asciiTheme="minorHAnsi" w:hAnsiTheme="minorHAnsi"/>
          <w:sz w:val="16"/>
          <w:szCs w:val="16"/>
        </w:rPr>
        <w:t>zanieczyszczeniem zbiorników i cieków wodnych pyłami lub substancjami toksycznymi,</w:t>
      </w:r>
    </w:p>
    <w:p w14:paraId="47FA17FF" w14:textId="77777777" w:rsidR="00184C31" w:rsidRPr="00021789" w:rsidRDefault="00184C31" w:rsidP="009C55F8">
      <w:pPr>
        <w:pStyle w:val="Pro-Inwest"/>
        <w:numPr>
          <w:ilvl w:val="0"/>
          <w:numId w:val="4"/>
        </w:numPr>
        <w:spacing w:line="240" w:lineRule="auto"/>
        <w:jc w:val="both"/>
        <w:rPr>
          <w:rFonts w:asciiTheme="minorHAnsi" w:hAnsiTheme="minorHAnsi"/>
          <w:sz w:val="16"/>
          <w:szCs w:val="16"/>
        </w:rPr>
      </w:pPr>
      <w:r w:rsidRPr="00021789">
        <w:rPr>
          <w:rFonts w:asciiTheme="minorHAnsi" w:hAnsiTheme="minorHAnsi"/>
          <w:sz w:val="16"/>
          <w:szCs w:val="16"/>
        </w:rPr>
        <w:t>zanieczyszczeniem powietrza pyłami i gazami,</w:t>
      </w:r>
    </w:p>
    <w:p w14:paraId="6077622F" w14:textId="77777777" w:rsidR="00184C31" w:rsidRPr="00021789" w:rsidRDefault="00184C31" w:rsidP="009C55F8">
      <w:pPr>
        <w:pStyle w:val="Pro-Inwest"/>
        <w:numPr>
          <w:ilvl w:val="0"/>
          <w:numId w:val="4"/>
        </w:numPr>
        <w:spacing w:line="240" w:lineRule="auto"/>
        <w:jc w:val="both"/>
        <w:rPr>
          <w:rFonts w:asciiTheme="minorHAnsi" w:hAnsiTheme="minorHAnsi"/>
          <w:sz w:val="16"/>
          <w:szCs w:val="16"/>
        </w:rPr>
      </w:pPr>
      <w:r w:rsidRPr="00021789">
        <w:rPr>
          <w:rFonts w:asciiTheme="minorHAnsi" w:hAnsiTheme="minorHAnsi"/>
          <w:sz w:val="16"/>
          <w:szCs w:val="16"/>
        </w:rPr>
        <w:t>możliwością powstania pożaru.</w:t>
      </w:r>
    </w:p>
    <w:p w14:paraId="5EFE8907"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1.5.6.</w:t>
      </w:r>
      <w:r w:rsidRPr="00021789">
        <w:rPr>
          <w:rFonts w:asciiTheme="minorHAnsi" w:hAnsiTheme="minorHAnsi"/>
          <w:sz w:val="16"/>
          <w:szCs w:val="16"/>
        </w:rPr>
        <w:t xml:space="preserve"> Ochrona przeciwpożarowa</w:t>
      </w:r>
    </w:p>
    <w:p w14:paraId="65DBB738"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będzie przestrzegać przepisy ochrony przeciwpożarowej.</w:t>
      </w:r>
    </w:p>
    <w:p w14:paraId="3910CBD7"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będzie utrzymywać, wymagany na podstawie odpowiednich przepisów sprawny sprzęt przeciwpożarowy, na terenie baz produkcyjnych, w pomieszczeniach biurowych, mieszkalnych, magazynach oraz w maszynach i pojazdach.</w:t>
      </w:r>
    </w:p>
    <w:p w14:paraId="5468D18B"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Materiały łatwopalne będą składowane w sposób zgodny z odpowiednimi przepisami i zabezpieczone przed dostępem osób trzecich.</w:t>
      </w:r>
    </w:p>
    <w:p w14:paraId="543BA48D"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będzie odpowiedzialny za wszelkie straty spowodowane pożarem wywołanym jako rezultat realizacji robót albo przez personel Wykonawcy.</w:t>
      </w:r>
    </w:p>
    <w:p w14:paraId="0F249403"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1.5.7.</w:t>
      </w:r>
      <w:r w:rsidRPr="00021789">
        <w:rPr>
          <w:rFonts w:asciiTheme="minorHAnsi" w:hAnsiTheme="minorHAnsi"/>
          <w:sz w:val="16"/>
          <w:szCs w:val="16"/>
        </w:rPr>
        <w:t xml:space="preserve"> Materiały szkodliwe dla otoczenia</w:t>
      </w:r>
    </w:p>
    <w:p w14:paraId="094EE1F4"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Materiały, które w sposób trwały są szkodliwe dla otoczenia, nie będą dopuszczone do użycia.</w:t>
      </w:r>
    </w:p>
    <w:p w14:paraId="323EFD39"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Nie dopuszcza się użycia materiałów wywołujących szkodliwe promieniowanie o stężeniu większym od dopuszczalnego, określonego odpowiednimi przepisami.</w:t>
      </w:r>
    </w:p>
    <w:p w14:paraId="3585344C"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Wszelkie materiały odpadowe użyte do robót będą miały aprobatę techniczną wydaną przez uprawnioną jednostkę, jednoznacznie określającą brak szkodliwego oddziaływania tych materiałów na środowisko.</w:t>
      </w:r>
    </w:p>
    <w:p w14:paraId="5234111D"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328166A5"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Jeżeli Wykonawca użył materiałów szkodliwych dla otoczenia zgodnie ze specyfikacjami, a ich użycie spowodowało jakiekolwiek zagrożenie środowiska, to konsekwencje tego poniesie Zamawiający.</w:t>
      </w:r>
    </w:p>
    <w:p w14:paraId="294B8B01"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1.5.8.</w:t>
      </w:r>
      <w:r w:rsidRPr="00021789">
        <w:rPr>
          <w:rFonts w:asciiTheme="minorHAnsi" w:hAnsiTheme="minorHAnsi"/>
          <w:sz w:val="16"/>
          <w:szCs w:val="16"/>
        </w:rPr>
        <w:t xml:space="preserve"> Ochrona własności publicznej i prywatnej</w:t>
      </w:r>
    </w:p>
    <w:p w14:paraId="52206EA4"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lastRenderedPageBreak/>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41417C25"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zobowiązany jest umieścić w swoim harmonogramie rezerwę czasową dla wszelkiego rodzaju robót, które mają być wykonane w zakresie przełożenia instalacji i urządzeń podziemnych na terenie budowy i powiadomić Inżyniera/Kierownika projektu i władze lokalne</w:t>
      </w:r>
      <w:r w:rsidR="00F224C1" w:rsidRPr="00021789">
        <w:rPr>
          <w:rFonts w:asciiTheme="minorHAnsi" w:hAnsiTheme="minorHAnsi"/>
          <w:sz w:val="16"/>
          <w:szCs w:val="16"/>
        </w:rPr>
        <w:br/>
      </w:r>
      <w:r w:rsidRPr="00021789">
        <w:rPr>
          <w:rFonts w:asciiTheme="minorHAnsi" w:hAnsiTheme="minorHAnsi"/>
          <w:sz w:val="16"/>
          <w:szCs w:val="16"/>
        </w:rPr>
        <w:t>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w:t>
      </w:r>
      <w:r w:rsidR="00F224C1" w:rsidRPr="00021789">
        <w:rPr>
          <w:rFonts w:asciiTheme="minorHAnsi" w:hAnsiTheme="minorHAnsi"/>
          <w:sz w:val="16"/>
          <w:szCs w:val="16"/>
        </w:rPr>
        <w:br/>
      </w:r>
      <w:r w:rsidRPr="00021789">
        <w:rPr>
          <w:rFonts w:asciiTheme="minorHAnsi" w:hAnsiTheme="minorHAnsi"/>
          <w:sz w:val="16"/>
          <w:szCs w:val="16"/>
        </w:rPr>
        <w:t>na powierzchni ziemi i urządzeń podziemnych wykazanych w dokumentach dostarczonych mu przez Zamawiającego.</w:t>
      </w:r>
    </w:p>
    <w:p w14:paraId="084466DE"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432B1ACE"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Inżynier/Kierownik projektu będzie na bieżąco informowany o wszystkich umowach zawartych pomiędzy Wykonawcą a właścicielami nieruchomości i dotyczących korzystania z własności i dróg wewnętrznych. Jednakże, ani Inżynier/Kierownik projektu ani Zamawiający</w:t>
      </w:r>
      <w:r w:rsidR="00F224C1" w:rsidRPr="00021789">
        <w:rPr>
          <w:rFonts w:asciiTheme="minorHAnsi" w:hAnsiTheme="minorHAnsi"/>
          <w:sz w:val="16"/>
          <w:szCs w:val="16"/>
        </w:rPr>
        <w:br/>
      </w:r>
      <w:r w:rsidRPr="00021789">
        <w:rPr>
          <w:rFonts w:asciiTheme="minorHAnsi" w:hAnsiTheme="minorHAnsi"/>
          <w:sz w:val="16"/>
          <w:szCs w:val="16"/>
        </w:rPr>
        <w:t>nie będzie ingerował w takie porozumienia, o ile nie będą one sprzeczne z postanowieniami zawartymi w warunkach umowy.</w:t>
      </w:r>
    </w:p>
    <w:p w14:paraId="67B0279A"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1.5.9. </w:t>
      </w:r>
      <w:r w:rsidRPr="00021789">
        <w:rPr>
          <w:rFonts w:asciiTheme="minorHAnsi" w:hAnsiTheme="minorHAnsi"/>
          <w:sz w:val="16"/>
          <w:szCs w:val="16"/>
        </w:rPr>
        <w:t>Ograniczenie obciążeń osi pojazdów</w:t>
      </w:r>
    </w:p>
    <w:p w14:paraId="6BEC25D2"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będzie stosować się do ustawowych ograniczeń nacisków osi na drogach publicznych przy transporcie materiałów</w:t>
      </w:r>
      <w:r w:rsidR="00F224C1" w:rsidRPr="00021789">
        <w:rPr>
          <w:rFonts w:asciiTheme="minorHAnsi" w:hAnsiTheme="minorHAnsi"/>
          <w:sz w:val="16"/>
          <w:szCs w:val="16"/>
        </w:rPr>
        <w:br/>
      </w:r>
      <w:r w:rsidRPr="00021789">
        <w:rPr>
          <w:rFonts w:asciiTheme="minorHAnsi" w:hAnsiTheme="minorHAnsi"/>
          <w:sz w:val="16"/>
          <w:szCs w:val="16"/>
        </w:rPr>
        <w:t>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w:t>
      </w:r>
      <w:r w:rsidR="00F224C1" w:rsidRPr="00021789">
        <w:rPr>
          <w:rFonts w:asciiTheme="minorHAnsi" w:hAnsiTheme="minorHAnsi"/>
          <w:sz w:val="16"/>
          <w:szCs w:val="16"/>
        </w:rPr>
        <w:br/>
      </w:r>
      <w:r w:rsidRPr="00021789">
        <w:rPr>
          <w:rFonts w:asciiTheme="minorHAnsi" w:hAnsiTheme="minorHAnsi"/>
          <w:sz w:val="16"/>
          <w:szCs w:val="16"/>
        </w:rPr>
        <w:t>i Wykonawca będzie odpowiadał za naprawę wszelkich robót w ten sposób uszkodzonych, zgodnie z poleceniami Inżyniera/Kierownika projektu.</w:t>
      </w:r>
    </w:p>
    <w:p w14:paraId="5D73D230"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 xml:space="preserve">1.5.10. </w:t>
      </w:r>
      <w:r w:rsidRPr="00021789">
        <w:rPr>
          <w:rFonts w:asciiTheme="minorHAnsi" w:hAnsiTheme="minorHAnsi"/>
          <w:sz w:val="16"/>
          <w:szCs w:val="16"/>
        </w:rPr>
        <w:t>Bezpieczeństwo i higiena pracy</w:t>
      </w:r>
    </w:p>
    <w:p w14:paraId="3F5360AA"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Podczas realizacji robót Wykonawca będzie przestrzegać przepisów dotyczących bezpieczeństwa i higieny pracy.</w:t>
      </w:r>
    </w:p>
    <w:p w14:paraId="7CB042CE"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 szczególności Wykonawca ma obowiązek zadbać, aby personel nie wykonywał pracy w warunkach niebezpiecznych, szkodliwych</w:t>
      </w:r>
      <w:r w:rsidR="00F224C1" w:rsidRPr="00021789">
        <w:rPr>
          <w:rFonts w:asciiTheme="minorHAnsi" w:hAnsiTheme="minorHAnsi"/>
          <w:sz w:val="16"/>
          <w:szCs w:val="16"/>
        </w:rPr>
        <w:br/>
      </w:r>
      <w:r w:rsidRPr="00021789">
        <w:rPr>
          <w:rFonts w:asciiTheme="minorHAnsi" w:hAnsiTheme="minorHAnsi"/>
          <w:sz w:val="16"/>
          <w:szCs w:val="16"/>
        </w:rPr>
        <w:t>dla zdrowia oraz nie spełniających odpowiednich wymagań sanitarnych.</w:t>
      </w:r>
    </w:p>
    <w:p w14:paraId="10FFCC01"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zapewni i będzie utrzymywał wszelkie urządzenia zabezpieczające, socjalne oraz sprzęt i odpowiednią odzież dla ochrony życia i zdrowia osób zatrudnionych na budowie oraz dla zapewnienia bezpieczeństwa publicznego.</w:t>
      </w:r>
    </w:p>
    <w:p w14:paraId="4041FCE2"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Uznaje się, że wszelkie koszty związane z wypełnieniem wymagań określonych powyżej nie podlegają odrębnej zapłacie i są uwzględnione w cenie kontraktowej.</w:t>
      </w:r>
    </w:p>
    <w:p w14:paraId="3E8F3E9F"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1.5.11.</w:t>
      </w:r>
      <w:r w:rsidRPr="00021789">
        <w:rPr>
          <w:rFonts w:asciiTheme="minorHAnsi" w:hAnsiTheme="minorHAnsi"/>
          <w:sz w:val="16"/>
          <w:szCs w:val="16"/>
        </w:rPr>
        <w:t xml:space="preserve"> Ochrona i utrzymanie robót</w:t>
      </w:r>
    </w:p>
    <w:p w14:paraId="18622F68"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będzie odpowiadał za ochronę robót i za wszelkie materiały i urządzenia używane do robót od daty rozpoczęcia do daty wydania potwierdzenia zakończenia robót przez Inżyniera/Kierownika projektu.</w:t>
      </w:r>
    </w:p>
    <w:p w14:paraId="09C173DD"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będzie utrzymywać roboty do czasu odbioru ostatecznego. Utrzymanie powinno być prowadzone w taki sposób, aby budowla drogowa lub jej elementy były w zadowalającym stanie przez cały czas, do momentu odbioru ostatecznego.</w:t>
      </w:r>
    </w:p>
    <w:p w14:paraId="5D8698E9"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Jeśli Wykonawca w jakimkolwiek czasie zaniedba utrzymanie, to na polecenie Inżyniera/Kierownika projektu powinien rozpocząć roboty utrzymaniowe nie później niż w 24 godziny po otrzymaniu tego polecenia.</w:t>
      </w:r>
    </w:p>
    <w:p w14:paraId="0FA50242"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1.5.12.</w:t>
      </w:r>
      <w:r w:rsidRPr="00021789">
        <w:rPr>
          <w:rFonts w:asciiTheme="minorHAnsi" w:hAnsiTheme="minorHAnsi"/>
          <w:sz w:val="16"/>
          <w:szCs w:val="16"/>
        </w:rPr>
        <w:t xml:space="preserve"> Stosowanie się do prawa i innych przepisów</w:t>
      </w:r>
    </w:p>
    <w:p w14:paraId="485448C3"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zobowiązany jest znać wszystkie zarządzenia wydane przez władze centralne i miejscowe oraz inne przepisy, regulaminy</w:t>
      </w:r>
      <w:r w:rsidR="00F224C1" w:rsidRPr="00021789">
        <w:rPr>
          <w:rFonts w:asciiTheme="minorHAnsi" w:hAnsiTheme="minorHAnsi"/>
          <w:sz w:val="16"/>
          <w:szCs w:val="16"/>
        </w:rPr>
        <w:br/>
      </w:r>
      <w:r w:rsidRPr="00021789">
        <w:rPr>
          <w:rFonts w:asciiTheme="minorHAnsi" w:hAnsiTheme="minorHAnsi"/>
          <w:sz w:val="16"/>
          <w:szCs w:val="16"/>
        </w:rPr>
        <w:t>i wytyczne, które są w jakikolwiek sposób związane z wykonywanymi robotami i będzie w pełni odpowiedzialny za przestrzeganie tych postanowień podczas prowadzenia robót.</w:t>
      </w:r>
    </w:p>
    <w:p w14:paraId="64782FD0"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będzie przestrzegać praw patentowych i będzie w pełni odpowiedzialny za wypełnienie wszelkich wymagań prawnych odnośnie znaków firmowych, nazw lub innych chronionych praw w odniesieniu do sprzętu, materiałów lub urządzeń użytych</w:t>
      </w:r>
      <w:r w:rsidR="00F224C1" w:rsidRPr="00021789">
        <w:rPr>
          <w:rFonts w:asciiTheme="minorHAnsi" w:hAnsiTheme="minorHAnsi"/>
          <w:sz w:val="16"/>
          <w:szCs w:val="16"/>
        </w:rPr>
        <w:br/>
      </w:r>
      <w:r w:rsidRPr="00021789">
        <w:rPr>
          <w:rFonts w:asciiTheme="minorHAnsi" w:hAnsiTheme="minorHAnsi"/>
          <w:sz w:val="16"/>
          <w:szCs w:val="16"/>
        </w:rPr>
        <w:t>lub związanych z wykonywaniem robót i w sposób ciągły będzie informować Inżyniera/Kierownika projektu o swoich działaniach, przedstawiając kopie zezwoleń i inne odnośne dokumenty. Wszelkie straty, koszty postępowania, obciążenia i wydatki wynikłe</w:t>
      </w:r>
      <w:r w:rsidR="00F224C1" w:rsidRPr="00021789">
        <w:rPr>
          <w:rFonts w:asciiTheme="minorHAnsi" w:hAnsiTheme="minorHAnsi"/>
          <w:sz w:val="16"/>
          <w:szCs w:val="16"/>
        </w:rPr>
        <w:br/>
      </w:r>
      <w:r w:rsidRPr="00021789">
        <w:rPr>
          <w:rFonts w:asciiTheme="minorHAnsi" w:hAnsiTheme="minorHAnsi"/>
          <w:sz w:val="16"/>
          <w:szCs w:val="16"/>
        </w:rPr>
        <w:t>z lub związane z naruszeniem jakichkolwiek praw patentowych pokryje Wykonawca, z wyjątkiem przypadków, kiedy takie naruszenie wyniknie z wykonania projektu lub specyfikacji dostarczonej przez Inżyniera/Kierownika projektu.</w:t>
      </w:r>
    </w:p>
    <w:p w14:paraId="71CF29A2"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1.5.13.</w:t>
      </w:r>
      <w:r w:rsidRPr="00021789">
        <w:rPr>
          <w:rFonts w:asciiTheme="minorHAnsi" w:hAnsiTheme="minorHAnsi"/>
          <w:sz w:val="16"/>
          <w:szCs w:val="16"/>
        </w:rPr>
        <w:t xml:space="preserve"> Równoważność norm i zbiorów przepisów prawnych</w:t>
      </w:r>
    </w:p>
    <w:p w14:paraId="337D1B59"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Gdziekolwiek w dokumentach kontraktowych powołane są konkretne normy i przepisy, które spełniać mają materiały, sprzęt i inne towary oraz wykonane i zbadane roboty, będą obowiązywać postanowienia najnowszego wydania lub poprawionego wydania powołanych norm</w:t>
      </w:r>
      <w:r w:rsidR="00F224C1" w:rsidRPr="00021789">
        <w:rPr>
          <w:rFonts w:asciiTheme="minorHAnsi" w:hAnsiTheme="minorHAnsi"/>
          <w:sz w:val="16"/>
          <w:szCs w:val="16"/>
        </w:rPr>
        <w:br/>
      </w:r>
      <w:r w:rsidRPr="00021789">
        <w:rPr>
          <w:rFonts w:asciiTheme="minorHAnsi" w:hAnsiTheme="minorHAnsi"/>
          <w:sz w:val="16"/>
          <w:szCs w:val="16"/>
        </w:rPr>
        <w:t>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 Kierownikowi projektu do zatwierdzenia.</w:t>
      </w:r>
    </w:p>
    <w:p w14:paraId="618EE399"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1.5.14.</w:t>
      </w:r>
      <w:r w:rsidRPr="00021789">
        <w:rPr>
          <w:rFonts w:asciiTheme="minorHAnsi" w:hAnsiTheme="minorHAnsi"/>
          <w:sz w:val="16"/>
          <w:szCs w:val="16"/>
        </w:rPr>
        <w:t xml:space="preserve"> Wykopaliska</w:t>
      </w:r>
    </w:p>
    <w:p w14:paraId="41BE3C40"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w:t>
      </w:r>
      <w:r w:rsidR="00F224C1" w:rsidRPr="00021789">
        <w:rPr>
          <w:rFonts w:asciiTheme="minorHAnsi" w:hAnsiTheme="minorHAnsi"/>
          <w:sz w:val="16"/>
          <w:szCs w:val="16"/>
        </w:rPr>
        <w:br/>
      </w:r>
      <w:r w:rsidRPr="00021789">
        <w:rPr>
          <w:rFonts w:asciiTheme="minorHAnsi" w:hAnsiTheme="minorHAnsi"/>
          <w:sz w:val="16"/>
          <w:szCs w:val="16"/>
        </w:rPr>
        <w:t>w robotach, Inżynier/ Kierownik projektu po uzgodnieniu z Zamawiającym i Wykonawcą ustali wydłużenie czasu wykonania robót i/lub wysokość kwoty, o którą należy zwiększyć cenę kontraktową.</w:t>
      </w:r>
    </w:p>
    <w:p w14:paraId="3A1A2AA8"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b/>
          <w:bCs/>
          <w:sz w:val="16"/>
          <w:szCs w:val="16"/>
        </w:rPr>
        <w:t>1.6. Zaplecze Zamawiającego (</w:t>
      </w:r>
      <w:r w:rsidRPr="00021789">
        <w:rPr>
          <w:rFonts w:asciiTheme="minorHAnsi" w:hAnsiTheme="minorHAnsi"/>
          <w:sz w:val="16"/>
          <w:szCs w:val="16"/>
        </w:rPr>
        <w:t>o ile warunki kontraktu przewidują realizację</w:t>
      </w:r>
      <w:r w:rsidRPr="00021789">
        <w:rPr>
          <w:rFonts w:asciiTheme="minorHAnsi" w:hAnsiTheme="minorHAnsi"/>
          <w:b/>
          <w:bCs/>
          <w:sz w:val="16"/>
          <w:szCs w:val="16"/>
        </w:rPr>
        <w:t>)</w:t>
      </w:r>
    </w:p>
    <w:p w14:paraId="18E34CD8" w14:textId="77777777" w:rsidR="00184C31" w:rsidRPr="00021789" w:rsidRDefault="00184C31" w:rsidP="00231FA4">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zobowiązany jest zabezpieczyć Zamawiającemu, pomieszczenia biurowe, sprzęt, transport oraz inne urządzenia towarzyszące, zgodnie z wymaganiami podanymi w D-M-00.00.01 „Zaplecze Zamawiającego”.</w:t>
      </w:r>
    </w:p>
    <w:p w14:paraId="6307BDD4" w14:textId="77777777" w:rsidR="005D0AB2" w:rsidRPr="00021789" w:rsidRDefault="005D0AB2" w:rsidP="00366539">
      <w:pPr>
        <w:pStyle w:val="Pro-Inwest"/>
        <w:spacing w:line="240" w:lineRule="auto"/>
        <w:jc w:val="both"/>
        <w:rPr>
          <w:rFonts w:asciiTheme="minorHAnsi" w:hAnsiTheme="minorHAnsi"/>
          <w:b/>
          <w:sz w:val="16"/>
          <w:szCs w:val="16"/>
        </w:rPr>
      </w:pPr>
    </w:p>
    <w:p w14:paraId="3B0A532B" w14:textId="77777777" w:rsidR="00184C31" w:rsidRPr="00021789" w:rsidRDefault="00184C31" w:rsidP="00366539">
      <w:pPr>
        <w:pStyle w:val="Pro-Inwest"/>
        <w:spacing w:line="240" w:lineRule="auto"/>
        <w:jc w:val="both"/>
        <w:rPr>
          <w:rFonts w:asciiTheme="minorHAnsi" w:hAnsiTheme="minorHAnsi"/>
          <w:b/>
          <w:sz w:val="16"/>
          <w:szCs w:val="16"/>
        </w:rPr>
      </w:pPr>
      <w:r w:rsidRPr="00021789">
        <w:rPr>
          <w:rFonts w:asciiTheme="minorHAnsi" w:hAnsiTheme="minorHAnsi"/>
          <w:b/>
          <w:sz w:val="16"/>
          <w:szCs w:val="16"/>
        </w:rPr>
        <w:t>2. MATERIAŁY</w:t>
      </w:r>
    </w:p>
    <w:p w14:paraId="16257AB5" w14:textId="77777777" w:rsidR="00184C31" w:rsidRPr="00021789" w:rsidRDefault="00184C31" w:rsidP="00366539">
      <w:pPr>
        <w:pStyle w:val="Pro-Inwest"/>
        <w:spacing w:line="240" w:lineRule="auto"/>
        <w:jc w:val="both"/>
        <w:rPr>
          <w:rFonts w:asciiTheme="minorHAnsi" w:hAnsiTheme="minorHAnsi"/>
          <w:b/>
          <w:sz w:val="16"/>
          <w:szCs w:val="16"/>
        </w:rPr>
      </w:pPr>
      <w:r w:rsidRPr="00021789">
        <w:rPr>
          <w:rFonts w:asciiTheme="minorHAnsi" w:hAnsiTheme="minorHAnsi"/>
          <w:b/>
          <w:sz w:val="16"/>
          <w:szCs w:val="16"/>
        </w:rPr>
        <w:t>2.1. Źródła uzyskania materiałów</w:t>
      </w:r>
    </w:p>
    <w:p w14:paraId="36E11C50"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14:paraId="7508097E" w14:textId="77777777" w:rsidR="00184C31" w:rsidRPr="00021789" w:rsidRDefault="00184C31" w:rsidP="00366539">
      <w:pPr>
        <w:pStyle w:val="Pro-Inwest"/>
        <w:spacing w:line="240" w:lineRule="auto"/>
        <w:jc w:val="both"/>
        <w:rPr>
          <w:rFonts w:asciiTheme="minorHAnsi" w:hAnsiTheme="minorHAnsi"/>
          <w:sz w:val="16"/>
          <w:szCs w:val="16"/>
        </w:rPr>
      </w:pPr>
      <w:r w:rsidRPr="00021789">
        <w:rPr>
          <w:rFonts w:asciiTheme="minorHAnsi" w:hAnsiTheme="minorHAnsi"/>
          <w:sz w:val="16"/>
          <w:szCs w:val="16"/>
        </w:rPr>
        <w:lastRenderedPageBreak/>
        <w:t>Zatwierdzenie partii materiałów z danego źródła nie oznacza automatycznie, że wszelkie materiały z danego źródła uzyskają zatwierdzenie.</w:t>
      </w:r>
    </w:p>
    <w:p w14:paraId="50611E35" w14:textId="77777777" w:rsidR="00184C31" w:rsidRPr="00021789" w:rsidRDefault="00184C31" w:rsidP="00366539">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Wykonawca zobowiązany jest do prowadzenia badań w celu wykazania, że materiały uzyskane z dopuszczonego źródła w sposób ciągły spełniają wymagania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w czasie realizacji robót.</w:t>
      </w:r>
    </w:p>
    <w:p w14:paraId="21A9E909" w14:textId="77777777" w:rsidR="009C4406" w:rsidRPr="00021789" w:rsidRDefault="00184C31" w:rsidP="009C4406">
      <w:pPr>
        <w:pStyle w:val="Pro-Inwest"/>
        <w:spacing w:line="240" w:lineRule="auto"/>
        <w:jc w:val="both"/>
        <w:rPr>
          <w:rFonts w:asciiTheme="minorHAnsi" w:hAnsiTheme="minorHAnsi"/>
          <w:b/>
          <w:sz w:val="16"/>
          <w:szCs w:val="16"/>
        </w:rPr>
      </w:pPr>
      <w:r w:rsidRPr="00021789">
        <w:rPr>
          <w:rFonts w:asciiTheme="minorHAnsi" w:hAnsiTheme="minorHAnsi"/>
          <w:b/>
          <w:sz w:val="16"/>
          <w:szCs w:val="16"/>
        </w:rPr>
        <w:t>2.2. Pozyskiwanie materiałów miejscowych</w:t>
      </w:r>
    </w:p>
    <w:p w14:paraId="0E5DBD24" w14:textId="77777777" w:rsidR="00184C31" w:rsidRPr="00021789" w:rsidRDefault="00184C31" w:rsidP="009C4406">
      <w:pPr>
        <w:pStyle w:val="Pro-Inwest"/>
        <w:spacing w:line="240" w:lineRule="auto"/>
        <w:jc w:val="both"/>
        <w:rPr>
          <w:rFonts w:asciiTheme="minorHAnsi" w:hAnsiTheme="minorHAnsi"/>
          <w:b/>
          <w:sz w:val="16"/>
          <w:szCs w:val="16"/>
        </w:rPr>
      </w:pPr>
      <w:r w:rsidRPr="00021789">
        <w:rPr>
          <w:rFonts w:asciiTheme="minorHAnsi" w:hAnsiTheme="minorHAnsi"/>
          <w:sz w:val="16"/>
          <w:szCs w:val="16"/>
        </w:rPr>
        <w:t>Wykonawca odpowiada za uzyskanie pozwoleń od właścicieli i odnośnych władz na pozyskanie materiałów ze źródeł miejscowych włączając</w:t>
      </w:r>
      <w:r w:rsidR="009C4406" w:rsidRPr="00021789">
        <w:rPr>
          <w:rFonts w:asciiTheme="minorHAnsi" w:hAnsiTheme="minorHAnsi"/>
          <w:sz w:val="16"/>
          <w:szCs w:val="16"/>
        </w:rPr>
        <w:t xml:space="preserve"> </w:t>
      </w:r>
      <w:r w:rsidRPr="00021789">
        <w:rPr>
          <w:rFonts w:asciiTheme="minorHAnsi" w:hAnsiTheme="minorHAnsi"/>
          <w:sz w:val="16"/>
          <w:szCs w:val="16"/>
        </w:rPr>
        <w:t>w to źródła wskazane przez Zamawiającego i jest zobowiązany dostarczyć Inżynierowi/Kierownikowi projektu wymagane dokumenty przed rozpoczęciem eksploatacji źródła.</w:t>
      </w:r>
    </w:p>
    <w:p w14:paraId="3D2DB5E7"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przedstawi Inżynierowi/Kierownikowi projektu do zatwierdzenia dokumentację zawierającą raporty z badań terenowych</w:t>
      </w:r>
      <w:r w:rsidR="00352493" w:rsidRPr="00021789">
        <w:rPr>
          <w:rFonts w:asciiTheme="minorHAnsi" w:hAnsiTheme="minorHAnsi"/>
          <w:sz w:val="16"/>
          <w:szCs w:val="16"/>
        </w:rPr>
        <w:br/>
      </w:r>
      <w:r w:rsidRPr="00021789">
        <w:rPr>
          <w:rFonts w:asciiTheme="minorHAnsi" w:hAnsiTheme="minorHAnsi"/>
          <w:sz w:val="16"/>
          <w:szCs w:val="16"/>
        </w:rPr>
        <w:t>i laboratoryjnych oraz proponowaną przez siebie metodę wydobycia i selekcji, uwzględniając aktualne decyzje o eksploatacji, organów administracji państwowej i samorządowej.</w:t>
      </w:r>
    </w:p>
    <w:p w14:paraId="1DA83A5F"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ponosi odpowiedzialność za spełnienie wymagań ilościowych i jakościowych materiałów pochodzących ze źródeł miejscowych.</w:t>
      </w:r>
    </w:p>
    <w:p w14:paraId="59D40967"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ponosi wszystkie koszty, z tytułu wydobycia materiałów, dzierżawy i inne jakie okażą się potrzebne w związku</w:t>
      </w:r>
      <w:r w:rsidR="00F224C1" w:rsidRPr="00021789">
        <w:rPr>
          <w:rFonts w:asciiTheme="minorHAnsi" w:hAnsiTheme="minorHAnsi"/>
          <w:sz w:val="16"/>
          <w:szCs w:val="16"/>
        </w:rPr>
        <w:br/>
      </w:r>
      <w:r w:rsidRPr="00021789">
        <w:rPr>
          <w:rFonts w:asciiTheme="minorHAnsi" w:hAnsiTheme="minorHAnsi"/>
          <w:sz w:val="16"/>
          <w:szCs w:val="16"/>
        </w:rPr>
        <w:t>z dostarczeniem materiałów do robót.</w:t>
      </w:r>
    </w:p>
    <w:p w14:paraId="3679ABC8"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Humus i nadkład czasowo zdjęte z terenu wykopów, </w:t>
      </w:r>
      <w:proofErr w:type="spellStart"/>
      <w:r w:rsidRPr="00021789">
        <w:rPr>
          <w:rFonts w:asciiTheme="minorHAnsi" w:hAnsiTheme="minorHAnsi"/>
          <w:sz w:val="16"/>
          <w:szCs w:val="16"/>
        </w:rPr>
        <w:t>dokopów</w:t>
      </w:r>
      <w:proofErr w:type="spellEnd"/>
      <w:r w:rsidRPr="00021789">
        <w:rPr>
          <w:rFonts w:asciiTheme="minorHAnsi" w:hAnsiTheme="minorHAnsi"/>
          <w:sz w:val="16"/>
          <w:szCs w:val="16"/>
        </w:rPr>
        <w:t xml:space="preserve"> i miejsc pozyskania materiałów miejscowych będą formowane</w:t>
      </w:r>
      <w:r w:rsidR="00F224C1" w:rsidRPr="00021789">
        <w:rPr>
          <w:rFonts w:asciiTheme="minorHAnsi" w:hAnsiTheme="minorHAnsi"/>
          <w:sz w:val="16"/>
          <w:szCs w:val="16"/>
        </w:rPr>
        <w:br/>
      </w:r>
      <w:r w:rsidRPr="00021789">
        <w:rPr>
          <w:rFonts w:asciiTheme="minorHAnsi" w:hAnsiTheme="minorHAnsi"/>
          <w:sz w:val="16"/>
          <w:szCs w:val="16"/>
        </w:rPr>
        <w:t>w hałdy</w:t>
      </w:r>
      <w:r w:rsidR="00F224C1" w:rsidRPr="00021789">
        <w:rPr>
          <w:rFonts w:asciiTheme="minorHAnsi" w:hAnsiTheme="minorHAnsi"/>
          <w:sz w:val="16"/>
          <w:szCs w:val="16"/>
        </w:rPr>
        <w:t xml:space="preserve"> </w:t>
      </w:r>
      <w:r w:rsidRPr="00021789">
        <w:rPr>
          <w:rFonts w:asciiTheme="minorHAnsi" w:hAnsiTheme="minorHAnsi"/>
          <w:sz w:val="16"/>
          <w:szCs w:val="16"/>
        </w:rPr>
        <w:t>i wykorzystane przy zasypce i rekultywacji terenu po ukończeniu robót.</w:t>
      </w:r>
    </w:p>
    <w:p w14:paraId="74BFD8B1"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Wszystkie odpowiednie materiały pozyskane z wykopów na terenie budowy lub z innych miejsc wskazanych w dokumentach umowy będą wykorzystane do robót lub odwiezione na odkład odpowiednio do wymagań umowy lub wskazań Inżyniera/Kierownika projektu.</w:t>
      </w:r>
    </w:p>
    <w:p w14:paraId="7EE8F19D"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nie będzie prowadzić żadnych wykopów w obrębie terenu budowy poza tymi, które zostały wyszczególnione</w:t>
      </w:r>
      <w:r w:rsidR="00F224C1" w:rsidRPr="00021789">
        <w:rPr>
          <w:rFonts w:asciiTheme="minorHAnsi" w:hAnsiTheme="minorHAnsi"/>
          <w:sz w:val="16"/>
          <w:szCs w:val="16"/>
        </w:rPr>
        <w:br/>
      </w:r>
      <w:r w:rsidRPr="00021789">
        <w:rPr>
          <w:rFonts w:asciiTheme="minorHAnsi" w:hAnsiTheme="minorHAnsi"/>
          <w:sz w:val="16"/>
          <w:szCs w:val="16"/>
        </w:rPr>
        <w:t>w dokumentach umowy, chyba, że uzyska na to pisemną zgodę Inżyniera/Kierownika projektu.</w:t>
      </w:r>
    </w:p>
    <w:p w14:paraId="498A02DB" w14:textId="77777777" w:rsidR="00184C31" w:rsidRPr="00021789" w:rsidRDefault="00184C31" w:rsidP="00366539">
      <w:pPr>
        <w:pStyle w:val="Pro-Inwest"/>
        <w:spacing w:line="240" w:lineRule="auto"/>
        <w:jc w:val="both"/>
        <w:rPr>
          <w:rFonts w:asciiTheme="minorHAnsi" w:hAnsiTheme="minorHAnsi"/>
          <w:sz w:val="16"/>
          <w:szCs w:val="16"/>
        </w:rPr>
      </w:pPr>
      <w:r w:rsidRPr="00021789">
        <w:rPr>
          <w:rFonts w:asciiTheme="minorHAnsi" w:hAnsiTheme="minorHAnsi"/>
          <w:sz w:val="16"/>
          <w:szCs w:val="16"/>
        </w:rPr>
        <w:t>Eksploatacja źródeł materiałów będzie zgodna z wszelkimi regulacjami prawnymi obowiązującymi na danym obszarze.</w:t>
      </w:r>
    </w:p>
    <w:p w14:paraId="4E9C57E9" w14:textId="77777777" w:rsidR="00184C31" w:rsidRPr="00021789" w:rsidRDefault="00184C31" w:rsidP="00366539">
      <w:pPr>
        <w:pStyle w:val="Pro-Inwest"/>
        <w:spacing w:line="240" w:lineRule="auto"/>
        <w:jc w:val="both"/>
        <w:rPr>
          <w:rFonts w:asciiTheme="minorHAnsi" w:hAnsiTheme="minorHAnsi"/>
          <w:b/>
          <w:sz w:val="16"/>
          <w:szCs w:val="16"/>
        </w:rPr>
      </w:pPr>
      <w:r w:rsidRPr="00021789">
        <w:rPr>
          <w:rFonts w:asciiTheme="minorHAnsi" w:hAnsiTheme="minorHAnsi"/>
          <w:b/>
          <w:sz w:val="16"/>
          <w:szCs w:val="16"/>
        </w:rPr>
        <w:t>2.3. Materiały nie odpowiadające wymaganiom</w:t>
      </w:r>
    </w:p>
    <w:p w14:paraId="5EE56301"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14:paraId="211403A5"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Każdy rodzaj robót, w którym znajdują się nie zbadane i nie zaakceptowane materiały, Wykonawca wykonuje na własne ryzyko, licząc</w:t>
      </w:r>
      <w:r w:rsidR="00352493" w:rsidRPr="00021789">
        <w:rPr>
          <w:rFonts w:asciiTheme="minorHAnsi" w:hAnsiTheme="minorHAnsi"/>
          <w:sz w:val="16"/>
          <w:szCs w:val="16"/>
        </w:rPr>
        <w:br/>
      </w:r>
      <w:r w:rsidRPr="00021789">
        <w:rPr>
          <w:rFonts w:asciiTheme="minorHAnsi" w:hAnsiTheme="minorHAnsi"/>
          <w:sz w:val="16"/>
          <w:szCs w:val="16"/>
        </w:rPr>
        <w:t>się z jego nieprzyjęciem, usunięciem i niezapłaceniem</w:t>
      </w:r>
    </w:p>
    <w:p w14:paraId="17DC8219" w14:textId="77777777" w:rsidR="00184C31" w:rsidRPr="00021789" w:rsidRDefault="00184C31" w:rsidP="00366539">
      <w:pPr>
        <w:pStyle w:val="Pro-Inwest"/>
        <w:spacing w:line="240" w:lineRule="auto"/>
        <w:jc w:val="both"/>
        <w:rPr>
          <w:rFonts w:asciiTheme="minorHAnsi" w:hAnsiTheme="minorHAnsi"/>
          <w:b/>
          <w:sz w:val="16"/>
          <w:szCs w:val="16"/>
        </w:rPr>
      </w:pPr>
      <w:r w:rsidRPr="00021789">
        <w:rPr>
          <w:rFonts w:asciiTheme="minorHAnsi" w:hAnsiTheme="minorHAnsi"/>
          <w:b/>
          <w:sz w:val="16"/>
          <w:szCs w:val="16"/>
        </w:rPr>
        <w:t>2.4. Wariantowe stosowanie materiałów</w:t>
      </w:r>
    </w:p>
    <w:p w14:paraId="0177B28E"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Jeśli dokumentacja projektowa lub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przewidują możliwość wariantowego zastosowania rodzaju materiału</w:t>
      </w:r>
      <w:r w:rsidR="00F224C1" w:rsidRPr="00021789">
        <w:rPr>
          <w:rFonts w:asciiTheme="minorHAnsi" w:hAnsiTheme="minorHAnsi"/>
          <w:sz w:val="16"/>
          <w:szCs w:val="16"/>
        </w:rPr>
        <w:br/>
      </w:r>
      <w:r w:rsidRPr="00021789">
        <w:rPr>
          <w:rFonts w:asciiTheme="minorHAnsi" w:hAnsiTheme="minorHAnsi"/>
          <w:sz w:val="16"/>
          <w:szCs w:val="16"/>
        </w:rPr>
        <w:t>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14:paraId="6809B146" w14:textId="77777777" w:rsidR="00184C31" w:rsidRPr="00021789" w:rsidRDefault="00184C31" w:rsidP="00366539">
      <w:pPr>
        <w:pStyle w:val="Pro-Inwest"/>
        <w:spacing w:line="240" w:lineRule="auto"/>
        <w:jc w:val="both"/>
        <w:rPr>
          <w:rFonts w:asciiTheme="minorHAnsi" w:hAnsiTheme="minorHAnsi"/>
          <w:b/>
          <w:sz w:val="16"/>
          <w:szCs w:val="16"/>
        </w:rPr>
      </w:pPr>
      <w:r w:rsidRPr="00021789">
        <w:rPr>
          <w:rFonts w:asciiTheme="minorHAnsi" w:hAnsiTheme="minorHAnsi"/>
          <w:b/>
          <w:sz w:val="16"/>
          <w:szCs w:val="16"/>
        </w:rPr>
        <w:t>2.5. Przechowywanie i składowanie materiałów</w:t>
      </w:r>
    </w:p>
    <w:p w14:paraId="56E2B368"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zapewni, aby tymczasowo składowane materiały, do czasu gdy będą one użyte do robót, były zabezpieczone przed zanieczyszczeniami, zachowały swoją jakość i właściwości i były dostępne do kontroli przez Inżyniera/Kierownika projektu.</w:t>
      </w:r>
    </w:p>
    <w:p w14:paraId="52096E14"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Miejsca czasowego składowania materiałów będą zlokalizowane w obrębie terenu budowy w miejscach uzgodnionych</w:t>
      </w:r>
      <w:r w:rsidR="00352493" w:rsidRPr="00021789">
        <w:rPr>
          <w:rFonts w:asciiTheme="minorHAnsi" w:hAnsiTheme="minorHAnsi"/>
          <w:sz w:val="16"/>
          <w:szCs w:val="16"/>
        </w:rPr>
        <w:br/>
      </w:r>
      <w:r w:rsidRPr="00021789">
        <w:rPr>
          <w:rFonts w:asciiTheme="minorHAnsi" w:hAnsiTheme="minorHAnsi"/>
          <w:sz w:val="16"/>
          <w:szCs w:val="16"/>
        </w:rPr>
        <w:t>z Inżynierem/Kierownikiem projektu lub poza terenem budowy w miejscach zorganizowanych przez Wykonawcę i zaakceptowanych przez Inżyniera/Kierownika projektu.</w:t>
      </w:r>
    </w:p>
    <w:p w14:paraId="4ED0D22D" w14:textId="77777777" w:rsidR="00184C31" w:rsidRPr="00021789" w:rsidRDefault="00184C31" w:rsidP="00366539">
      <w:pPr>
        <w:pStyle w:val="Pro-Inwest"/>
        <w:spacing w:line="240" w:lineRule="auto"/>
        <w:jc w:val="both"/>
        <w:rPr>
          <w:rFonts w:asciiTheme="minorHAnsi" w:hAnsiTheme="minorHAnsi"/>
          <w:b/>
          <w:sz w:val="16"/>
          <w:szCs w:val="16"/>
        </w:rPr>
      </w:pPr>
      <w:r w:rsidRPr="00021789">
        <w:rPr>
          <w:rFonts w:asciiTheme="minorHAnsi" w:hAnsiTheme="minorHAnsi"/>
          <w:b/>
          <w:sz w:val="16"/>
          <w:szCs w:val="16"/>
        </w:rPr>
        <w:t>2.6. Inspekcja wytwórni materiałów</w:t>
      </w:r>
    </w:p>
    <w:p w14:paraId="3C1BEB2E"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Wytwórnie materiałów mogą być okresowo kontrolowane przez Inżyniera/ 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161A0D98" w14:textId="77777777" w:rsidR="00184C31" w:rsidRPr="00021789" w:rsidRDefault="00184C31" w:rsidP="00366539">
      <w:pPr>
        <w:pStyle w:val="Pro-Inwest"/>
        <w:spacing w:line="240" w:lineRule="auto"/>
        <w:jc w:val="both"/>
        <w:rPr>
          <w:rFonts w:asciiTheme="minorHAnsi" w:hAnsiTheme="minorHAnsi"/>
          <w:sz w:val="16"/>
          <w:szCs w:val="16"/>
        </w:rPr>
      </w:pPr>
      <w:r w:rsidRPr="00021789">
        <w:rPr>
          <w:rFonts w:asciiTheme="minorHAnsi" w:hAnsiTheme="minorHAnsi"/>
          <w:sz w:val="16"/>
          <w:szCs w:val="16"/>
        </w:rPr>
        <w:t>W przypadku, gdy Inżynier/Kierownik projektu będzie przeprowadzał inspekcję wytwórni, muszą być spełnione następujące warunki:</w:t>
      </w:r>
    </w:p>
    <w:p w14:paraId="00883772" w14:textId="77777777" w:rsidR="00184C31" w:rsidRPr="00021789" w:rsidRDefault="00184C31" w:rsidP="009C55F8">
      <w:pPr>
        <w:pStyle w:val="Pro-Inwest"/>
        <w:numPr>
          <w:ilvl w:val="0"/>
          <w:numId w:val="5"/>
        </w:numPr>
        <w:spacing w:line="240" w:lineRule="auto"/>
        <w:jc w:val="both"/>
        <w:rPr>
          <w:rFonts w:asciiTheme="minorHAnsi" w:hAnsiTheme="minorHAnsi"/>
          <w:sz w:val="16"/>
          <w:szCs w:val="16"/>
        </w:rPr>
      </w:pPr>
      <w:r w:rsidRPr="00021789">
        <w:rPr>
          <w:rFonts w:asciiTheme="minorHAnsi" w:hAnsiTheme="minorHAnsi"/>
          <w:sz w:val="16"/>
          <w:szCs w:val="16"/>
        </w:rPr>
        <w:t>Inżynier/Kierownik projektu będzie miał zapewnioną współpracę i pomoc Wykonawcy oraz producenta materiałów w czasie przeprowadzania inspekcji,</w:t>
      </w:r>
    </w:p>
    <w:p w14:paraId="04C3BEE0" w14:textId="77777777" w:rsidR="00184C31" w:rsidRPr="00021789" w:rsidRDefault="00184C31" w:rsidP="009C55F8">
      <w:pPr>
        <w:pStyle w:val="Pro-Inwest"/>
        <w:numPr>
          <w:ilvl w:val="0"/>
          <w:numId w:val="5"/>
        </w:numPr>
        <w:spacing w:line="240" w:lineRule="auto"/>
        <w:jc w:val="both"/>
        <w:rPr>
          <w:rFonts w:asciiTheme="minorHAnsi" w:hAnsiTheme="minorHAnsi"/>
          <w:sz w:val="16"/>
          <w:szCs w:val="16"/>
        </w:rPr>
      </w:pPr>
      <w:r w:rsidRPr="00021789">
        <w:rPr>
          <w:rFonts w:asciiTheme="minorHAnsi" w:hAnsiTheme="minorHAnsi"/>
          <w:sz w:val="16"/>
          <w:szCs w:val="16"/>
        </w:rPr>
        <w:t>Inżynier/Kierownik projektu będzie miał wolny dostęp, w dowolnym czasie, do tych części wytwórni, gdzie odbywa się produkcja materiałów przeznaczonych do realizacji robót,</w:t>
      </w:r>
    </w:p>
    <w:p w14:paraId="647E3C2A" w14:textId="77777777" w:rsidR="00184C31" w:rsidRPr="00021789" w:rsidRDefault="00184C31" w:rsidP="009C55F8">
      <w:pPr>
        <w:pStyle w:val="Pro-Inwest"/>
        <w:numPr>
          <w:ilvl w:val="0"/>
          <w:numId w:val="5"/>
        </w:numPr>
        <w:spacing w:line="240" w:lineRule="auto"/>
        <w:jc w:val="both"/>
        <w:rPr>
          <w:rFonts w:asciiTheme="minorHAnsi" w:hAnsiTheme="minorHAnsi"/>
          <w:sz w:val="16"/>
          <w:szCs w:val="16"/>
        </w:rPr>
      </w:pPr>
      <w:r w:rsidRPr="00021789">
        <w:rPr>
          <w:rFonts w:asciiTheme="minorHAnsi" w:hAnsiTheme="minorHAnsi"/>
          <w:sz w:val="16"/>
          <w:szCs w:val="16"/>
        </w:rPr>
        <w:t>Jeżeli produkcja odbywa się w miejscu nie należącym do Wykonawcy, Wykonawca uzyska dla Inżyniera/Kierownika projektu zezwolenie dla przeprowadzenia inspekcji i badań w tych miejscach.</w:t>
      </w:r>
    </w:p>
    <w:p w14:paraId="59D703B6" w14:textId="77777777" w:rsidR="005D0AB2" w:rsidRPr="00021789" w:rsidRDefault="005D0AB2" w:rsidP="00C02A9D">
      <w:pPr>
        <w:pStyle w:val="Pro-Inwest"/>
        <w:spacing w:line="240" w:lineRule="auto"/>
        <w:jc w:val="both"/>
        <w:rPr>
          <w:rFonts w:asciiTheme="minorHAnsi" w:hAnsiTheme="minorHAnsi"/>
          <w:sz w:val="16"/>
          <w:szCs w:val="16"/>
        </w:rPr>
      </w:pPr>
    </w:p>
    <w:p w14:paraId="28B63FA6" w14:textId="77777777" w:rsidR="00184C31" w:rsidRPr="00021789" w:rsidRDefault="00184C31" w:rsidP="00C02A9D">
      <w:pPr>
        <w:pStyle w:val="Pro-Inwest"/>
        <w:spacing w:line="240" w:lineRule="auto"/>
        <w:jc w:val="both"/>
        <w:rPr>
          <w:rFonts w:asciiTheme="minorHAnsi" w:hAnsiTheme="minorHAnsi"/>
          <w:b/>
          <w:sz w:val="16"/>
          <w:szCs w:val="16"/>
        </w:rPr>
      </w:pPr>
      <w:r w:rsidRPr="00021789">
        <w:rPr>
          <w:rFonts w:asciiTheme="minorHAnsi" w:hAnsiTheme="minorHAnsi"/>
          <w:b/>
          <w:sz w:val="16"/>
          <w:szCs w:val="16"/>
        </w:rPr>
        <w:t>3. SPRZĘT</w:t>
      </w:r>
    </w:p>
    <w:p w14:paraId="72B497AC"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jest zobowiązany do używania jedynie takiego sprzętu, który nie spowoduje niekorzystnego wpływu na jakość wykonywanych robót. Sprzęt używany do robót powinien być zgodny z ofertą Wykonawcy i powinien odpowiadać pod względem typów</w:t>
      </w:r>
      <w:r w:rsidR="00F224C1" w:rsidRPr="00021789">
        <w:rPr>
          <w:rFonts w:asciiTheme="minorHAnsi" w:hAnsiTheme="minorHAnsi"/>
          <w:sz w:val="16"/>
          <w:szCs w:val="16"/>
        </w:rPr>
        <w:br/>
      </w:r>
      <w:r w:rsidRPr="00021789">
        <w:rPr>
          <w:rFonts w:asciiTheme="minorHAnsi" w:hAnsiTheme="minorHAnsi"/>
          <w:sz w:val="16"/>
          <w:szCs w:val="16"/>
        </w:rPr>
        <w:t>i ilości wskazaniom zawartym</w:t>
      </w:r>
      <w:r w:rsidR="00F224C1" w:rsidRPr="00021789">
        <w:rPr>
          <w:rFonts w:asciiTheme="minorHAnsi" w:hAnsiTheme="minorHAnsi"/>
          <w:sz w:val="16"/>
          <w:szCs w:val="16"/>
        </w:rPr>
        <w:t xml:space="preserve"> </w:t>
      </w:r>
      <w:r w:rsidRPr="00021789">
        <w:rPr>
          <w:rFonts w:asciiTheme="minorHAnsi" w:hAnsiTheme="minorHAnsi"/>
          <w:sz w:val="16"/>
          <w:szCs w:val="16"/>
        </w:rPr>
        <w:t xml:space="preserve">w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lub projekcie organizacji robót, zaakceptowanym przez Inżyniera/Kierownika projektu;</w:t>
      </w:r>
      <w:r w:rsidR="00F224C1" w:rsidRPr="00021789">
        <w:rPr>
          <w:rFonts w:asciiTheme="minorHAnsi" w:hAnsiTheme="minorHAnsi"/>
          <w:sz w:val="16"/>
          <w:szCs w:val="16"/>
        </w:rPr>
        <w:br/>
      </w:r>
      <w:r w:rsidRPr="00021789">
        <w:rPr>
          <w:rFonts w:asciiTheme="minorHAnsi" w:hAnsiTheme="minorHAnsi"/>
          <w:sz w:val="16"/>
          <w:szCs w:val="16"/>
        </w:rPr>
        <w:t>w przypadku braku ustaleń w wymienionych wyżej dokumentach, sprzęt powinien być uzgodniony i zaakceptowany przez Inżyniera/Kierownika projektu.</w:t>
      </w:r>
    </w:p>
    <w:p w14:paraId="152B8F8F"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Liczba i wydajność sprzętu powinny gwarantować przeprowadzenie robót, zgodnie z zasadami określonymi w dokumentacji projektowej,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i wskazaniach Inżyniera/ Kierownika projektu.</w:t>
      </w:r>
    </w:p>
    <w:p w14:paraId="432F0DFB"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Sprzęt będący własnością Wykonawcy lub wynajęty do wykonania robót ma być utrzymywany w dobrym stanie i gotowości</w:t>
      </w:r>
      <w:r w:rsidR="00F224C1" w:rsidRPr="00021789">
        <w:rPr>
          <w:rFonts w:asciiTheme="minorHAnsi" w:hAnsiTheme="minorHAnsi"/>
          <w:sz w:val="16"/>
          <w:szCs w:val="16"/>
        </w:rPr>
        <w:br/>
      </w:r>
      <w:r w:rsidRPr="00021789">
        <w:rPr>
          <w:rFonts w:asciiTheme="minorHAnsi" w:hAnsiTheme="minorHAnsi"/>
          <w:sz w:val="16"/>
          <w:szCs w:val="16"/>
        </w:rPr>
        <w:t>do pracy. Powinien być zgodny z normami ochrony środowiska i przepisami dotyczącymi jego użytkowania.</w:t>
      </w:r>
    </w:p>
    <w:p w14:paraId="7F383663"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dostarczy Inżynierowi/Kierownikowi projektu kopie dokumentów potwierdzających dopuszczenie sprzętu</w:t>
      </w:r>
      <w:r w:rsidR="00F224C1" w:rsidRPr="00021789">
        <w:rPr>
          <w:rFonts w:asciiTheme="minorHAnsi" w:hAnsiTheme="minorHAnsi"/>
          <w:sz w:val="16"/>
          <w:szCs w:val="16"/>
        </w:rPr>
        <w:br/>
      </w:r>
      <w:r w:rsidRPr="00021789">
        <w:rPr>
          <w:rFonts w:asciiTheme="minorHAnsi" w:hAnsiTheme="minorHAnsi"/>
          <w:sz w:val="16"/>
          <w:szCs w:val="16"/>
        </w:rPr>
        <w:t>do użytkowania i badań okresowych, tam gdzie jest to wymagane przepisami.</w:t>
      </w:r>
    </w:p>
    <w:p w14:paraId="2A8B7CDC"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będzie konserwować sprzęt jak również naprawiać lub wymieniać sprzęt niesprawny.</w:t>
      </w:r>
    </w:p>
    <w:p w14:paraId="4441D85E"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Jeżeli dokumentacja projektowa lub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przewidują możliwość wariantowego użycia sprzętu przy wykonywanych robotach, Wykonawca powiadomi Inżyniera/ Kierownika projektu o swoim zamiarze wyboru i uzyska jego akceptację przed użyciem sprzętu. Wybrany sprzęt, po akceptacji Inżyniera/Kierownika projektu, nie może być później zmieniany bez jego zgody.</w:t>
      </w:r>
    </w:p>
    <w:p w14:paraId="2D165CD3"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Jakikolwiek sprzęt, maszyny, urządzenia i narzędzia nie gwarantujące zachowania warunków umowy, zostaną przez Inżyniera/Kierownika projektu zdyskwalifikowane i nie dopuszczone do robót.</w:t>
      </w:r>
    </w:p>
    <w:p w14:paraId="4DF3D9DA" w14:textId="77777777" w:rsidR="00184C31" w:rsidRPr="00021789" w:rsidRDefault="00184C31" w:rsidP="00C02A9D">
      <w:pPr>
        <w:pStyle w:val="Pro-Inwest"/>
        <w:spacing w:line="240" w:lineRule="auto"/>
        <w:jc w:val="both"/>
        <w:rPr>
          <w:rFonts w:asciiTheme="minorHAnsi" w:hAnsiTheme="minorHAnsi"/>
          <w:b/>
          <w:sz w:val="16"/>
          <w:szCs w:val="16"/>
        </w:rPr>
      </w:pPr>
      <w:r w:rsidRPr="00021789">
        <w:rPr>
          <w:rFonts w:asciiTheme="minorHAnsi" w:hAnsiTheme="minorHAnsi"/>
          <w:b/>
          <w:sz w:val="16"/>
          <w:szCs w:val="16"/>
        </w:rPr>
        <w:lastRenderedPageBreak/>
        <w:t>4. TRANSPORT</w:t>
      </w:r>
    </w:p>
    <w:p w14:paraId="1EF959D0"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jest zobowiązany do stosowania jedynie takich środków transportu, które nie wpłyną niekorzystnie na jakość wykonywanych robót</w:t>
      </w:r>
      <w:r w:rsidR="00F224C1" w:rsidRPr="00021789">
        <w:rPr>
          <w:rFonts w:asciiTheme="minorHAnsi" w:hAnsiTheme="minorHAnsi"/>
          <w:sz w:val="16"/>
          <w:szCs w:val="16"/>
        </w:rPr>
        <w:t xml:space="preserve"> </w:t>
      </w:r>
      <w:r w:rsidRPr="00021789">
        <w:rPr>
          <w:rFonts w:asciiTheme="minorHAnsi" w:hAnsiTheme="minorHAnsi"/>
          <w:sz w:val="16"/>
          <w:szCs w:val="16"/>
        </w:rPr>
        <w:t>i właściwości przewożonych materiałów.</w:t>
      </w:r>
    </w:p>
    <w:p w14:paraId="5EF73D54"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Liczba środków transportu powinna zapewniać prowadzenie robót zgodnie z zasadami określonymi w dokumentacji projektowej, </w:t>
      </w:r>
      <w:proofErr w:type="spellStart"/>
      <w:r w:rsidR="00914C3F" w:rsidRPr="00021789">
        <w:rPr>
          <w:rFonts w:asciiTheme="minorHAnsi" w:hAnsiTheme="minorHAnsi"/>
          <w:sz w:val="16"/>
          <w:szCs w:val="16"/>
        </w:rPr>
        <w:t>STWiORB</w:t>
      </w:r>
      <w:proofErr w:type="spellEnd"/>
      <w:r w:rsidR="00F224C1" w:rsidRPr="00021789">
        <w:rPr>
          <w:rFonts w:asciiTheme="minorHAnsi" w:hAnsiTheme="minorHAnsi"/>
          <w:sz w:val="16"/>
          <w:szCs w:val="16"/>
        </w:rPr>
        <w:t xml:space="preserve"> </w:t>
      </w:r>
      <w:r w:rsidRPr="00021789">
        <w:rPr>
          <w:rFonts w:asciiTheme="minorHAnsi" w:hAnsiTheme="minorHAnsi"/>
          <w:sz w:val="16"/>
          <w:szCs w:val="16"/>
        </w:rPr>
        <w:t>i wskazaniach Inżyniera/ Kierownika projektu, w terminie przewidzianym umową.</w:t>
      </w:r>
    </w:p>
    <w:p w14:paraId="4DF8A545"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Przy ruchu na drogach publicznych pojazdy będą spełniać wymagania dotyczące przepisów ruchu drogowego w odniesieniu</w:t>
      </w:r>
      <w:r w:rsidR="00352493" w:rsidRPr="00021789">
        <w:rPr>
          <w:rFonts w:asciiTheme="minorHAnsi" w:hAnsiTheme="minorHAnsi"/>
          <w:sz w:val="16"/>
          <w:szCs w:val="16"/>
        </w:rPr>
        <w:br/>
      </w:r>
      <w:r w:rsidRPr="00021789">
        <w:rPr>
          <w:rFonts w:asciiTheme="minorHAnsi" w:hAnsiTheme="minorHAnsi"/>
          <w:sz w:val="16"/>
          <w:szCs w:val="16"/>
        </w:rPr>
        <w:t>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14:paraId="56E9152B"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będzie usuwać na bieżąco, na własny koszt, wszelkie zanieczyszczenia, uszkodzenia spowodowane jego pojazdami na drogach publicznych oraz dojazdach do terenu budowy.</w:t>
      </w:r>
    </w:p>
    <w:p w14:paraId="46DDE8F0" w14:textId="77777777" w:rsidR="00184C31" w:rsidRPr="00021789" w:rsidRDefault="00184C31" w:rsidP="00C02A9D">
      <w:pPr>
        <w:pStyle w:val="Pro-Inwest"/>
        <w:spacing w:line="240" w:lineRule="auto"/>
        <w:jc w:val="both"/>
        <w:rPr>
          <w:rFonts w:asciiTheme="minorHAnsi" w:hAnsiTheme="minorHAnsi"/>
          <w:sz w:val="16"/>
          <w:szCs w:val="16"/>
        </w:rPr>
      </w:pPr>
    </w:p>
    <w:p w14:paraId="4A3E229E" w14:textId="77777777" w:rsidR="00184C31" w:rsidRPr="00021789" w:rsidRDefault="00184C31" w:rsidP="00C02A9D">
      <w:pPr>
        <w:pStyle w:val="Pro-Inwest"/>
        <w:spacing w:line="240" w:lineRule="auto"/>
        <w:jc w:val="both"/>
        <w:rPr>
          <w:rFonts w:asciiTheme="minorHAnsi" w:hAnsiTheme="minorHAnsi"/>
          <w:b/>
          <w:sz w:val="16"/>
          <w:szCs w:val="16"/>
        </w:rPr>
      </w:pPr>
      <w:r w:rsidRPr="00021789">
        <w:rPr>
          <w:rFonts w:asciiTheme="minorHAnsi" w:hAnsiTheme="minorHAnsi"/>
          <w:b/>
          <w:sz w:val="16"/>
          <w:szCs w:val="16"/>
        </w:rPr>
        <w:t>5. WYKONANIE ROBÓT</w:t>
      </w:r>
    </w:p>
    <w:p w14:paraId="4CC2E2A9"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jest odpowiedzialny za prowadzenie robót zgodnie z warunkami umowy oraz za jakość zastosowanych materiałów</w:t>
      </w:r>
      <w:r w:rsidR="00F224C1" w:rsidRPr="00021789">
        <w:rPr>
          <w:rFonts w:asciiTheme="minorHAnsi" w:hAnsiTheme="minorHAnsi"/>
          <w:sz w:val="16"/>
          <w:szCs w:val="16"/>
        </w:rPr>
        <w:br/>
      </w:r>
      <w:r w:rsidRPr="00021789">
        <w:rPr>
          <w:rFonts w:asciiTheme="minorHAnsi" w:hAnsiTheme="minorHAnsi"/>
          <w:sz w:val="16"/>
          <w:szCs w:val="16"/>
        </w:rPr>
        <w:t xml:space="preserve">i wykonywanych robót, za ich zgodność z dokumentacją projektową, wymaganiami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projektem organizacji robót opracowanym przez Wykonawcę</w:t>
      </w:r>
      <w:r w:rsidR="00F224C1" w:rsidRPr="00021789">
        <w:rPr>
          <w:rFonts w:asciiTheme="minorHAnsi" w:hAnsiTheme="minorHAnsi"/>
          <w:sz w:val="16"/>
          <w:szCs w:val="16"/>
        </w:rPr>
        <w:t xml:space="preserve"> </w:t>
      </w:r>
      <w:r w:rsidRPr="00021789">
        <w:rPr>
          <w:rFonts w:asciiTheme="minorHAnsi" w:hAnsiTheme="minorHAnsi"/>
          <w:sz w:val="16"/>
          <w:szCs w:val="16"/>
        </w:rPr>
        <w:t>oraz poleceniami Inżyniera/Kierownika projektu.</w:t>
      </w:r>
    </w:p>
    <w:p w14:paraId="6B7E505F"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jest odpowiedzialny za stosowane metody wykonywania robót.</w:t>
      </w:r>
    </w:p>
    <w:p w14:paraId="67DE4AB0"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jest odpowiedzialny za dokładne wytyczenie w planie i wyznaczenie wysokości wszystkich elementów robót zgodnie z wymiarami</w:t>
      </w:r>
      <w:r w:rsidR="00F224C1" w:rsidRPr="00021789">
        <w:rPr>
          <w:rFonts w:asciiTheme="minorHAnsi" w:hAnsiTheme="minorHAnsi"/>
          <w:sz w:val="16"/>
          <w:szCs w:val="16"/>
        </w:rPr>
        <w:t xml:space="preserve"> </w:t>
      </w:r>
      <w:r w:rsidRPr="00021789">
        <w:rPr>
          <w:rFonts w:asciiTheme="minorHAnsi" w:hAnsiTheme="minorHAnsi"/>
          <w:sz w:val="16"/>
          <w:szCs w:val="16"/>
        </w:rPr>
        <w:t>i rzędnymi określonymi w dokumentacji projektowej lub przekazanymi na piśmie przez Inżyniera/Kierownika projektu.</w:t>
      </w:r>
    </w:p>
    <w:p w14:paraId="55E43DA5"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Błędy popełnione przez Wykonawcę w wytyczeniu i wyznaczaniu robót zostaną, usunięte przez Wykonawcę na własny koszt,</w:t>
      </w:r>
      <w:r w:rsidR="00F224C1" w:rsidRPr="00021789">
        <w:rPr>
          <w:rFonts w:asciiTheme="minorHAnsi" w:hAnsiTheme="minorHAnsi"/>
          <w:sz w:val="16"/>
          <w:szCs w:val="16"/>
        </w:rPr>
        <w:br/>
      </w:r>
      <w:r w:rsidRPr="00021789">
        <w:rPr>
          <w:rFonts w:asciiTheme="minorHAnsi" w:hAnsiTheme="minorHAnsi"/>
          <w:sz w:val="16"/>
          <w:szCs w:val="16"/>
        </w:rPr>
        <w:t>z wyjątkiem, kiedy dany błąd okaże się skutkiem błędu zawartego w danych dostarczonych Wykonawcy na piśmie przez Inżyniera/ Kierownika projektu.</w:t>
      </w:r>
    </w:p>
    <w:p w14:paraId="301DB883"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Sprawdzenie wytyczenia robót lub wyznaczenia wysokości przez Inżyniera/ Kierownika projektu nie zwalnia Wykonawcy</w:t>
      </w:r>
      <w:r w:rsidR="00F224C1" w:rsidRPr="00021789">
        <w:rPr>
          <w:rFonts w:asciiTheme="minorHAnsi" w:hAnsiTheme="minorHAnsi"/>
          <w:sz w:val="16"/>
          <w:szCs w:val="16"/>
        </w:rPr>
        <w:br/>
      </w:r>
      <w:r w:rsidRPr="00021789">
        <w:rPr>
          <w:rFonts w:asciiTheme="minorHAnsi" w:hAnsiTheme="minorHAnsi"/>
          <w:sz w:val="16"/>
          <w:szCs w:val="16"/>
        </w:rPr>
        <w:t>od odpowiedzialności za ich dokładność.</w:t>
      </w:r>
    </w:p>
    <w:p w14:paraId="7F3C3DB2"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Decyzje Inżyniera/Kierownika projektu dotyczące akceptacji lub odrzucenia materiałów i elementów robót będą oparte</w:t>
      </w:r>
      <w:r w:rsidR="00F224C1" w:rsidRPr="00021789">
        <w:rPr>
          <w:rFonts w:asciiTheme="minorHAnsi" w:hAnsiTheme="minorHAnsi"/>
          <w:sz w:val="16"/>
          <w:szCs w:val="16"/>
        </w:rPr>
        <w:br/>
      </w:r>
      <w:r w:rsidRPr="00021789">
        <w:rPr>
          <w:rFonts w:asciiTheme="minorHAnsi" w:hAnsiTheme="minorHAnsi"/>
          <w:sz w:val="16"/>
          <w:szCs w:val="16"/>
        </w:rPr>
        <w:t xml:space="preserve">na wymaganiach określonych w dokumentach umowy, dokumentacji projektowej i w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4517DA23" w14:textId="77777777" w:rsidR="00184C31" w:rsidRPr="00021789" w:rsidRDefault="00184C31" w:rsidP="00352493">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Polecenia Inżyniera/Kierownika projektu powinny być wykonywane przez Wykonawcę w czasie określonym przez Inżyniera/Kierownika projektu, pod groźbą zatrzymania robót. Skutki finansowe z tego tytułu poniesie Wykonawca.</w:t>
      </w:r>
    </w:p>
    <w:p w14:paraId="3F184FF3" w14:textId="77777777" w:rsidR="005D0AB2" w:rsidRPr="00021789" w:rsidRDefault="005D0AB2" w:rsidP="0078474E">
      <w:pPr>
        <w:pStyle w:val="Pro-Inwest"/>
        <w:spacing w:line="240" w:lineRule="auto"/>
        <w:rPr>
          <w:rFonts w:asciiTheme="minorHAnsi" w:hAnsiTheme="minorHAnsi"/>
          <w:sz w:val="16"/>
          <w:szCs w:val="16"/>
        </w:rPr>
      </w:pPr>
    </w:p>
    <w:p w14:paraId="22BFF1F3" w14:textId="77777777" w:rsidR="0078474E" w:rsidRPr="00021789" w:rsidRDefault="00184C31" w:rsidP="0078474E">
      <w:pPr>
        <w:pStyle w:val="Pro-Inwest"/>
        <w:spacing w:line="240" w:lineRule="auto"/>
        <w:rPr>
          <w:rFonts w:asciiTheme="minorHAnsi" w:hAnsiTheme="minorHAnsi"/>
          <w:b/>
          <w:sz w:val="16"/>
          <w:szCs w:val="16"/>
        </w:rPr>
      </w:pPr>
      <w:r w:rsidRPr="00021789">
        <w:rPr>
          <w:rFonts w:asciiTheme="minorHAnsi" w:hAnsiTheme="minorHAnsi"/>
          <w:b/>
          <w:sz w:val="16"/>
          <w:szCs w:val="16"/>
        </w:rPr>
        <w:t>6. KONTROLA JAKOŚCI ROBÓT</w:t>
      </w:r>
    </w:p>
    <w:p w14:paraId="38B1B47F" w14:textId="77777777" w:rsidR="00184C31" w:rsidRPr="00021789" w:rsidRDefault="00184C31" w:rsidP="0078474E">
      <w:pPr>
        <w:pStyle w:val="Pro-Inwest"/>
        <w:spacing w:line="240" w:lineRule="auto"/>
        <w:rPr>
          <w:rFonts w:asciiTheme="minorHAnsi" w:hAnsiTheme="minorHAnsi"/>
          <w:b/>
          <w:sz w:val="16"/>
          <w:szCs w:val="16"/>
        </w:rPr>
      </w:pPr>
      <w:r w:rsidRPr="00021789">
        <w:rPr>
          <w:rFonts w:asciiTheme="minorHAnsi" w:hAnsiTheme="minorHAnsi"/>
          <w:b/>
          <w:sz w:val="16"/>
          <w:szCs w:val="16"/>
        </w:rPr>
        <w:t xml:space="preserve">6.1. Program zapewnienia jakości </w:t>
      </w:r>
    </w:p>
    <w:p w14:paraId="14662EFA"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jest zobowiązany opracować i przedstawić do akceptacji Inżyniera/ Kierownika projektu program zapewnienia jakości.</w:t>
      </w:r>
      <w:r w:rsidR="00F224C1" w:rsidRPr="00021789">
        <w:rPr>
          <w:rFonts w:asciiTheme="minorHAnsi" w:hAnsiTheme="minorHAnsi"/>
          <w:sz w:val="16"/>
          <w:szCs w:val="16"/>
        </w:rPr>
        <w:t xml:space="preserve"> </w:t>
      </w:r>
      <w:r w:rsidRPr="00021789">
        <w:rPr>
          <w:rFonts w:asciiTheme="minorHAnsi" w:hAnsiTheme="minorHAnsi"/>
          <w:sz w:val="16"/>
          <w:szCs w:val="16"/>
        </w:rPr>
        <w:t xml:space="preserve">W programie zapewnienia jakości Wykonawca powinien określić, zamierzony sposób wykonywania robót, możliwości techniczne, kadrowe i plan organizacji robót gwarantujący wykonanie robót zgodnie z dokumentacją projektową,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oraz ustaleniami. </w:t>
      </w:r>
    </w:p>
    <w:p w14:paraId="2F24E132" w14:textId="77777777" w:rsidR="00184C31" w:rsidRPr="00021789" w:rsidRDefault="00184C31" w:rsidP="00C02A9D">
      <w:pPr>
        <w:pStyle w:val="Pro-Inwest"/>
        <w:spacing w:line="240" w:lineRule="auto"/>
        <w:jc w:val="both"/>
        <w:rPr>
          <w:rFonts w:asciiTheme="minorHAnsi" w:hAnsiTheme="minorHAnsi"/>
          <w:sz w:val="16"/>
          <w:szCs w:val="16"/>
        </w:rPr>
      </w:pPr>
      <w:r w:rsidRPr="00021789">
        <w:rPr>
          <w:rFonts w:asciiTheme="minorHAnsi" w:hAnsiTheme="minorHAnsi"/>
          <w:sz w:val="16"/>
          <w:szCs w:val="16"/>
        </w:rPr>
        <w:t>Program zapewnienia jakości powinien zawierać:</w:t>
      </w:r>
    </w:p>
    <w:p w14:paraId="34E013BB" w14:textId="77777777" w:rsidR="00184C31" w:rsidRPr="00021789" w:rsidRDefault="00184C31" w:rsidP="00C02A9D">
      <w:pPr>
        <w:pStyle w:val="Pro-Inwest"/>
        <w:spacing w:line="240" w:lineRule="auto"/>
        <w:jc w:val="both"/>
        <w:rPr>
          <w:rFonts w:asciiTheme="minorHAnsi" w:hAnsiTheme="minorHAnsi"/>
          <w:sz w:val="16"/>
          <w:szCs w:val="16"/>
        </w:rPr>
      </w:pPr>
      <w:r w:rsidRPr="00021789">
        <w:rPr>
          <w:rFonts w:asciiTheme="minorHAnsi" w:hAnsiTheme="minorHAnsi"/>
          <w:sz w:val="16"/>
          <w:szCs w:val="16"/>
        </w:rPr>
        <w:t>a) część ogólną opisującą:</w:t>
      </w:r>
    </w:p>
    <w:p w14:paraId="1361BB3D" w14:textId="77777777" w:rsidR="00184C31" w:rsidRPr="00021789" w:rsidRDefault="00184C31" w:rsidP="009C55F8">
      <w:pPr>
        <w:pStyle w:val="Pro-Inwest"/>
        <w:numPr>
          <w:ilvl w:val="0"/>
          <w:numId w:val="6"/>
        </w:numPr>
        <w:spacing w:line="240" w:lineRule="auto"/>
        <w:jc w:val="both"/>
        <w:rPr>
          <w:rFonts w:asciiTheme="minorHAnsi" w:hAnsiTheme="minorHAnsi"/>
          <w:sz w:val="16"/>
          <w:szCs w:val="16"/>
        </w:rPr>
      </w:pPr>
      <w:r w:rsidRPr="00021789">
        <w:rPr>
          <w:rFonts w:asciiTheme="minorHAnsi" w:hAnsiTheme="minorHAnsi"/>
          <w:sz w:val="16"/>
          <w:szCs w:val="16"/>
        </w:rPr>
        <w:t>organizację wykonania robót, w tym terminy i sposób prowadzenia robót,</w:t>
      </w:r>
    </w:p>
    <w:p w14:paraId="2758BF85" w14:textId="77777777" w:rsidR="00184C31" w:rsidRPr="00021789" w:rsidRDefault="00184C31" w:rsidP="009C55F8">
      <w:pPr>
        <w:pStyle w:val="Pro-Inwest"/>
        <w:numPr>
          <w:ilvl w:val="0"/>
          <w:numId w:val="6"/>
        </w:numPr>
        <w:spacing w:line="240" w:lineRule="auto"/>
        <w:jc w:val="both"/>
        <w:rPr>
          <w:rFonts w:asciiTheme="minorHAnsi" w:hAnsiTheme="minorHAnsi"/>
          <w:sz w:val="16"/>
          <w:szCs w:val="16"/>
        </w:rPr>
      </w:pPr>
      <w:r w:rsidRPr="00021789">
        <w:rPr>
          <w:rFonts w:asciiTheme="minorHAnsi" w:hAnsiTheme="minorHAnsi"/>
          <w:sz w:val="16"/>
          <w:szCs w:val="16"/>
        </w:rPr>
        <w:t>organizację ruchu na budowie wraz z oznakowaniem robót,</w:t>
      </w:r>
    </w:p>
    <w:p w14:paraId="12B8192D" w14:textId="77777777" w:rsidR="00184C31" w:rsidRPr="00021789" w:rsidRDefault="00184C31" w:rsidP="009C55F8">
      <w:pPr>
        <w:pStyle w:val="Pro-Inwest"/>
        <w:numPr>
          <w:ilvl w:val="0"/>
          <w:numId w:val="6"/>
        </w:numPr>
        <w:spacing w:line="240" w:lineRule="auto"/>
        <w:jc w:val="both"/>
        <w:rPr>
          <w:rFonts w:asciiTheme="minorHAnsi" w:hAnsiTheme="minorHAnsi"/>
          <w:sz w:val="16"/>
          <w:szCs w:val="16"/>
        </w:rPr>
      </w:pPr>
      <w:r w:rsidRPr="00021789">
        <w:rPr>
          <w:rFonts w:asciiTheme="minorHAnsi" w:hAnsiTheme="minorHAnsi"/>
          <w:sz w:val="16"/>
          <w:szCs w:val="16"/>
        </w:rPr>
        <w:t>sposób zapewnienia bhp.,</w:t>
      </w:r>
    </w:p>
    <w:p w14:paraId="3BAA8E3E" w14:textId="77777777" w:rsidR="00184C31" w:rsidRPr="00021789" w:rsidRDefault="00184C31" w:rsidP="009C55F8">
      <w:pPr>
        <w:pStyle w:val="Pro-Inwest"/>
        <w:numPr>
          <w:ilvl w:val="0"/>
          <w:numId w:val="6"/>
        </w:numPr>
        <w:spacing w:line="240" w:lineRule="auto"/>
        <w:jc w:val="both"/>
        <w:rPr>
          <w:rFonts w:asciiTheme="minorHAnsi" w:hAnsiTheme="minorHAnsi"/>
          <w:sz w:val="16"/>
          <w:szCs w:val="16"/>
        </w:rPr>
      </w:pPr>
      <w:r w:rsidRPr="00021789">
        <w:rPr>
          <w:rFonts w:asciiTheme="minorHAnsi" w:hAnsiTheme="minorHAnsi"/>
          <w:sz w:val="16"/>
          <w:szCs w:val="16"/>
        </w:rPr>
        <w:t>wykaz zespołów roboczych, ich kwalifikacje i przygotowanie praktyczne,</w:t>
      </w:r>
    </w:p>
    <w:p w14:paraId="191FB186" w14:textId="77777777" w:rsidR="00184C31" w:rsidRPr="00021789" w:rsidRDefault="00184C31" w:rsidP="009C55F8">
      <w:pPr>
        <w:pStyle w:val="Pro-Inwest"/>
        <w:numPr>
          <w:ilvl w:val="0"/>
          <w:numId w:val="6"/>
        </w:numPr>
        <w:spacing w:line="240" w:lineRule="auto"/>
        <w:jc w:val="both"/>
        <w:rPr>
          <w:rFonts w:asciiTheme="minorHAnsi" w:hAnsiTheme="minorHAnsi"/>
          <w:sz w:val="16"/>
          <w:szCs w:val="16"/>
        </w:rPr>
      </w:pPr>
      <w:r w:rsidRPr="00021789">
        <w:rPr>
          <w:rFonts w:asciiTheme="minorHAnsi" w:hAnsiTheme="minorHAnsi"/>
          <w:sz w:val="16"/>
          <w:szCs w:val="16"/>
        </w:rPr>
        <w:t>wykaz osób odpowiedzialnych za jakość i terminowość wykonania poszczególnych elementów robót,</w:t>
      </w:r>
    </w:p>
    <w:p w14:paraId="6FEA22B7" w14:textId="77777777" w:rsidR="00184C31" w:rsidRPr="00021789" w:rsidRDefault="00184C31" w:rsidP="009C55F8">
      <w:pPr>
        <w:pStyle w:val="Pro-Inwest"/>
        <w:numPr>
          <w:ilvl w:val="0"/>
          <w:numId w:val="6"/>
        </w:numPr>
        <w:spacing w:line="240" w:lineRule="auto"/>
        <w:jc w:val="both"/>
        <w:rPr>
          <w:rFonts w:asciiTheme="minorHAnsi" w:hAnsiTheme="minorHAnsi"/>
          <w:sz w:val="16"/>
          <w:szCs w:val="16"/>
        </w:rPr>
      </w:pPr>
      <w:r w:rsidRPr="00021789">
        <w:rPr>
          <w:rFonts w:asciiTheme="minorHAnsi" w:hAnsiTheme="minorHAnsi"/>
          <w:sz w:val="16"/>
          <w:szCs w:val="16"/>
        </w:rPr>
        <w:t>system (sposób i procedurę) proponowanej kontroli i sterowania jakością wykonywanych robót,</w:t>
      </w:r>
    </w:p>
    <w:p w14:paraId="0442B9CD" w14:textId="77777777" w:rsidR="00184C31" w:rsidRPr="00021789" w:rsidRDefault="00184C31" w:rsidP="009C55F8">
      <w:pPr>
        <w:pStyle w:val="Pro-Inwest"/>
        <w:numPr>
          <w:ilvl w:val="0"/>
          <w:numId w:val="6"/>
        </w:numPr>
        <w:spacing w:line="240" w:lineRule="auto"/>
        <w:jc w:val="both"/>
        <w:rPr>
          <w:rFonts w:asciiTheme="minorHAnsi" w:hAnsiTheme="minorHAnsi"/>
          <w:sz w:val="16"/>
          <w:szCs w:val="16"/>
        </w:rPr>
      </w:pPr>
      <w:r w:rsidRPr="00021789">
        <w:rPr>
          <w:rFonts w:asciiTheme="minorHAnsi" w:hAnsiTheme="minorHAnsi"/>
          <w:sz w:val="16"/>
          <w:szCs w:val="16"/>
        </w:rPr>
        <w:t>wyposażenie w sprzęt i urządzenia do pomiarów i kontroli (opis laboratorium własnego lub laboratorium, któremu Wykonawca zamierza zlecić prowadzenie badań),</w:t>
      </w:r>
    </w:p>
    <w:p w14:paraId="0EDE8F92" w14:textId="77777777" w:rsidR="00184C31" w:rsidRPr="00021789" w:rsidRDefault="00184C31" w:rsidP="009C55F8">
      <w:pPr>
        <w:pStyle w:val="Pro-Inwest"/>
        <w:numPr>
          <w:ilvl w:val="0"/>
          <w:numId w:val="6"/>
        </w:numPr>
        <w:spacing w:line="240" w:lineRule="auto"/>
        <w:jc w:val="both"/>
        <w:rPr>
          <w:rFonts w:asciiTheme="minorHAnsi" w:hAnsiTheme="minorHAnsi"/>
          <w:sz w:val="16"/>
          <w:szCs w:val="16"/>
        </w:rPr>
      </w:pPr>
      <w:r w:rsidRPr="00021789">
        <w:rPr>
          <w:rFonts w:asciiTheme="minorHAnsi" w:hAnsiTheme="minorHAnsi"/>
          <w:sz w:val="16"/>
          <w:szCs w:val="16"/>
        </w:rP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14:paraId="0B3679F5" w14:textId="77777777" w:rsidR="00184C31" w:rsidRPr="00021789" w:rsidRDefault="00184C31" w:rsidP="003578AE">
      <w:pPr>
        <w:pStyle w:val="Pro-Inwest"/>
        <w:spacing w:line="240" w:lineRule="auto"/>
        <w:jc w:val="both"/>
        <w:rPr>
          <w:rFonts w:asciiTheme="minorHAnsi" w:hAnsiTheme="minorHAnsi"/>
          <w:sz w:val="16"/>
          <w:szCs w:val="16"/>
        </w:rPr>
      </w:pPr>
      <w:r w:rsidRPr="00021789">
        <w:rPr>
          <w:rFonts w:asciiTheme="minorHAnsi" w:hAnsiTheme="minorHAnsi"/>
          <w:sz w:val="16"/>
          <w:szCs w:val="16"/>
        </w:rPr>
        <w:t>b) część szczegółową opisującą dla każdego asortymentu robót:</w:t>
      </w:r>
    </w:p>
    <w:p w14:paraId="43F15C08" w14:textId="77777777" w:rsidR="00184C31" w:rsidRPr="00021789" w:rsidRDefault="00184C31" w:rsidP="009C55F8">
      <w:pPr>
        <w:pStyle w:val="Pro-Inwest"/>
        <w:numPr>
          <w:ilvl w:val="0"/>
          <w:numId w:val="7"/>
        </w:numPr>
        <w:spacing w:line="240" w:lineRule="auto"/>
        <w:jc w:val="both"/>
        <w:rPr>
          <w:rFonts w:asciiTheme="minorHAnsi" w:hAnsiTheme="minorHAnsi"/>
          <w:sz w:val="16"/>
          <w:szCs w:val="16"/>
        </w:rPr>
      </w:pPr>
      <w:r w:rsidRPr="00021789">
        <w:rPr>
          <w:rFonts w:asciiTheme="minorHAnsi" w:hAnsiTheme="minorHAnsi"/>
          <w:sz w:val="16"/>
          <w:szCs w:val="16"/>
        </w:rPr>
        <w:t>wykaz maszyn i urządzeń stosowanych na budowie z ich parametrami technicznymi oraz wyposażeniem w mechanizmy do sterowania i urządzenia pomiarowo-kontrolne,</w:t>
      </w:r>
    </w:p>
    <w:p w14:paraId="1D64894F" w14:textId="77777777" w:rsidR="00184C31" w:rsidRPr="00021789" w:rsidRDefault="00184C31" w:rsidP="009C55F8">
      <w:pPr>
        <w:pStyle w:val="Pro-Inwest"/>
        <w:numPr>
          <w:ilvl w:val="0"/>
          <w:numId w:val="7"/>
        </w:numPr>
        <w:spacing w:line="240" w:lineRule="auto"/>
        <w:jc w:val="both"/>
        <w:rPr>
          <w:rFonts w:asciiTheme="minorHAnsi" w:hAnsiTheme="minorHAnsi"/>
          <w:sz w:val="16"/>
          <w:szCs w:val="16"/>
        </w:rPr>
      </w:pPr>
      <w:r w:rsidRPr="00021789">
        <w:rPr>
          <w:rFonts w:asciiTheme="minorHAnsi" w:hAnsiTheme="minorHAnsi"/>
          <w:sz w:val="16"/>
          <w:szCs w:val="16"/>
        </w:rPr>
        <w:t>rodzaje i ilość środków transportu oraz urządzeń do magazynowania i załadunku materiałów, spoiw, lepiszczy, kruszyw itp.,</w:t>
      </w:r>
    </w:p>
    <w:p w14:paraId="34F44C7B" w14:textId="77777777" w:rsidR="00184C31" w:rsidRPr="00021789" w:rsidRDefault="00184C31" w:rsidP="009C55F8">
      <w:pPr>
        <w:pStyle w:val="Pro-Inwest"/>
        <w:numPr>
          <w:ilvl w:val="0"/>
          <w:numId w:val="7"/>
        </w:numPr>
        <w:spacing w:line="240" w:lineRule="auto"/>
        <w:jc w:val="both"/>
        <w:rPr>
          <w:rFonts w:asciiTheme="minorHAnsi" w:hAnsiTheme="minorHAnsi"/>
          <w:sz w:val="16"/>
          <w:szCs w:val="16"/>
        </w:rPr>
      </w:pPr>
      <w:r w:rsidRPr="00021789">
        <w:rPr>
          <w:rFonts w:asciiTheme="minorHAnsi" w:hAnsiTheme="minorHAnsi"/>
          <w:sz w:val="16"/>
          <w:szCs w:val="16"/>
        </w:rPr>
        <w:t>sposób zabezpieczenia i ochrony ładunków przed utratą ich właściwości w czasie transportu,</w:t>
      </w:r>
    </w:p>
    <w:p w14:paraId="1B26C7AE" w14:textId="77777777" w:rsidR="00184C31" w:rsidRPr="00021789" w:rsidRDefault="00184C31" w:rsidP="009C55F8">
      <w:pPr>
        <w:pStyle w:val="Pro-Inwest"/>
        <w:numPr>
          <w:ilvl w:val="0"/>
          <w:numId w:val="7"/>
        </w:numPr>
        <w:spacing w:line="240" w:lineRule="auto"/>
        <w:jc w:val="both"/>
        <w:rPr>
          <w:rFonts w:asciiTheme="minorHAnsi" w:hAnsiTheme="minorHAnsi"/>
          <w:sz w:val="16"/>
          <w:szCs w:val="16"/>
        </w:rPr>
      </w:pPr>
      <w:r w:rsidRPr="00021789">
        <w:rPr>
          <w:rFonts w:asciiTheme="minorHAnsi" w:hAnsiTheme="minorHAnsi"/>
          <w:sz w:val="16"/>
          <w:szCs w:val="16"/>
        </w:rPr>
        <w:t>sposób i procedurę pomiarów i badań (rodzaj i częstotliwość, pobieranie próbek, legalizacja i sprawdzanie urządzeń, itp.) prowadzonych podczas dostaw materiałów, wytwarzania mieszanek i wykonywania poszczególnych elementów robót,</w:t>
      </w:r>
    </w:p>
    <w:p w14:paraId="39C70C25" w14:textId="77777777" w:rsidR="00184C31" w:rsidRPr="00021789" w:rsidRDefault="00184C31" w:rsidP="009C55F8">
      <w:pPr>
        <w:pStyle w:val="Pro-Inwest"/>
        <w:numPr>
          <w:ilvl w:val="0"/>
          <w:numId w:val="8"/>
        </w:numPr>
        <w:spacing w:line="240" w:lineRule="auto"/>
        <w:jc w:val="both"/>
        <w:rPr>
          <w:rFonts w:asciiTheme="minorHAnsi" w:hAnsiTheme="minorHAnsi"/>
          <w:sz w:val="16"/>
          <w:szCs w:val="16"/>
        </w:rPr>
      </w:pPr>
      <w:r w:rsidRPr="00021789">
        <w:rPr>
          <w:rFonts w:asciiTheme="minorHAnsi" w:hAnsiTheme="minorHAnsi"/>
          <w:sz w:val="16"/>
          <w:szCs w:val="16"/>
        </w:rPr>
        <w:t>sposób postępowania z materiałami i robotami nie odpowiadającymi wymaganiom.</w:t>
      </w:r>
    </w:p>
    <w:p w14:paraId="2429A82E" w14:textId="77777777" w:rsidR="00184C31" w:rsidRPr="00021789" w:rsidRDefault="00184C31" w:rsidP="00B4083C">
      <w:pPr>
        <w:pStyle w:val="Pro-Inwest"/>
        <w:spacing w:line="240" w:lineRule="auto"/>
        <w:jc w:val="both"/>
        <w:rPr>
          <w:rFonts w:asciiTheme="minorHAnsi" w:hAnsiTheme="minorHAnsi"/>
          <w:b/>
          <w:sz w:val="16"/>
          <w:szCs w:val="16"/>
        </w:rPr>
      </w:pPr>
      <w:r w:rsidRPr="00021789">
        <w:rPr>
          <w:rFonts w:asciiTheme="minorHAnsi" w:hAnsiTheme="minorHAnsi"/>
          <w:b/>
          <w:sz w:val="16"/>
          <w:szCs w:val="16"/>
        </w:rPr>
        <w:t>6.2. Zasady kontroli jakości robót</w:t>
      </w:r>
    </w:p>
    <w:p w14:paraId="6D25C426"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Celem kontroli robót będzie takie sterowanie ich przygotowaniem i wykonaniem, aby osiągnąć założoną jakość robót.</w:t>
      </w:r>
    </w:p>
    <w:p w14:paraId="5CE2E508" w14:textId="77777777" w:rsidR="00184C31" w:rsidRPr="00021789" w:rsidRDefault="00184C31" w:rsidP="00B4083C">
      <w:pPr>
        <w:pStyle w:val="Pro-Inwest"/>
        <w:spacing w:line="240" w:lineRule="auto"/>
        <w:jc w:val="both"/>
        <w:rPr>
          <w:rFonts w:asciiTheme="minorHAnsi" w:hAnsiTheme="minorHAnsi"/>
          <w:sz w:val="16"/>
          <w:szCs w:val="16"/>
        </w:rPr>
      </w:pPr>
      <w:r w:rsidRPr="00021789">
        <w:rPr>
          <w:rFonts w:asciiTheme="minorHAnsi" w:hAnsiTheme="minorHAnsi"/>
          <w:sz w:val="16"/>
          <w:szCs w:val="16"/>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07794E3C"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Przed zatwierdzeniem systemu kontroli Inżynier/Kierownik projektu może zażądać od Wykonawcy przeprowadzenia badań</w:t>
      </w:r>
      <w:r w:rsidR="00F224C1" w:rsidRPr="00021789">
        <w:rPr>
          <w:rFonts w:asciiTheme="minorHAnsi" w:hAnsiTheme="minorHAnsi"/>
          <w:sz w:val="16"/>
          <w:szCs w:val="16"/>
        </w:rPr>
        <w:br/>
      </w:r>
      <w:r w:rsidRPr="00021789">
        <w:rPr>
          <w:rFonts w:asciiTheme="minorHAnsi" w:hAnsiTheme="minorHAnsi"/>
          <w:sz w:val="16"/>
          <w:szCs w:val="16"/>
        </w:rPr>
        <w:t>w celu zademonstrowania, że poziom ich wykonywania jest zadowalający.</w:t>
      </w:r>
    </w:p>
    <w:p w14:paraId="53BAFD9B"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będzie przeprowadzać pomiary i badania materiałów oraz robót z częstotliwością zapewniającą stwierdzenie,</w:t>
      </w:r>
      <w:r w:rsidR="00F224C1" w:rsidRPr="00021789">
        <w:rPr>
          <w:rFonts w:asciiTheme="minorHAnsi" w:hAnsiTheme="minorHAnsi"/>
          <w:sz w:val="16"/>
          <w:szCs w:val="16"/>
        </w:rPr>
        <w:br/>
      </w:r>
      <w:r w:rsidRPr="00021789">
        <w:rPr>
          <w:rFonts w:asciiTheme="minorHAnsi" w:hAnsiTheme="minorHAnsi"/>
          <w:sz w:val="16"/>
          <w:szCs w:val="16"/>
        </w:rPr>
        <w:t xml:space="preserve">że roboty wykonano zgodnie z wymaganiami zawartymi w dokumentacji projektowej i </w:t>
      </w:r>
      <w:proofErr w:type="spellStart"/>
      <w:r w:rsidR="00914C3F" w:rsidRPr="00021789">
        <w:rPr>
          <w:rFonts w:asciiTheme="minorHAnsi" w:hAnsiTheme="minorHAnsi"/>
          <w:sz w:val="16"/>
          <w:szCs w:val="16"/>
        </w:rPr>
        <w:t>STWiORB</w:t>
      </w:r>
      <w:proofErr w:type="spellEnd"/>
    </w:p>
    <w:p w14:paraId="47A00AC9"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Minimalne wymagania co do zakresu badań i ich częstotliwość są określone w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normach i wytycznych. W przypadku, gdy nie zostały one tam określone, Inżynier/ Kierownik projektu ustali jaki zakres kontroli jest konieczny, aby zapewnić wykonanie robót zgodnie z umową.</w:t>
      </w:r>
    </w:p>
    <w:p w14:paraId="61CA94F0"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dostarczy Inżynierowi/Kierownikowi projektu świadectwa, że wszystkie stosowane urządzenia i sprzęt badawczy posiadają ważną legalizację, zostały prawidłowo wykalibrowane i odpowiadają wymaganiom norm określających procedury badań.</w:t>
      </w:r>
    </w:p>
    <w:p w14:paraId="33C0A5D0" w14:textId="77777777" w:rsidR="00184C31" w:rsidRPr="00021789" w:rsidRDefault="00184C31" w:rsidP="00B4083C">
      <w:pPr>
        <w:pStyle w:val="Pro-Inwest"/>
        <w:spacing w:line="240" w:lineRule="auto"/>
        <w:jc w:val="both"/>
        <w:rPr>
          <w:rFonts w:asciiTheme="minorHAnsi" w:hAnsiTheme="minorHAnsi"/>
          <w:sz w:val="16"/>
          <w:szCs w:val="16"/>
        </w:rPr>
      </w:pPr>
      <w:r w:rsidRPr="00021789">
        <w:rPr>
          <w:rFonts w:asciiTheme="minorHAnsi" w:hAnsiTheme="minorHAnsi"/>
          <w:sz w:val="16"/>
          <w:szCs w:val="16"/>
        </w:rPr>
        <w:t>Inżynier/Kierownik projektu będzie mieć nieograniczony dostęp do pomieszczeń laboratoryjnych, w celu ich inspekcji.</w:t>
      </w:r>
    </w:p>
    <w:p w14:paraId="00A5E240"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lastRenderedPageBreak/>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14:paraId="76E561E0"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Wszystkie koszty związane z organizowaniem i prowadzeniem badań materiałów ponosi Wykonawca.</w:t>
      </w:r>
    </w:p>
    <w:p w14:paraId="58E8CA28" w14:textId="77777777" w:rsidR="00184C31" w:rsidRPr="00021789" w:rsidRDefault="00184C31" w:rsidP="00B4083C">
      <w:pPr>
        <w:pStyle w:val="Pro-Inwest"/>
        <w:spacing w:line="240" w:lineRule="auto"/>
        <w:jc w:val="both"/>
        <w:rPr>
          <w:rFonts w:asciiTheme="minorHAnsi" w:hAnsiTheme="minorHAnsi"/>
          <w:b/>
          <w:sz w:val="16"/>
          <w:szCs w:val="16"/>
        </w:rPr>
      </w:pPr>
      <w:r w:rsidRPr="00021789">
        <w:rPr>
          <w:rFonts w:asciiTheme="minorHAnsi" w:hAnsiTheme="minorHAnsi"/>
          <w:b/>
          <w:sz w:val="16"/>
          <w:szCs w:val="16"/>
        </w:rPr>
        <w:t>6.3. Pobieranie próbek</w:t>
      </w:r>
    </w:p>
    <w:p w14:paraId="75A0489B"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Próbki będą pobierane losowo. Zaleca się stosowanie statystycznych metod pobierania próbek, opartych na zasadzie,</w:t>
      </w:r>
      <w:r w:rsidR="00F224C1" w:rsidRPr="00021789">
        <w:rPr>
          <w:rFonts w:asciiTheme="minorHAnsi" w:hAnsiTheme="minorHAnsi"/>
          <w:sz w:val="16"/>
          <w:szCs w:val="16"/>
        </w:rPr>
        <w:br/>
      </w:r>
      <w:r w:rsidRPr="00021789">
        <w:rPr>
          <w:rFonts w:asciiTheme="minorHAnsi" w:hAnsiTheme="minorHAnsi"/>
          <w:sz w:val="16"/>
          <w:szCs w:val="16"/>
        </w:rPr>
        <w:t>że wszystkie jednostkowe elementy produkcji mogą być z jednakowym prawdopodobieństwem wytypowane do badań.</w:t>
      </w:r>
    </w:p>
    <w:p w14:paraId="210E479D" w14:textId="77777777" w:rsidR="00184C31" w:rsidRPr="00021789" w:rsidRDefault="00184C31" w:rsidP="00B4083C">
      <w:pPr>
        <w:pStyle w:val="Pro-Inwest"/>
        <w:spacing w:line="240" w:lineRule="auto"/>
        <w:jc w:val="both"/>
        <w:rPr>
          <w:rFonts w:asciiTheme="minorHAnsi" w:hAnsiTheme="minorHAnsi"/>
          <w:sz w:val="16"/>
          <w:szCs w:val="16"/>
        </w:rPr>
      </w:pPr>
      <w:r w:rsidRPr="00021789">
        <w:rPr>
          <w:rFonts w:asciiTheme="minorHAnsi" w:hAnsiTheme="minorHAnsi"/>
          <w:sz w:val="16"/>
          <w:szCs w:val="16"/>
        </w:rPr>
        <w:t>Inżynier/Kierownik projektu będzie mieć zapewnioną możliwość udziału w pobieraniu próbek.</w:t>
      </w:r>
    </w:p>
    <w:p w14:paraId="3BDE1BB1"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Pojemniki do pobierania próbek będą dostarczone przez Wykonawcę i zatwierdzone przez Inżyniera/Kierownika projektu. Próbki dostarczone przez Wykonawcę do badań wykonywanych przez Inżyniera/Kierownik projektu będą odpowiednio opisane i oznakowane,</w:t>
      </w:r>
      <w:r w:rsidR="00F224C1" w:rsidRPr="00021789">
        <w:rPr>
          <w:rFonts w:asciiTheme="minorHAnsi" w:hAnsiTheme="minorHAnsi"/>
          <w:sz w:val="16"/>
          <w:szCs w:val="16"/>
        </w:rPr>
        <w:br/>
      </w:r>
      <w:r w:rsidRPr="00021789">
        <w:rPr>
          <w:rFonts w:asciiTheme="minorHAnsi" w:hAnsiTheme="minorHAnsi"/>
          <w:sz w:val="16"/>
          <w:szCs w:val="16"/>
        </w:rPr>
        <w:t>w sposób zaakceptowany przez Inżyniera/Kierownika projektu.</w:t>
      </w:r>
    </w:p>
    <w:p w14:paraId="52D91DFB"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6E60075D" w14:textId="77777777" w:rsidR="00184C31" w:rsidRPr="00021789" w:rsidRDefault="00184C31" w:rsidP="00B4083C">
      <w:pPr>
        <w:pStyle w:val="Pro-Inwest"/>
        <w:spacing w:line="240" w:lineRule="auto"/>
        <w:jc w:val="both"/>
        <w:rPr>
          <w:rFonts w:asciiTheme="minorHAnsi" w:hAnsiTheme="minorHAnsi"/>
          <w:b/>
          <w:sz w:val="16"/>
          <w:szCs w:val="16"/>
        </w:rPr>
      </w:pPr>
      <w:r w:rsidRPr="00021789">
        <w:rPr>
          <w:rFonts w:asciiTheme="minorHAnsi" w:hAnsiTheme="minorHAnsi"/>
          <w:b/>
          <w:sz w:val="16"/>
          <w:szCs w:val="16"/>
        </w:rPr>
        <w:t>6.4. Badania i pomiary</w:t>
      </w:r>
    </w:p>
    <w:p w14:paraId="75076B2D"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Wszystkie badania i pomiary będą przeprowadzone zgodnie z wymaganiami norm. W przypadku, gdy normy nie obejmują jakiegokolwiek badania wymaganego w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stosować można wytyczne krajowe, albo inne procedury, zaakceptowane przez Inżyniera/ Kierownika projektu.</w:t>
      </w:r>
    </w:p>
    <w:p w14:paraId="38A788DF"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Przed przystąpieniem do pomiarów lub badań, Wykonawca powiadomi Inżyniera/ Kierownika projektu o rodzaju, miejscu</w:t>
      </w:r>
      <w:r w:rsidR="00F224C1" w:rsidRPr="00021789">
        <w:rPr>
          <w:rFonts w:asciiTheme="minorHAnsi" w:hAnsiTheme="minorHAnsi"/>
          <w:sz w:val="16"/>
          <w:szCs w:val="16"/>
        </w:rPr>
        <w:br/>
      </w:r>
      <w:r w:rsidRPr="00021789">
        <w:rPr>
          <w:rFonts w:asciiTheme="minorHAnsi" w:hAnsiTheme="minorHAnsi"/>
          <w:sz w:val="16"/>
          <w:szCs w:val="16"/>
        </w:rPr>
        <w:t>i terminie pomiaru lub badania. Po wykonaniu pomiaru lub badania, Wykonawca przedstawi na piśmie ich wyniki do akceptacji Inżyniera/ Kierownika projektu.</w:t>
      </w:r>
    </w:p>
    <w:p w14:paraId="0E3A9FAB" w14:textId="77777777" w:rsidR="00184C31" w:rsidRPr="00021789" w:rsidRDefault="00184C31" w:rsidP="00B4083C">
      <w:pPr>
        <w:pStyle w:val="Pro-Inwest"/>
        <w:spacing w:line="240" w:lineRule="auto"/>
        <w:jc w:val="both"/>
        <w:rPr>
          <w:rFonts w:asciiTheme="minorHAnsi" w:hAnsiTheme="minorHAnsi"/>
          <w:b/>
          <w:sz w:val="16"/>
          <w:szCs w:val="16"/>
        </w:rPr>
      </w:pPr>
      <w:r w:rsidRPr="00021789">
        <w:rPr>
          <w:rFonts w:asciiTheme="minorHAnsi" w:hAnsiTheme="minorHAnsi"/>
          <w:b/>
          <w:sz w:val="16"/>
          <w:szCs w:val="16"/>
        </w:rPr>
        <w:t>6.5. Raporty z badań</w:t>
      </w:r>
    </w:p>
    <w:p w14:paraId="7A0C0FA0"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będzie przekazywać Inżynierowi/Kierownikowi projektu kopie raportów z wynikami badań jak najszybciej, nie później jednak niż</w:t>
      </w:r>
      <w:r w:rsidR="00F224C1" w:rsidRPr="00021789">
        <w:rPr>
          <w:rFonts w:asciiTheme="minorHAnsi" w:hAnsiTheme="minorHAnsi"/>
          <w:sz w:val="16"/>
          <w:szCs w:val="16"/>
        </w:rPr>
        <w:t xml:space="preserve"> </w:t>
      </w:r>
      <w:r w:rsidRPr="00021789">
        <w:rPr>
          <w:rFonts w:asciiTheme="minorHAnsi" w:hAnsiTheme="minorHAnsi"/>
          <w:sz w:val="16"/>
          <w:szCs w:val="16"/>
        </w:rPr>
        <w:t>w terminie określonym w programie zapewnienia jakości.</w:t>
      </w:r>
    </w:p>
    <w:p w14:paraId="3BC06948"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Wyniki badań (kopie) będą przekazywane Inżynierowi/Kierownikowi projektu na formularzach według dostarczonego przez niego wzoru lub innych, przez niego zaaprobowanych.</w:t>
      </w:r>
    </w:p>
    <w:p w14:paraId="5F93C83F" w14:textId="77777777" w:rsidR="00184C31" w:rsidRPr="00021789" w:rsidRDefault="00184C31" w:rsidP="00B4083C">
      <w:pPr>
        <w:pStyle w:val="Pro-Inwest"/>
        <w:spacing w:line="240" w:lineRule="auto"/>
        <w:jc w:val="both"/>
        <w:rPr>
          <w:rFonts w:asciiTheme="minorHAnsi" w:hAnsiTheme="minorHAnsi"/>
          <w:b/>
          <w:sz w:val="16"/>
          <w:szCs w:val="16"/>
        </w:rPr>
      </w:pPr>
      <w:r w:rsidRPr="00021789">
        <w:rPr>
          <w:rFonts w:asciiTheme="minorHAnsi" w:hAnsiTheme="minorHAnsi"/>
          <w:b/>
          <w:sz w:val="16"/>
          <w:szCs w:val="16"/>
        </w:rPr>
        <w:t>6.6. Badania prowadzone przez Inżyniera/Kierownika projektu</w:t>
      </w:r>
    </w:p>
    <w:p w14:paraId="4375F19A"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Inżynier/Kierownik projektu jest uprawniony do dokonywania kontroli, pobierania próbek i badania materiałów w miejscu ich wytwarzania/pozyskiwania, a Wykonawca i producent materiałów powinien udzielić mu niezbędnej pomocy.</w:t>
      </w:r>
    </w:p>
    <w:p w14:paraId="1EC27D2F"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Inżynier/Kierownik projektu, dokonując weryfikacji systemu kontroli robót prowadzonego przez Wykonawcę, poprzez między innymi swoje badania, będzie oceniać zgodność materiałów i robót z wymaganiami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na podstawie wyników własnych badań kontrolnych jak i wyników badań dostarczonych przez Wykonawcę.</w:t>
      </w:r>
    </w:p>
    <w:p w14:paraId="26493E8E"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Może również zlecić, sam lub poprzez Wykonawcę, przeprowadzenie powtórnych lub dodatkowych badań niezależnemu laboratorium. W takim przypadku całkowite koszty powtórnych lub dodatkowych badań i pobierania próbek poniesione zostaną przez Wykonawcę.</w:t>
      </w:r>
    </w:p>
    <w:p w14:paraId="62F19631" w14:textId="77777777" w:rsidR="00184C31" w:rsidRPr="00021789" w:rsidRDefault="00184C31" w:rsidP="00B4083C">
      <w:pPr>
        <w:pStyle w:val="Pro-Inwest"/>
        <w:spacing w:line="240" w:lineRule="auto"/>
        <w:jc w:val="both"/>
        <w:rPr>
          <w:rFonts w:asciiTheme="minorHAnsi" w:hAnsiTheme="minorHAnsi"/>
          <w:b/>
          <w:sz w:val="16"/>
          <w:szCs w:val="16"/>
        </w:rPr>
      </w:pPr>
      <w:r w:rsidRPr="00021789">
        <w:rPr>
          <w:rFonts w:asciiTheme="minorHAnsi" w:hAnsiTheme="minorHAnsi"/>
          <w:b/>
          <w:sz w:val="16"/>
          <w:szCs w:val="16"/>
        </w:rPr>
        <w:t>6.7. Certyfikaty i deklaracje</w:t>
      </w:r>
    </w:p>
    <w:p w14:paraId="691BB003" w14:textId="77777777" w:rsidR="00184C31" w:rsidRPr="00021789" w:rsidRDefault="00184C31" w:rsidP="00B4083C">
      <w:pPr>
        <w:pStyle w:val="Pro-Inwest"/>
        <w:spacing w:line="240" w:lineRule="auto"/>
        <w:jc w:val="both"/>
        <w:rPr>
          <w:rFonts w:asciiTheme="minorHAnsi" w:hAnsiTheme="minorHAnsi"/>
          <w:sz w:val="16"/>
          <w:szCs w:val="16"/>
        </w:rPr>
      </w:pPr>
      <w:r w:rsidRPr="00021789">
        <w:rPr>
          <w:rFonts w:asciiTheme="minorHAnsi" w:hAnsiTheme="minorHAnsi"/>
          <w:sz w:val="16"/>
          <w:szCs w:val="16"/>
        </w:rPr>
        <w:t>Inżynier/Kierownik projektu może dopuścić do użycia tylko te materiały, które posiadają:</w:t>
      </w:r>
    </w:p>
    <w:p w14:paraId="663C579A" w14:textId="77777777" w:rsidR="00184C31" w:rsidRPr="00021789" w:rsidRDefault="00184C31" w:rsidP="009C55F8">
      <w:pPr>
        <w:pStyle w:val="Pro-Inwest"/>
        <w:numPr>
          <w:ilvl w:val="0"/>
          <w:numId w:val="9"/>
        </w:numPr>
        <w:spacing w:line="240" w:lineRule="auto"/>
        <w:jc w:val="both"/>
        <w:rPr>
          <w:rFonts w:asciiTheme="minorHAnsi" w:hAnsiTheme="minorHAnsi"/>
          <w:sz w:val="16"/>
          <w:szCs w:val="16"/>
        </w:rPr>
      </w:pPr>
      <w:r w:rsidRPr="00021789">
        <w:rPr>
          <w:rFonts w:asciiTheme="minorHAnsi" w:hAnsiTheme="minorHAnsi"/>
          <w:sz w:val="16"/>
          <w:szCs w:val="16"/>
        </w:rPr>
        <w:t>certyfikat na znak bezpieczeństwa wykazujący, że zapewniono zgodność z kryteriami technicznymi określonymi na podstawie Polskich Norm, aprobat technicznych oraz właściwych przepisów i dokumentów technicznych,</w:t>
      </w:r>
    </w:p>
    <w:p w14:paraId="33F99A18" w14:textId="77777777" w:rsidR="00184C31" w:rsidRPr="00021789" w:rsidRDefault="00184C31" w:rsidP="009C55F8">
      <w:pPr>
        <w:pStyle w:val="Pro-Inwest"/>
        <w:numPr>
          <w:ilvl w:val="0"/>
          <w:numId w:val="9"/>
        </w:numPr>
        <w:spacing w:line="240" w:lineRule="auto"/>
        <w:jc w:val="both"/>
        <w:rPr>
          <w:rFonts w:asciiTheme="minorHAnsi" w:hAnsiTheme="minorHAnsi"/>
          <w:sz w:val="16"/>
          <w:szCs w:val="16"/>
        </w:rPr>
      </w:pPr>
      <w:r w:rsidRPr="00021789">
        <w:rPr>
          <w:rFonts w:asciiTheme="minorHAnsi" w:hAnsiTheme="minorHAnsi"/>
          <w:sz w:val="16"/>
          <w:szCs w:val="16"/>
        </w:rPr>
        <w:t>deklarację zgodności lub certyfikat zgodności z:</w:t>
      </w:r>
    </w:p>
    <w:p w14:paraId="09995AD2" w14:textId="77777777" w:rsidR="00184C31" w:rsidRPr="00021789" w:rsidRDefault="00184C31" w:rsidP="009C55F8">
      <w:pPr>
        <w:pStyle w:val="Pro-Inwest"/>
        <w:numPr>
          <w:ilvl w:val="0"/>
          <w:numId w:val="8"/>
        </w:numPr>
        <w:spacing w:line="240" w:lineRule="auto"/>
        <w:jc w:val="both"/>
        <w:rPr>
          <w:rFonts w:asciiTheme="minorHAnsi" w:hAnsiTheme="minorHAnsi"/>
          <w:sz w:val="16"/>
          <w:szCs w:val="16"/>
        </w:rPr>
      </w:pPr>
      <w:r w:rsidRPr="00021789">
        <w:rPr>
          <w:rFonts w:asciiTheme="minorHAnsi" w:hAnsiTheme="minorHAnsi"/>
          <w:sz w:val="16"/>
          <w:szCs w:val="16"/>
        </w:rPr>
        <w:t>Polską Normą lub</w:t>
      </w:r>
    </w:p>
    <w:p w14:paraId="5B3DE46F" w14:textId="77777777" w:rsidR="00184C31" w:rsidRPr="00021789" w:rsidRDefault="00184C31" w:rsidP="009C55F8">
      <w:pPr>
        <w:pStyle w:val="Pro-Inwest"/>
        <w:numPr>
          <w:ilvl w:val="0"/>
          <w:numId w:val="8"/>
        </w:numPr>
        <w:spacing w:line="240" w:lineRule="auto"/>
        <w:jc w:val="both"/>
        <w:rPr>
          <w:rFonts w:asciiTheme="minorHAnsi" w:hAnsiTheme="minorHAnsi"/>
          <w:sz w:val="16"/>
          <w:szCs w:val="16"/>
        </w:rPr>
      </w:pPr>
      <w:r w:rsidRPr="00021789">
        <w:rPr>
          <w:rFonts w:asciiTheme="minorHAnsi" w:hAnsiTheme="minorHAnsi"/>
          <w:sz w:val="16"/>
          <w:szCs w:val="16"/>
        </w:rPr>
        <w:t>aprobatą techniczną, w przypadku wyrobów, dla których nie ustanowiono Polskiej Normy, jeżeli nie są objęte certyfikacją określoną w pkt 1</w:t>
      </w:r>
    </w:p>
    <w:p w14:paraId="70714E5D" w14:textId="77777777" w:rsidR="00184C31" w:rsidRPr="00021789" w:rsidRDefault="00184C31" w:rsidP="00B4083C">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i które spełniają wymogi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w:t>
      </w:r>
    </w:p>
    <w:p w14:paraId="45D83009"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W przypadku materiałów, dla których ww. dokumenty są wymagane przez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każda partia dostarczona do robót będzie posiadać te dokumenty, określające w sposób jednoznaczny jej cechy.</w:t>
      </w:r>
    </w:p>
    <w:p w14:paraId="11B792A1"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Produkty przemysłowe muszą posiadać ww. dokumenty wydane przez producenta, a w razie potrzeby poparte wynikami badań wykonanych przez niego. Kopie wyników tych badań będą dostarczone przez Wykonawcę Inżynierowi/Kierownikowi projektu.</w:t>
      </w:r>
    </w:p>
    <w:p w14:paraId="4A80D74C" w14:textId="77777777" w:rsidR="00184C31" w:rsidRPr="00021789" w:rsidRDefault="00184C31" w:rsidP="00B4083C">
      <w:pPr>
        <w:pStyle w:val="Pro-Inwest"/>
        <w:spacing w:line="240" w:lineRule="auto"/>
        <w:jc w:val="both"/>
        <w:rPr>
          <w:rFonts w:asciiTheme="minorHAnsi" w:hAnsiTheme="minorHAnsi"/>
          <w:sz w:val="16"/>
          <w:szCs w:val="16"/>
        </w:rPr>
      </w:pPr>
      <w:r w:rsidRPr="00021789">
        <w:rPr>
          <w:rFonts w:asciiTheme="minorHAnsi" w:hAnsiTheme="minorHAnsi"/>
          <w:sz w:val="16"/>
          <w:szCs w:val="16"/>
        </w:rPr>
        <w:t>Jakiekolwiek materiały, które nie spełniają tych wymagań będą odrzucone.</w:t>
      </w:r>
    </w:p>
    <w:p w14:paraId="4BD049E9"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6.8. Dokumenty budowy</w:t>
      </w:r>
    </w:p>
    <w:p w14:paraId="10B05E8B"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(1) Dziennik budowy</w:t>
      </w:r>
    </w:p>
    <w:p w14:paraId="5927A760" w14:textId="77777777" w:rsidR="00184C31" w:rsidRPr="00021789" w:rsidRDefault="00184C31" w:rsidP="00F224C1">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Dziennik budowy jest wymaganym dokumentem prawnym obowiązującym Zamawiającego i Wykonawcę w okresie</w:t>
      </w:r>
      <w:r w:rsidR="00F224C1" w:rsidRPr="00021789">
        <w:rPr>
          <w:rFonts w:asciiTheme="minorHAnsi" w:hAnsiTheme="minorHAnsi"/>
          <w:sz w:val="16"/>
          <w:szCs w:val="16"/>
        </w:rPr>
        <w:br/>
      </w:r>
      <w:r w:rsidRPr="00021789">
        <w:rPr>
          <w:rFonts w:asciiTheme="minorHAnsi" w:hAnsiTheme="minorHAnsi"/>
          <w:sz w:val="16"/>
          <w:szCs w:val="16"/>
        </w:rPr>
        <w:t>od przekazania Wykonawcy terenu budowy do końca okresu gwarancyjnego. Odpowiedzialność za prowadzenie dziennika budowy zgodnie z obowiązującymi przepisami [2] spoczywa na Wykonawcy.</w:t>
      </w:r>
    </w:p>
    <w:p w14:paraId="614D0682"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sz w:val="16"/>
          <w:szCs w:val="16"/>
        </w:rPr>
        <w:t>Zapisy w dzienniku budowy będą dokonywane na bieżąco i będą dotyczyć przebiegu robót, stanu bezpieczeństwa ludzi i mienia oraz technicznej i gospodarczej strony budowy.</w:t>
      </w:r>
    </w:p>
    <w:p w14:paraId="62FF93FF"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01DD97A0"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Załączone do dziennika budowy protokoły i inne dokumenty będą oznaczone kolejnym numerem załącznika i opatrzone datą</w:t>
      </w:r>
      <w:r w:rsidR="00081AA6" w:rsidRPr="00021789">
        <w:rPr>
          <w:rFonts w:asciiTheme="minorHAnsi" w:hAnsiTheme="minorHAnsi"/>
          <w:sz w:val="16"/>
          <w:szCs w:val="16"/>
        </w:rPr>
        <w:br/>
      </w:r>
      <w:r w:rsidRPr="00021789">
        <w:rPr>
          <w:rFonts w:asciiTheme="minorHAnsi" w:hAnsiTheme="minorHAnsi"/>
          <w:sz w:val="16"/>
          <w:szCs w:val="16"/>
        </w:rPr>
        <w:t>i podpisem Wykonawcy i Inżyniera/ Kierownika projektu.</w:t>
      </w:r>
    </w:p>
    <w:p w14:paraId="2D0E7D83"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sz w:val="16"/>
          <w:szCs w:val="16"/>
        </w:rPr>
        <w:t>Do dziennika budowy należy wpisywać w szczególności:</w:t>
      </w:r>
    </w:p>
    <w:p w14:paraId="1FF1E0C3"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datę przekazania Wykonawcy terenu budowy,</w:t>
      </w:r>
    </w:p>
    <w:p w14:paraId="1D485EFA"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datę przekazania przez Zamawiającego dokumentacji projektowej,</w:t>
      </w:r>
    </w:p>
    <w:p w14:paraId="7C7050E4"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datę uzgodnienia przez Inżyniera/Kierownika projektu programu zapewnienia jakości i harmonogramów robót,</w:t>
      </w:r>
    </w:p>
    <w:p w14:paraId="7BDC443E"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terminy rozpoczęcia i zakończenia poszczególnych elementów robót,</w:t>
      </w:r>
    </w:p>
    <w:p w14:paraId="4C3303D2"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przebieg robót, trudności i przeszkody w ich prowadzeniu, okresy i przyczyny przerw w robotach,</w:t>
      </w:r>
    </w:p>
    <w:p w14:paraId="5C266E86"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lastRenderedPageBreak/>
        <w:t>uwagi i polecenia Inżyniera/Kierownika projektu,</w:t>
      </w:r>
    </w:p>
    <w:p w14:paraId="496ADF59"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daty zarządzenia wstrzymania robót, z podaniem powodu,</w:t>
      </w:r>
    </w:p>
    <w:p w14:paraId="24073CEA"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zgłoszenia i daty odbiorów robót zanikających i ulegających zakryciu, częściowych i ostatecznych odbiorów robót,</w:t>
      </w:r>
    </w:p>
    <w:p w14:paraId="44B89FD8"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wyjaśnienia, uwagi i propozycje Wykonawcy,</w:t>
      </w:r>
    </w:p>
    <w:p w14:paraId="79D8FC34"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stan pogody i temperaturę powietrza w okresie wykonywania robót podlegających ograniczeniom lub wymaganiom szczególnym w związku z warunkami klimatycznymi,</w:t>
      </w:r>
    </w:p>
    <w:p w14:paraId="145055D2"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zgodność rzeczywistych warunków geotechnicznych z ich opisem w dokumentacji projektowej,</w:t>
      </w:r>
    </w:p>
    <w:p w14:paraId="68F927BD"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dane dotyczące czynności geodezyjnych (pomiarowych) dokonywanych przed i w trakcie wykonywania robót,</w:t>
      </w:r>
    </w:p>
    <w:p w14:paraId="39765E52"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dane dotyczące sposobu wykonywania zabezpieczenia robót,</w:t>
      </w:r>
    </w:p>
    <w:p w14:paraId="0D0D2F68"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dane dotyczące jakości materiałów, pobierania próbek oraz wyniki przeprowadzonych badań z podaniem, kto je przeprowadzał,</w:t>
      </w:r>
    </w:p>
    <w:p w14:paraId="4DE0646C"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wyniki prób poszczególnych elementów budowli z podaniem, kto je przeprowadzał,</w:t>
      </w:r>
    </w:p>
    <w:p w14:paraId="3479738E" w14:textId="77777777" w:rsidR="00184C31" w:rsidRPr="00021789" w:rsidRDefault="00184C31" w:rsidP="009C55F8">
      <w:pPr>
        <w:pStyle w:val="Pro-Inwest"/>
        <w:numPr>
          <w:ilvl w:val="0"/>
          <w:numId w:val="10"/>
        </w:numPr>
        <w:spacing w:line="240" w:lineRule="auto"/>
        <w:jc w:val="both"/>
        <w:rPr>
          <w:rFonts w:asciiTheme="minorHAnsi" w:hAnsiTheme="minorHAnsi"/>
          <w:sz w:val="16"/>
          <w:szCs w:val="16"/>
        </w:rPr>
      </w:pPr>
      <w:r w:rsidRPr="00021789">
        <w:rPr>
          <w:rFonts w:asciiTheme="minorHAnsi" w:hAnsiTheme="minorHAnsi"/>
          <w:sz w:val="16"/>
          <w:szCs w:val="16"/>
        </w:rPr>
        <w:t>inne istotne informacje o przebiegu robót.</w:t>
      </w:r>
    </w:p>
    <w:p w14:paraId="3252CCC7" w14:textId="77777777" w:rsidR="00184C31" w:rsidRPr="00021789" w:rsidRDefault="00184C31" w:rsidP="00081AA6">
      <w:pPr>
        <w:pStyle w:val="Pro-Inwest"/>
        <w:spacing w:line="240" w:lineRule="auto"/>
        <w:ind w:firstLine="360"/>
        <w:jc w:val="both"/>
        <w:rPr>
          <w:rFonts w:asciiTheme="minorHAnsi" w:hAnsiTheme="minorHAnsi"/>
          <w:sz w:val="16"/>
          <w:szCs w:val="16"/>
        </w:rPr>
      </w:pPr>
      <w:r w:rsidRPr="00021789">
        <w:rPr>
          <w:rFonts w:asciiTheme="minorHAnsi" w:hAnsiTheme="minorHAnsi"/>
          <w:sz w:val="16"/>
          <w:szCs w:val="16"/>
        </w:rPr>
        <w:t>Propozycje, uwagi i wyjaśnienia Wykonawcy, wpisane do dziennika budowy będą przedłożone Inżynierowi/Kierownikowi projektu</w:t>
      </w:r>
      <w:r w:rsidR="00081AA6" w:rsidRPr="00021789">
        <w:rPr>
          <w:rFonts w:asciiTheme="minorHAnsi" w:hAnsiTheme="minorHAnsi"/>
          <w:sz w:val="16"/>
          <w:szCs w:val="16"/>
        </w:rPr>
        <w:br/>
      </w:r>
      <w:r w:rsidRPr="00021789">
        <w:rPr>
          <w:rFonts w:asciiTheme="minorHAnsi" w:hAnsiTheme="minorHAnsi"/>
          <w:sz w:val="16"/>
          <w:szCs w:val="16"/>
        </w:rPr>
        <w:t>do ustosunkowania się.</w:t>
      </w:r>
    </w:p>
    <w:p w14:paraId="2D86BEFE" w14:textId="77777777" w:rsidR="00184C31" w:rsidRPr="00021789" w:rsidRDefault="00184C31" w:rsidP="00081AA6">
      <w:pPr>
        <w:pStyle w:val="Pro-Inwest"/>
        <w:spacing w:line="240" w:lineRule="auto"/>
        <w:ind w:firstLine="360"/>
        <w:jc w:val="both"/>
        <w:rPr>
          <w:rFonts w:asciiTheme="minorHAnsi" w:hAnsiTheme="minorHAnsi"/>
          <w:sz w:val="16"/>
          <w:szCs w:val="16"/>
        </w:rPr>
      </w:pPr>
      <w:r w:rsidRPr="00021789">
        <w:rPr>
          <w:rFonts w:asciiTheme="minorHAnsi" w:hAnsiTheme="minorHAnsi"/>
          <w:sz w:val="16"/>
          <w:szCs w:val="16"/>
        </w:rPr>
        <w:t>Decyzje Inżyniera/Kierownika projektu wpisane do dziennika budowy Wykonawca podpisuje z zaznaczeniem ich przyjęcia</w:t>
      </w:r>
      <w:r w:rsidR="00081AA6" w:rsidRPr="00021789">
        <w:rPr>
          <w:rFonts w:asciiTheme="minorHAnsi" w:hAnsiTheme="minorHAnsi"/>
          <w:sz w:val="16"/>
          <w:szCs w:val="16"/>
        </w:rPr>
        <w:br/>
      </w:r>
      <w:r w:rsidRPr="00021789">
        <w:rPr>
          <w:rFonts w:asciiTheme="minorHAnsi" w:hAnsiTheme="minorHAnsi"/>
          <w:sz w:val="16"/>
          <w:szCs w:val="16"/>
        </w:rPr>
        <w:t>lub zajęciem stanowiska.</w:t>
      </w:r>
    </w:p>
    <w:p w14:paraId="2559E1CE" w14:textId="77777777" w:rsidR="00184C31" w:rsidRPr="00021789" w:rsidRDefault="00184C31" w:rsidP="00081AA6">
      <w:pPr>
        <w:pStyle w:val="Pro-Inwest"/>
        <w:spacing w:line="240" w:lineRule="auto"/>
        <w:ind w:firstLine="360"/>
        <w:jc w:val="both"/>
        <w:rPr>
          <w:rFonts w:asciiTheme="minorHAnsi" w:hAnsiTheme="minorHAnsi"/>
          <w:sz w:val="16"/>
          <w:szCs w:val="16"/>
        </w:rPr>
      </w:pPr>
      <w:r w:rsidRPr="00021789">
        <w:rPr>
          <w:rFonts w:asciiTheme="minorHAnsi" w:hAnsiTheme="minorHAnsi"/>
          <w:sz w:val="16"/>
          <w:szCs w:val="16"/>
        </w:rPr>
        <w:t>Wpis projektanta do dziennika budowy obliguje Inżyniera/Kierownika projektu do ustosunkowania się. Projektant nie jest jednak stroną umowy i nie ma uprawnień do wydawania poleceń Wykonawcy robót.</w:t>
      </w:r>
    </w:p>
    <w:p w14:paraId="043852EA"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(2) Książka obmiarów</w:t>
      </w:r>
    </w:p>
    <w:p w14:paraId="7FD17B86"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Książka obmiarów stanowi dokument pozwalający na rozliczenie faktycznego postępu każdego z elementów robót. Obmiary wykonanych robót przeprowadza się w sposób ciągły w jednostkach przyjętych w kosztorysie i wpisuje do książki obmiarów.</w:t>
      </w:r>
    </w:p>
    <w:p w14:paraId="227CBD71"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(3) Dokumenty laboratoryjne</w:t>
      </w:r>
    </w:p>
    <w:p w14:paraId="267C51F9"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14:paraId="0A618099"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(4) Pozostałe dokumenty budowy</w:t>
      </w:r>
    </w:p>
    <w:p w14:paraId="598F1777"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sz w:val="16"/>
          <w:szCs w:val="16"/>
        </w:rPr>
        <w:t>Do dokumentów budowy zalicza się, oprócz wymienionych w punktach (1) - (3) następujące dokumenty:</w:t>
      </w:r>
    </w:p>
    <w:p w14:paraId="61841EAC" w14:textId="77777777" w:rsidR="00184C31" w:rsidRPr="00021789" w:rsidRDefault="00184C31" w:rsidP="009C55F8">
      <w:pPr>
        <w:pStyle w:val="Pro-Inwest"/>
        <w:numPr>
          <w:ilvl w:val="0"/>
          <w:numId w:val="11"/>
        </w:numPr>
        <w:spacing w:line="240" w:lineRule="auto"/>
        <w:jc w:val="both"/>
        <w:rPr>
          <w:rFonts w:asciiTheme="minorHAnsi" w:hAnsiTheme="minorHAnsi"/>
          <w:sz w:val="16"/>
          <w:szCs w:val="16"/>
        </w:rPr>
      </w:pPr>
      <w:r w:rsidRPr="00021789">
        <w:rPr>
          <w:rFonts w:asciiTheme="minorHAnsi" w:hAnsiTheme="minorHAnsi"/>
          <w:sz w:val="16"/>
          <w:szCs w:val="16"/>
        </w:rPr>
        <w:t>pozwolenie na realizację zadania budowlanego,</w:t>
      </w:r>
    </w:p>
    <w:p w14:paraId="2499A2A6" w14:textId="77777777" w:rsidR="00184C31" w:rsidRPr="00021789" w:rsidRDefault="00184C31" w:rsidP="009C55F8">
      <w:pPr>
        <w:pStyle w:val="Pro-Inwest"/>
        <w:numPr>
          <w:ilvl w:val="0"/>
          <w:numId w:val="11"/>
        </w:numPr>
        <w:spacing w:line="240" w:lineRule="auto"/>
        <w:jc w:val="both"/>
        <w:rPr>
          <w:rFonts w:asciiTheme="minorHAnsi" w:hAnsiTheme="minorHAnsi"/>
          <w:sz w:val="16"/>
          <w:szCs w:val="16"/>
        </w:rPr>
      </w:pPr>
      <w:r w:rsidRPr="00021789">
        <w:rPr>
          <w:rFonts w:asciiTheme="minorHAnsi" w:hAnsiTheme="minorHAnsi"/>
          <w:sz w:val="16"/>
          <w:szCs w:val="16"/>
        </w:rPr>
        <w:t>protokoły przekazania terenu budowy,</w:t>
      </w:r>
    </w:p>
    <w:p w14:paraId="35017EF1" w14:textId="77777777" w:rsidR="00184C31" w:rsidRPr="00021789" w:rsidRDefault="00184C31" w:rsidP="009C55F8">
      <w:pPr>
        <w:pStyle w:val="Pro-Inwest"/>
        <w:numPr>
          <w:ilvl w:val="0"/>
          <w:numId w:val="11"/>
        </w:numPr>
        <w:spacing w:line="240" w:lineRule="auto"/>
        <w:jc w:val="both"/>
        <w:rPr>
          <w:rFonts w:asciiTheme="minorHAnsi" w:hAnsiTheme="minorHAnsi"/>
          <w:sz w:val="16"/>
          <w:szCs w:val="16"/>
        </w:rPr>
      </w:pPr>
      <w:r w:rsidRPr="00021789">
        <w:rPr>
          <w:rFonts w:asciiTheme="minorHAnsi" w:hAnsiTheme="minorHAnsi"/>
          <w:sz w:val="16"/>
          <w:szCs w:val="16"/>
        </w:rPr>
        <w:t>umowy cywilno-prawne z osobami trzecimi i inne umowy cywilno-prawne,</w:t>
      </w:r>
    </w:p>
    <w:p w14:paraId="156FA5B7" w14:textId="77777777" w:rsidR="00184C31" w:rsidRPr="00021789" w:rsidRDefault="00184C31" w:rsidP="009C55F8">
      <w:pPr>
        <w:pStyle w:val="Pro-Inwest"/>
        <w:numPr>
          <w:ilvl w:val="0"/>
          <w:numId w:val="11"/>
        </w:numPr>
        <w:spacing w:line="240" w:lineRule="auto"/>
        <w:jc w:val="both"/>
        <w:rPr>
          <w:rFonts w:asciiTheme="minorHAnsi" w:hAnsiTheme="minorHAnsi"/>
          <w:sz w:val="16"/>
          <w:szCs w:val="16"/>
        </w:rPr>
      </w:pPr>
      <w:r w:rsidRPr="00021789">
        <w:rPr>
          <w:rFonts w:asciiTheme="minorHAnsi" w:hAnsiTheme="minorHAnsi"/>
          <w:sz w:val="16"/>
          <w:szCs w:val="16"/>
        </w:rPr>
        <w:t>protokoły odbioru robót,</w:t>
      </w:r>
    </w:p>
    <w:p w14:paraId="77351FDD" w14:textId="77777777" w:rsidR="00184C31" w:rsidRPr="00021789" w:rsidRDefault="00184C31" w:rsidP="009C55F8">
      <w:pPr>
        <w:pStyle w:val="Pro-Inwest"/>
        <w:numPr>
          <w:ilvl w:val="0"/>
          <w:numId w:val="11"/>
        </w:numPr>
        <w:spacing w:line="240" w:lineRule="auto"/>
        <w:jc w:val="both"/>
        <w:rPr>
          <w:rFonts w:asciiTheme="minorHAnsi" w:hAnsiTheme="minorHAnsi"/>
          <w:sz w:val="16"/>
          <w:szCs w:val="16"/>
        </w:rPr>
      </w:pPr>
      <w:r w:rsidRPr="00021789">
        <w:rPr>
          <w:rFonts w:asciiTheme="minorHAnsi" w:hAnsiTheme="minorHAnsi"/>
          <w:sz w:val="16"/>
          <w:szCs w:val="16"/>
        </w:rPr>
        <w:t>protokoły z narad i ustaleń,</w:t>
      </w:r>
    </w:p>
    <w:p w14:paraId="4C145EF1" w14:textId="77777777" w:rsidR="00184C31" w:rsidRPr="00021789" w:rsidRDefault="00184C31" w:rsidP="009C55F8">
      <w:pPr>
        <w:pStyle w:val="Pro-Inwest"/>
        <w:numPr>
          <w:ilvl w:val="0"/>
          <w:numId w:val="11"/>
        </w:numPr>
        <w:spacing w:line="240" w:lineRule="auto"/>
        <w:jc w:val="both"/>
        <w:rPr>
          <w:rFonts w:asciiTheme="minorHAnsi" w:hAnsiTheme="minorHAnsi"/>
          <w:sz w:val="16"/>
          <w:szCs w:val="16"/>
        </w:rPr>
      </w:pPr>
      <w:r w:rsidRPr="00021789">
        <w:rPr>
          <w:rFonts w:asciiTheme="minorHAnsi" w:hAnsiTheme="minorHAnsi"/>
          <w:sz w:val="16"/>
          <w:szCs w:val="16"/>
        </w:rPr>
        <w:t>korespondencję na budowie.</w:t>
      </w:r>
    </w:p>
    <w:p w14:paraId="448B0E8E"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(5) Przechowywanie dokumentów budowy</w:t>
      </w:r>
    </w:p>
    <w:p w14:paraId="25BA309C"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Dokumenty budowy będą przechowywane na terenie budowy w miejscu odpowiednio zabezpieczonym.</w:t>
      </w:r>
    </w:p>
    <w:p w14:paraId="72E78E09"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Zaginięcie któregokolwiek z dokumentów budowy spowoduje jego natychmiastowe odtworzenie w formie przewidzianej prawem.</w:t>
      </w:r>
    </w:p>
    <w:p w14:paraId="3840E668"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Wszelkie dokumenty budowy będą zawsze dostępne dla Inżyniera/Kierownika projektu i przedstawiane do wglądu na życzenie Zamawiającego.</w:t>
      </w:r>
    </w:p>
    <w:p w14:paraId="2CD3F66E" w14:textId="77777777" w:rsidR="00852D92" w:rsidRPr="00021789" w:rsidRDefault="00852D92" w:rsidP="00A60D16">
      <w:pPr>
        <w:pStyle w:val="Pro-Inwest"/>
        <w:spacing w:line="240" w:lineRule="auto"/>
        <w:jc w:val="both"/>
        <w:rPr>
          <w:rFonts w:asciiTheme="minorHAnsi" w:hAnsiTheme="minorHAnsi"/>
          <w:b/>
          <w:sz w:val="16"/>
          <w:szCs w:val="16"/>
        </w:rPr>
      </w:pPr>
    </w:p>
    <w:p w14:paraId="5AA19AD9"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7. OBMIAR ROBÓT</w:t>
      </w:r>
    </w:p>
    <w:p w14:paraId="04BE5C37"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7.1. Ogólne zasady obmiaru robót</w:t>
      </w:r>
    </w:p>
    <w:p w14:paraId="15E4543E"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Obmiar robót będzie określać faktyczny zakres wykonywanych robót zgodnie z dokumentacją projektową i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w:t>
      </w:r>
      <w:r w:rsidR="00081AA6" w:rsidRPr="00021789">
        <w:rPr>
          <w:rFonts w:asciiTheme="minorHAnsi" w:hAnsiTheme="minorHAnsi"/>
          <w:sz w:val="16"/>
          <w:szCs w:val="16"/>
        </w:rPr>
        <w:br/>
      </w:r>
      <w:r w:rsidRPr="00021789">
        <w:rPr>
          <w:rFonts w:asciiTheme="minorHAnsi" w:hAnsiTheme="minorHAnsi"/>
          <w:sz w:val="16"/>
          <w:szCs w:val="16"/>
        </w:rPr>
        <w:t>w jednostkach ustalonych</w:t>
      </w:r>
      <w:r w:rsidR="00081AA6" w:rsidRPr="00021789">
        <w:rPr>
          <w:rFonts w:asciiTheme="minorHAnsi" w:hAnsiTheme="minorHAnsi"/>
          <w:sz w:val="16"/>
          <w:szCs w:val="16"/>
        </w:rPr>
        <w:t xml:space="preserve"> </w:t>
      </w:r>
      <w:r w:rsidRPr="00021789">
        <w:rPr>
          <w:rFonts w:asciiTheme="minorHAnsi" w:hAnsiTheme="minorHAnsi"/>
          <w:sz w:val="16"/>
          <w:szCs w:val="16"/>
        </w:rPr>
        <w:t>w kosztorysie.</w:t>
      </w:r>
    </w:p>
    <w:p w14:paraId="73809314"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Obmiaru robót dokonuje Wykonawca po pisemnym powiadomieniu Inżyniera/ Kierownika projektu o zakresie obmierzanych robót i terminie obmiaru, co najmniej na 3 dni przed tym terminem.</w:t>
      </w:r>
    </w:p>
    <w:p w14:paraId="26976E30"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Wyniki obmiaru będą wpisane do książki obmiarów,</w:t>
      </w:r>
    </w:p>
    <w:p w14:paraId="1A6AEE19"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Jakikolwiek błąd lub przeoczenie (opuszczenie) w ilościach podanych w ślepym kosztorysie lub gdzie indziej w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nie zwalnia Wykonawcy od obowiązku ukończenia wszystkich robót. Błędne dane zostaną poprawione wg instrukcji Inżyniera/Kierownika projektu na piśmie.</w:t>
      </w:r>
    </w:p>
    <w:p w14:paraId="133CF393"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Obmiar gotowych robót będzie przeprowadzony z częstością wymaganą do celu miesięcznej płatności na rzecz Wykonawcy lub w innym czasie określonym w umowie lub oczekiwanym przez Wykonawcę i Inżyniera/Kierownika projektu.</w:t>
      </w:r>
    </w:p>
    <w:p w14:paraId="2459149D"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7.2. Zasady określania ilości robót i materiałów</w:t>
      </w:r>
    </w:p>
    <w:p w14:paraId="08788615"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Długości i odległości pomiędzy wyszczególnionymi punktami skrajnymi będą obmierzone poziomo wzdłuż linii osiowej.</w:t>
      </w:r>
    </w:p>
    <w:p w14:paraId="12BC8C34"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Jeśli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właściwe dla danych robót nie wymagają tego inaczej, objętości będą wyliczone w m</w:t>
      </w:r>
      <w:r w:rsidRPr="00021789">
        <w:rPr>
          <w:rFonts w:asciiTheme="minorHAnsi" w:hAnsiTheme="minorHAnsi"/>
          <w:sz w:val="16"/>
          <w:szCs w:val="16"/>
          <w:vertAlign w:val="superscript"/>
        </w:rPr>
        <w:t>3</w:t>
      </w:r>
      <w:r w:rsidRPr="00021789">
        <w:rPr>
          <w:rFonts w:asciiTheme="minorHAnsi" w:hAnsiTheme="minorHAnsi"/>
          <w:sz w:val="16"/>
          <w:szCs w:val="16"/>
        </w:rPr>
        <w:t xml:space="preserve"> jako długość pomnożona przez średni przekrój.</w:t>
      </w:r>
    </w:p>
    <w:p w14:paraId="665B5FAF"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Ilości, które mają być obmierzone wagowo, będą ważone w tonach lub kilogramach zgodnie z wymaganiami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w:t>
      </w:r>
    </w:p>
    <w:p w14:paraId="5A72B0A3"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7.3. Urządzenia i sprzęt pomiarowy</w:t>
      </w:r>
    </w:p>
    <w:p w14:paraId="7CEF44EA"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Wszystkie urządzenia i sprzęt pomiarowy, stosowany w czasie obmiaru robót będą zaakceptowane przez Inżyniera/Kierownika projektu.</w:t>
      </w:r>
    </w:p>
    <w:p w14:paraId="0233ADD6"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Urządzenia i sprzęt pomiarowy zostaną dostarczone przez Wykonawcę. Jeżeli urządzenia te lub sprzęt wymagają badań atestujących to Wykonawca będzie posiadać ważne świadectwa legalizacji.</w:t>
      </w:r>
    </w:p>
    <w:p w14:paraId="13A0A2B7" w14:textId="77777777" w:rsidR="00184C31" w:rsidRPr="00021789" w:rsidRDefault="00184C31" w:rsidP="00081AA6">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Wszystkie urządzenia pomiarowe będą przez Wykonawcę utrzymywane w dobrym stanie, w całym okresie trwania robót.</w:t>
      </w:r>
    </w:p>
    <w:p w14:paraId="148F1443"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7.4. Wagi i zasady ważenia</w:t>
      </w:r>
    </w:p>
    <w:p w14:paraId="50090749"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Wykonawca dostarczy i zainstaluje urządzenia wagowe odpowiadające odnośnym wymaganiom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Będzie utrzymywać to wyposażenie zapewniając w sposób ciągły zachowanie dokładności wg norm zatwierdzonych przez Inżyniera/Kierownika projektu.</w:t>
      </w:r>
    </w:p>
    <w:p w14:paraId="5011B82B" w14:textId="77777777" w:rsidR="002B232E" w:rsidRPr="00021789" w:rsidRDefault="002B232E" w:rsidP="00A60D16">
      <w:pPr>
        <w:pStyle w:val="Pro-Inwest"/>
        <w:spacing w:line="240" w:lineRule="auto"/>
        <w:jc w:val="both"/>
        <w:rPr>
          <w:rFonts w:asciiTheme="minorHAnsi" w:hAnsiTheme="minorHAnsi"/>
          <w:b/>
          <w:sz w:val="16"/>
          <w:szCs w:val="16"/>
        </w:rPr>
      </w:pPr>
    </w:p>
    <w:p w14:paraId="05695729" w14:textId="7EBA6716"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7.5. Czas przeprowadzenia obmiaru</w:t>
      </w:r>
    </w:p>
    <w:p w14:paraId="354178FE"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Obmiary będą przeprowadzone przed częściowym lub ostatecznym odbiorem odcinków robót, a także w przypadku występowania dłuższej przerwy w robotach.</w:t>
      </w:r>
    </w:p>
    <w:p w14:paraId="2BCB6B7C"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sz w:val="16"/>
          <w:szCs w:val="16"/>
        </w:rPr>
        <w:t>Obmiar robót zanikających przeprowadza się w czasie ich wykonywania.</w:t>
      </w:r>
    </w:p>
    <w:p w14:paraId="35E74B44"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sz w:val="16"/>
          <w:szCs w:val="16"/>
        </w:rPr>
        <w:t>Obmiar robót podlegających zakryciu przeprowadza się przed ich zakryciem.</w:t>
      </w:r>
    </w:p>
    <w:p w14:paraId="053F33AB"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sz w:val="16"/>
          <w:szCs w:val="16"/>
        </w:rPr>
        <w:lastRenderedPageBreak/>
        <w:t>Roboty pomiarowe do obmiaru oraz nieodzowne obliczenia będą wykonane w sposób zrozumiały i jednoznaczny.</w:t>
      </w:r>
    </w:p>
    <w:p w14:paraId="64ADD0EE"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7B3521EF"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8. ODBIÓR ROBÓT</w:t>
      </w:r>
    </w:p>
    <w:p w14:paraId="4063C81C"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8.1. Rodzaje odbiorów robót</w:t>
      </w:r>
    </w:p>
    <w:p w14:paraId="4F009E6E"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W zależności od ustaleń odpowiednich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roboty podlegają następującym etapom odbioru:</w:t>
      </w:r>
    </w:p>
    <w:p w14:paraId="65CACE01" w14:textId="77777777" w:rsidR="00184C31" w:rsidRPr="00021789" w:rsidRDefault="00184C31" w:rsidP="009C55F8">
      <w:pPr>
        <w:pStyle w:val="Pro-Inwest"/>
        <w:numPr>
          <w:ilvl w:val="0"/>
          <w:numId w:val="12"/>
        </w:numPr>
        <w:spacing w:line="240" w:lineRule="auto"/>
        <w:jc w:val="both"/>
        <w:rPr>
          <w:rFonts w:asciiTheme="minorHAnsi" w:hAnsiTheme="minorHAnsi"/>
          <w:sz w:val="16"/>
          <w:szCs w:val="16"/>
        </w:rPr>
      </w:pPr>
      <w:r w:rsidRPr="00021789">
        <w:rPr>
          <w:rFonts w:asciiTheme="minorHAnsi" w:hAnsiTheme="minorHAnsi"/>
          <w:sz w:val="16"/>
          <w:szCs w:val="16"/>
        </w:rPr>
        <w:t>odbiorowi robót zanikających i ulegających zakryciu,</w:t>
      </w:r>
    </w:p>
    <w:p w14:paraId="304DF9B8" w14:textId="77777777" w:rsidR="00184C31" w:rsidRPr="00021789" w:rsidRDefault="00184C31" w:rsidP="009C55F8">
      <w:pPr>
        <w:pStyle w:val="Pro-Inwest"/>
        <w:numPr>
          <w:ilvl w:val="0"/>
          <w:numId w:val="12"/>
        </w:numPr>
        <w:spacing w:line="240" w:lineRule="auto"/>
        <w:jc w:val="both"/>
        <w:rPr>
          <w:rFonts w:asciiTheme="minorHAnsi" w:hAnsiTheme="minorHAnsi"/>
          <w:sz w:val="16"/>
          <w:szCs w:val="16"/>
        </w:rPr>
      </w:pPr>
      <w:r w:rsidRPr="00021789">
        <w:rPr>
          <w:rFonts w:asciiTheme="minorHAnsi" w:hAnsiTheme="minorHAnsi"/>
          <w:sz w:val="16"/>
          <w:szCs w:val="16"/>
        </w:rPr>
        <w:t>odbiorowi częściowemu,</w:t>
      </w:r>
    </w:p>
    <w:p w14:paraId="3A71DD43" w14:textId="77777777" w:rsidR="00184C31" w:rsidRPr="00021789" w:rsidRDefault="00184C31" w:rsidP="009C55F8">
      <w:pPr>
        <w:pStyle w:val="Pro-Inwest"/>
        <w:numPr>
          <w:ilvl w:val="0"/>
          <w:numId w:val="12"/>
        </w:numPr>
        <w:spacing w:line="240" w:lineRule="auto"/>
        <w:jc w:val="both"/>
        <w:rPr>
          <w:rFonts w:asciiTheme="minorHAnsi" w:hAnsiTheme="minorHAnsi"/>
          <w:sz w:val="16"/>
          <w:szCs w:val="16"/>
        </w:rPr>
      </w:pPr>
      <w:r w:rsidRPr="00021789">
        <w:rPr>
          <w:rFonts w:asciiTheme="minorHAnsi" w:hAnsiTheme="minorHAnsi"/>
          <w:sz w:val="16"/>
          <w:szCs w:val="16"/>
        </w:rPr>
        <w:t>odbiorowi ostatecznemu,</w:t>
      </w:r>
    </w:p>
    <w:p w14:paraId="3D422FE0" w14:textId="77777777" w:rsidR="00184C31" w:rsidRPr="00021789" w:rsidRDefault="00184C31" w:rsidP="009C55F8">
      <w:pPr>
        <w:pStyle w:val="Pro-Inwest"/>
        <w:numPr>
          <w:ilvl w:val="0"/>
          <w:numId w:val="12"/>
        </w:numPr>
        <w:spacing w:line="240" w:lineRule="auto"/>
        <w:jc w:val="both"/>
        <w:rPr>
          <w:rFonts w:asciiTheme="minorHAnsi" w:hAnsiTheme="minorHAnsi"/>
          <w:sz w:val="16"/>
          <w:szCs w:val="16"/>
        </w:rPr>
      </w:pPr>
      <w:r w:rsidRPr="00021789">
        <w:rPr>
          <w:rFonts w:asciiTheme="minorHAnsi" w:hAnsiTheme="minorHAnsi"/>
          <w:sz w:val="16"/>
          <w:szCs w:val="16"/>
        </w:rPr>
        <w:t>odbiorowi pogwarancyjnemu.</w:t>
      </w:r>
    </w:p>
    <w:p w14:paraId="2F338ABA"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8.2. Odbiór robót zanikających i ulegających zakryciu</w:t>
      </w:r>
    </w:p>
    <w:p w14:paraId="675DE00E"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Odbiór robót zanikających i ulegających zakryciu polega na finalnej ocenie ilości i jakości wykonywanych robót, które w dalszym procesie realizacji ulegną zakryciu.</w:t>
      </w:r>
    </w:p>
    <w:p w14:paraId="176954CD"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Odbiór robót zanikających i ulegających zakryciu będzie dokonany w czasie umożliwiającym wykonanie ewentualnych korekt</w:t>
      </w:r>
      <w:r w:rsidR="007F68D8" w:rsidRPr="00021789">
        <w:rPr>
          <w:rFonts w:asciiTheme="minorHAnsi" w:hAnsiTheme="minorHAnsi"/>
          <w:sz w:val="16"/>
          <w:szCs w:val="16"/>
        </w:rPr>
        <w:br/>
      </w:r>
      <w:r w:rsidRPr="00021789">
        <w:rPr>
          <w:rFonts w:asciiTheme="minorHAnsi" w:hAnsiTheme="minorHAnsi"/>
          <w:sz w:val="16"/>
          <w:szCs w:val="16"/>
        </w:rPr>
        <w:t>i poprawek bez hamowania ogólnego postępu robót.</w:t>
      </w:r>
    </w:p>
    <w:p w14:paraId="3EE6FC89"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Odbioru robót dokonuje Inżynier/Kierownik projektu.</w:t>
      </w:r>
    </w:p>
    <w:p w14:paraId="3E72F939"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5BCFD74C"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sz w:val="16"/>
          <w:szCs w:val="16"/>
        </w:rPr>
        <w:t xml:space="preserve">Jakość i ilość robót ulegających zakryciu ocenia Inżynier/Kierownik projektu na podstawie dokumentów zawierających komplet wyników badań laboratoryjnych i w oparciu o przeprowadzone pomiary, w konfrontacji z dokumentacją projektową,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i uprzednimi ustaleniami.</w:t>
      </w:r>
    </w:p>
    <w:p w14:paraId="4F836569"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8.3. Odbiór częściowy</w:t>
      </w:r>
    </w:p>
    <w:p w14:paraId="7ED64F13"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Odbiór częściowy polega na ocenie ilości i jakości wykonanych części robót. Odbioru częściowego robót dokonuje się wg zasad jak przy odbiorze ostatecznym robót. Odbioru robót dokonuje Inżynier/Kierownik projektu.</w:t>
      </w:r>
    </w:p>
    <w:p w14:paraId="7EA4753F" w14:textId="7777777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8.4. Odbiór ostateczny robót</w:t>
      </w:r>
    </w:p>
    <w:p w14:paraId="06330114"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b/>
          <w:sz w:val="16"/>
          <w:szCs w:val="16"/>
        </w:rPr>
        <w:t>8.4.1.</w:t>
      </w:r>
      <w:r w:rsidRPr="00021789">
        <w:rPr>
          <w:rFonts w:asciiTheme="minorHAnsi" w:hAnsiTheme="minorHAnsi"/>
          <w:sz w:val="16"/>
          <w:szCs w:val="16"/>
        </w:rPr>
        <w:t xml:space="preserve"> Zasady odbioru ostatecznego robót</w:t>
      </w:r>
    </w:p>
    <w:p w14:paraId="6DBD143C"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Odbiór ostateczny polega na finalnej ocenie rzeczywistego wykonania robót w odniesieniu do ich ilości, jakości i wartości.</w:t>
      </w:r>
    </w:p>
    <w:p w14:paraId="09BE35F0"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Całkowite zakończenie robót oraz gotowość do odbioru ostatecznego będzie stwierdzona przez Wykonawcę wpisem</w:t>
      </w:r>
      <w:r w:rsidR="007F68D8" w:rsidRPr="00021789">
        <w:rPr>
          <w:rFonts w:asciiTheme="minorHAnsi" w:hAnsiTheme="minorHAnsi"/>
          <w:sz w:val="16"/>
          <w:szCs w:val="16"/>
        </w:rPr>
        <w:br/>
      </w:r>
      <w:r w:rsidRPr="00021789">
        <w:rPr>
          <w:rFonts w:asciiTheme="minorHAnsi" w:hAnsiTheme="minorHAnsi"/>
          <w:sz w:val="16"/>
          <w:szCs w:val="16"/>
        </w:rPr>
        <w:t>do dziennika budowy z bezzwłocznym powiadomieniem na piśmie o tym fakcie Inżyniera/Kierownika projektu.</w:t>
      </w:r>
    </w:p>
    <w:p w14:paraId="612800A4"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Odbiór ostateczny robót nastąpi w terminie ustalonym w dokumentach umowy, licząc od dnia potwierdzenia</w:t>
      </w:r>
      <w:r w:rsidR="007F68D8" w:rsidRPr="00021789">
        <w:rPr>
          <w:rFonts w:asciiTheme="minorHAnsi" w:hAnsiTheme="minorHAnsi"/>
          <w:sz w:val="16"/>
          <w:szCs w:val="16"/>
        </w:rPr>
        <w:br/>
      </w:r>
      <w:r w:rsidRPr="00021789">
        <w:rPr>
          <w:rFonts w:asciiTheme="minorHAnsi" w:hAnsiTheme="minorHAnsi"/>
          <w:sz w:val="16"/>
          <w:szCs w:val="16"/>
        </w:rPr>
        <w:t>przez Inżyniera/Kierownika projektu zakończenia robót i przyjęcia dokumentów, o których mowa w punkcie 8.4.2.</w:t>
      </w:r>
    </w:p>
    <w:p w14:paraId="56AD8638"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Odbioru ostatecznego robót dokona komisja wyznaczona przez Zamawiającego w obecności Inżyniera/Kierownika projektu</w:t>
      </w:r>
      <w:r w:rsidR="007F68D8" w:rsidRPr="00021789">
        <w:rPr>
          <w:rFonts w:asciiTheme="minorHAnsi" w:hAnsiTheme="minorHAnsi"/>
          <w:sz w:val="16"/>
          <w:szCs w:val="16"/>
        </w:rPr>
        <w:br/>
      </w:r>
      <w:r w:rsidRPr="00021789">
        <w:rPr>
          <w:rFonts w:asciiTheme="minorHAnsi" w:hAnsiTheme="minorHAnsi"/>
          <w:sz w:val="16"/>
          <w:szCs w:val="16"/>
        </w:rPr>
        <w:t>i Wykonawcy. Komisja odbierająca roboty dokona ich oceny jakościowej na podstawie przedłożonych dokumentów, wyników badań</w:t>
      </w:r>
      <w:r w:rsidR="007F68D8" w:rsidRPr="00021789">
        <w:rPr>
          <w:rFonts w:asciiTheme="minorHAnsi" w:hAnsiTheme="minorHAnsi"/>
          <w:sz w:val="16"/>
          <w:szCs w:val="16"/>
        </w:rPr>
        <w:br/>
      </w:r>
      <w:r w:rsidRPr="00021789">
        <w:rPr>
          <w:rFonts w:asciiTheme="minorHAnsi" w:hAnsiTheme="minorHAnsi"/>
          <w:sz w:val="16"/>
          <w:szCs w:val="16"/>
        </w:rPr>
        <w:t xml:space="preserve">i pomiarów, ocenie wizualnej oraz zgodności wykonania robót z dokumentacją projektową i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w:t>
      </w:r>
    </w:p>
    <w:p w14:paraId="5A02E8BC"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 toku odbioru ostatecznego robót komisja zapozna się z realizacją ustaleń przyjętych w trakcie odbiorów robót zanikających</w:t>
      </w:r>
      <w:r w:rsidR="007F68D8" w:rsidRPr="00021789">
        <w:rPr>
          <w:rFonts w:asciiTheme="minorHAnsi" w:hAnsiTheme="minorHAnsi"/>
          <w:sz w:val="16"/>
          <w:szCs w:val="16"/>
        </w:rPr>
        <w:br/>
      </w:r>
      <w:r w:rsidRPr="00021789">
        <w:rPr>
          <w:rFonts w:asciiTheme="minorHAnsi" w:hAnsiTheme="minorHAnsi"/>
          <w:sz w:val="16"/>
          <w:szCs w:val="16"/>
        </w:rPr>
        <w:t>i ulegających zakryciu, zwłaszcza w zakresie wykonania robót uzupełniających i robót poprawkowych.</w:t>
      </w:r>
    </w:p>
    <w:p w14:paraId="3CA75EB2"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 przypadkach niewykonania wyznaczonych robót poprawkowych lub robót uzupełniających w warstwie ścieralnej lub robotach wykończeniowych, komisja przerwie swoje czynności i ustali nowy termin odbioru ostatecznego.</w:t>
      </w:r>
    </w:p>
    <w:p w14:paraId="7BE8A9CD"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W przypadku stwierdzenia przez komisję, że jakość wykonywanych robót w poszczególnych asortymentach nieznacznie odbiega od wymaganej dokumentacją projektową i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z uwzględnieniem tolerancji i nie ma większego wpływu na cechy eksploatacyjne obiektu i bezpieczeństwo ruchu, komisja dokona potrąceń, oceniając pomniejszoną wartość wykonywanych robót w stosunku do wymagań przyjętych w dokumentach umowy.</w:t>
      </w:r>
    </w:p>
    <w:p w14:paraId="27C72731"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b/>
          <w:sz w:val="16"/>
          <w:szCs w:val="16"/>
        </w:rPr>
        <w:t>8.4.2.</w:t>
      </w:r>
      <w:r w:rsidRPr="00021789">
        <w:rPr>
          <w:rFonts w:asciiTheme="minorHAnsi" w:hAnsiTheme="minorHAnsi"/>
          <w:sz w:val="16"/>
          <w:szCs w:val="16"/>
        </w:rPr>
        <w:t xml:space="preserve"> Dokumenty do odbioru ostatecznego</w:t>
      </w:r>
    </w:p>
    <w:p w14:paraId="1E37573F"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Podstawowym dokumentem do dokonania odbioru ostatecznego robót jest protokół odbioru ostatecznego robót sporządzony wg wzoru ustalonego przez Zamawiającego.</w:t>
      </w:r>
    </w:p>
    <w:p w14:paraId="4C1ADA90"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sz w:val="16"/>
          <w:szCs w:val="16"/>
        </w:rPr>
        <w:t>Do odbioru ostatecznego Wykonawca jest zobowiązany przygotować następujące dokumenty:</w:t>
      </w:r>
    </w:p>
    <w:p w14:paraId="3D3F9583" w14:textId="77777777" w:rsidR="00184C31" w:rsidRPr="00021789" w:rsidRDefault="00184C31" w:rsidP="009C55F8">
      <w:pPr>
        <w:pStyle w:val="Pro-Inwest"/>
        <w:numPr>
          <w:ilvl w:val="0"/>
          <w:numId w:val="13"/>
        </w:numPr>
        <w:spacing w:line="240" w:lineRule="auto"/>
        <w:jc w:val="both"/>
        <w:rPr>
          <w:rFonts w:asciiTheme="minorHAnsi" w:hAnsiTheme="minorHAnsi"/>
          <w:sz w:val="16"/>
          <w:szCs w:val="16"/>
        </w:rPr>
      </w:pPr>
      <w:r w:rsidRPr="00021789">
        <w:rPr>
          <w:rFonts w:asciiTheme="minorHAnsi" w:hAnsiTheme="minorHAnsi"/>
          <w:sz w:val="16"/>
          <w:szCs w:val="16"/>
        </w:rPr>
        <w:t>dokumentację projektową podstawową z naniesionymi zmianami oraz dodatkową, jeśli została sporządzona w trakcie realizacji umowy,</w:t>
      </w:r>
    </w:p>
    <w:p w14:paraId="4B579C34" w14:textId="77777777" w:rsidR="00184C31" w:rsidRPr="00021789" w:rsidRDefault="00184C31" w:rsidP="009C55F8">
      <w:pPr>
        <w:pStyle w:val="Pro-Inwest"/>
        <w:numPr>
          <w:ilvl w:val="0"/>
          <w:numId w:val="13"/>
        </w:numPr>
        <w:spacing w:line="240" w:lineRule="auto"/>
        <w:jc w:val="both"/>
        <w:rPr>
          <w:rFonts w:asciiTheme="minorHAnsi" w:hAnsiTheme="minorHAnsi"/>
          <w:sz w:val="16"/>
          <w:szCs w:val="16"/>
        </w:rPr>
      </w:pPr>
      <w:r w:rsidRPr="00021789">
        <w:rPr>
          <w:rFonts w:asciiTheme="minorHAnsi" w:hAnsiTheme="minorHAnsi"/>
          <w:sz w:val="16"/>
          <w:szCs w:val="16"/>
        </w:rPr>
        <w:t>szczegółowe specyfikacje techniczne (podstawowe z dokumentów umowy i ew. uzupełniające lub zamienne),</w:t>
      </w:r>
    </w:p>
    <w:p w14:paraId="7B105A04" w14:textId="77777777" w:rsidR="00184C31" w:rsidRPr="00021789" w:rsidRDefault="00184C31" w:rsidP="009C55F8">
      <w:pPr>
        <w:pStyle w:val="Pro-Inwest"/>
        <w:numPr>
          <w:ilvl w:val="0"/>
          <w:numId w:val="13"/>
        </w:numPr>
        <w:spacing w:line="240" w:lineRule="auto"/>
        <w:jc w:val="both"/>
        <w:rPr>
          <w:rFonts w:asciiTheme="minorHAnsi" w:hAnsiTheme="minorHAnsi"/>
          <w:sz w:val="16"/>
          <w:szCs w:val="16"/>
        </w:rPr>
      </w:pPr>
      <w:r w:rsidRPr="00021789">
        <w:rPr>
          <w:rFonts w:asciiTheme="minorHAnsi" w:hAnsiTheme="minorHAnsi"/>
          <w:sz w:val="16"/>
          <w:szCs w:val="16"/>
        </w:rPr>
        <w:t>recepty i ustalenia technologiczne,</w:t>
      </w:r>
    </w:p>
    <w:p w14:paraId="3D5A5792" w14:textId="77777777" w:rsidR="00184C31" w:rsidRPr="00021789" w:rsidRDefault="00184C31" w:rsidP="009C55F8">
      <w:pPr>
        <w:pStyle w:val="Pro-Inwest"/>
        <w:numPr>
          <w:ilvl w:val="0"/>
          <w:numId w:val="13"/>
        </w:numPr>
        <w:spacing w:line="240" w:lineRule="auto"/>
        <w:jc w:val="both"/>
        <w:rPr>
          <w:rFonts w:asciiTheme="minorHAnsi" w:hAnsiTheme="minorHAnsi"/>
          <w:sz w:val="16"/>
          <w:szCs w:val="16"/>
        </w:rPr>
      </w:pPr>
      <w:r w:rsidRPr="00021789">
        <w:rPr>
          <w:rFonts w:asciiTheme="minorHAnsi" w:hAnsiTheme="minorHAnsi"/>
          <w:sz w:val="16"/>
          <w:szCs w:val="16"/>
        </w:rPr>
        <w:t>dzienniki budowy i książki obmiarów (oryginały),</w:t>
      </w:r>
    </w:p>
    <w:p w14:paraId="4DDE494A" w14:textId="77777777" w:rsidR="00184C31" w:rsidRPr="00021789" w:rsidRDefault="00184C31" w:rsidP="009C55F8">
      <w:pPr>
        <w:pStyle w:val="Pro-Inwest"/>
        <w:numPr>
          <w:ilvl w:val="0"/>
          <w:numId w:val="13"/>
        </w:numPr>
        <w:spacing w:line="240" w:lineRule="auto"/>
        <w:jc w:val="both"/>
        <w:rPr>
          <w:rFonts w:asciiTheme="minorHAnsi" w:hAnsiTheme="minorHAnsi"/>
          <w:sz w:val="16"/>
          <w:szCs w:val="16"/>
        </w:rPr>
      </w:pPr>
      <w:r w:rsidRPr="00021789">
        <w:rPr>
          <w:rFonts w:asciiTheme="minorHAnsi" w:hAnsiTheme="minorHAnsi"/>
          <w:sz w:val="16"/>
          <w:szCs w:val="16"/>
        </w:rPr>
        <w:t xml:space="preserve">wyniki pomiarów kontrolnych oraz badań i oznaczeń laboratoryjnych, zgodne z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i ew. PZJ,</w:t>
      </w:r>
    </w:p>
    <w:p w14:paraId="63AE8023" w14:textId="77777777" w:rsidR="00184C31" w:rsidRPr="00021789" w:rsidRDefault="00184C31" w:rsidP="009C55F8">
      <w:pPr>
        <w:pStyle w:val="Pro-Inwest"/>
        <w:numPr>
          <w:ilvl w:val="0"/>
          <w:numId w:val="13"/>
        </w:numPr>
        <w:spacing w:line="240" w:lineRule="auto"/>
        <w:jc w:val="both"/>
        <w:rPr>
          <w:rFonts w:asciiTheme="minorHAnsi" w:hAnsiTheme="minorHAnsi"/>
          <w:sz w:val="16"/>
          <w:szCs w:val="16"/>
        </w:rPr>
      </w:pPr>
      <w:r w:rsidRPr="00021789">
        <w:rPr>
          <w:rFonts w:asciiTheme="minorHAnsi" w:hAnsiTheme="minorHAnsi"/>
          <w:sz w:val="16"/>
          <w:szCs w:val="16"/>
        </w:rPr>
        <w:t xml:space="preserve">deklaracje zgodności lub certyfikaty zgodności wbudowanych materiałów zgodnie z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i ew. PZJ,</w:t>
      </w:r>
    </w:p>
    <w:p w14:paraId="387699E7" w14:textId="77777777" w:rsidR="00184C31" w:rsidRPr="00021789" w:rsidRDefault="00184C31" w:rsidP="009C55F8">
      <w:pPr>
        <w:pStyle w:val="Pro-Inwest"/>
        <w:numPr>
          <w:ilvl w:val="0"/>
          <w:numId w:val="13"/>
        </w:numPr>
        <w:spacing w:line="240" w:lineRule="auto"/>
        <w:jc w:val="both"/>
        <w:rPr>
          <w:rFonts w:asciiTheme="minorHAnsi" w:hAnsiTheme="minorHAnsi"/>
          <w:sz w:val="16"/>
          <w:szCs w:val="16"/>
        </w:rPr>
      </w:pPr>
      <w:r w:rsidRPr="00021789">
        <w:rPr>
          <w:rFonts w:asciiTheme="minorHAnsi" w:hAnsiTheme="minorHAnsi"/>
          <w:sz w:val="16"/>
          <w:szCs w:val="16"/>
        </w:rPr>
        <w:t xml:space="preserve">opinię technologiczną sporządzoną na podstawie wszystkich wyników badań i pomiarów załączonych do dokumentów odbioru, wykonanych zgodnie z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i PZJ,</w:t>
      </w:r>
    </w:p>
    <w:p w14:paraId="38FB0EEE" w14:textId="77777777" w:rsidR="00184C31" w:rsidRPr="00021789" w:rsidRDefault="00184C31" w:rsidP="009C55F8">
      <w:pPr>
        <w:pStyle w:val="Pro-Inwest"/>
        <w:numPr>
          <w:ilvl w:val="0"/>
          <w:numId w:val="13"/>
        </w:numPr>
        <w:spacing w:line="240" w:lineRule="auto"/>
        <w:jc w:val="both"/>
        <w:rPr>
          <w:rFonts w:asciiTheme="minorHAnsi" w:hAnsiTheme="minorHAnsi"/>
          <w:sz w:val="16"/>
          <w:szCs w:val="16"/>
        </w:rPr>
      </w:pPr>
      <w:r w:rsidRPr="00021789">
        <w:rPr>
          <w:rFonts w:asciiTheme="minorHAnsi" w:hAnsiTheme="minorHAnsi"/>
          <w:sz w:val="16"/>
          <w:szCs w:val="16"/>
        </w:rPr>
        <w:t>rysunki (dokumentacje) na wykonanie robót towarzyszących (np. na przełożenie linii telefonicznej, energetycznej, gazowej, oświetlenia itp.) oraz protokoły odbioru i przekazania tych robót właścicielom urządzeń,</w:t>
      </w:r>
    </w:p>
    <w:p w14:paraId="12789C67" w14:textId="77777777" w:rsidR="00184C31" w:rsidRPr="00021789" w:rsidRDefault="00184C31" w:rsidP="009C55F8">
      <w:pPr>
        <w:pStyle w:val="Pro-Inwest"/>
        <w:numPr>
          <w:ilvl w:val="0"/>
          <w:numId w:val="13"/>
        </w:numPr>
        <w:spacing w:line="240" w:lineRule="auto"/>
        <w:jc w:val="both"/>
        <w:rPr>
          <w:rFonts w:asciiTheme="minorHAnsi" w:hAnsiTheme="minorHAnsi"/>
          <w:sz w:val="16"/>
          <w:szCs w:val="16"/>
        </w:rPr>
      </w:pPr>
      <w:r w:rsidRPr="00021789">
        <w:rPr>
          <w:rFonts w:asciiTheme="minorHAnsi" w:hAnsiTheme="minorHAnsi"/>
          <w:sz w:val="16"/>
          <w:szCs w:val="16"/>
        </w:rPr>
        <w:t>geodezyjną inwentaryzację powykonawczą robót i sieci uzbrojenia terenu,</w:t>
      </w:r>
    </w:p>
    <w:p w14:paraId="3814CA06" w14:textId="77777777" w:rsidR="00184C31" w:rsidRPr="00021789" w:rsidRDefault="00184C31" w:rsidP="009C55F8">
      <w:pPr>
        <w:pStyle w:val="Pro-Inwest"/>
        <w:numPr>
          <w:ilvl w:val="0"/>
          <w:numId w:val="13"/>
        </w:numPr>
        <w:spacing w:line="240" w:lineRule="auto"/>
        <w:jc w:val="both"/>
        <w:rPr>
          <w:rFonts w:asciiTheme="minorHAnsi" w:hAnsiTheme="minorHAnsi"/>
          <w:sz w:val="16"/>
          <w:szCs w:val="16"/>
        </w:rPr>
      </w:pPr>
      <w:r w:rsidRPr="00021789">
        <w:rPr>
          <w:rFonts w:asciiTheme="minorHAnsi" w:hAnsiTheme="minorHAnsi"/>
          <w:sz w:val="16"/>
          <w:szCs w:val="16"/>
        </w:rPr>
        <w:t>kopię mapy zasadniczej powstałej w wyniku geodezyjnej inwentaryzacji powykonawczej.</w:t>
      </w:r>
    </w:p>
    <w:p w14:paraId="10972146" w14:textId="77777777" w:rsidR="00184C31" w:rsidRPr="00021789" w:rsidRDefault="00184C31" w:rsidP="007F68D8">
      <w:pPr>
        <w:pStyle w:val="Pro-Inwest"/>
        <w:spacing w:line="240" w:lineRule="auto"/>
        <w:ind w:firstLine="360"/>
        <w:jc w:val="both"/>
        <w:rPr>
          <w:rFonts w:asciiTheme="minorHAnsi" w:hAnsiTheme="minorHAnsi"/>
          <w:sz w:val="16"/>
          <w:szCs w:val="16"/>
        </w:rPr>
      </w:pPr>
      <w:r w:rsidRPr="00021789">
        <w:rPr>
          <w:rFonts w:asciiTheme="minorHAnsi" w:hAnsiTheme="minorHAnsi"/>
          <w:sz w:val="16"/>
          <w:szCs w:val="16"/>
        </w:rPr>
        <w:t>W przypadku, gdy wg komisji, roboty pod względem przygotowania dokumentacyjnego nie będą gotowe do odbioru ostatecznego, komisja w porozumieniu z Wykonawcą wyznaczy ponowny termin odbioru ostatecznego robót.</w:t>
      </w:r>
    </w:p>
    <w:p w14:paraId="10E42CC9" w14:textId="77777777" w:rsidR="00184C31" w:rsidRPr="00021789" w:rsidRDefault="00184C31" w:rsidP="007F68D8">
      <w:pPr>
        <w:pStyle w:val="Pro-Inwest"/>
        <w:spacing w:line="240" w:lineRule="auto"/>
        <w:ind w:firstLine="360"/>
        <w:jc w:val="both"/>
        <w:rPr>
          <w:rFonts w:asciiTheme="minorHAnsi" w:hAnsiTheme="minorHAnsi"/>
          <w:sz w:val="16"/>
          <w:szCs w:val="16"/>
        </w:rPr>
      </w:pPr>
      <w:r w:rsidRPr="00021789">
        <w:rPr>
          <w:rFonts w:asciiTheme="minorHAnsi" w:hAnsiTheme="minorHAnsi"/>
          <w:sz w:val="16"/>
          <w:szCs w:val="16"/>
        </w:rPr>
        <w:t>Wszystkie zarządzone przez komisję roboty poprawkowe lub uzupełniające będą zestawione wg wzoru ustalonego przez Zamawiającego.</w:t>
      </w:r>
    </w:p>
    <w:p w14:paraId="1C96D0E5" w14:textId="77777777" w:rsidR="00184C31" w:rsidRPr="00021789" w:rsidRDefault="00184C31" w:rsidP="00A60D16">
      <w:pPr>
        <w:pStyle w:val="Pro-Inwest"/>
        <w:spacing w:line="240" w:lineRule="auto"/>
        <w:jc w:val="both"/>
        <w:rPr>
          <w:rFonts w:asciiTheme="minorHAnsi" w:hAnsiTheme="minorHAnsi"/>
          <w:sz w:val="16"/>
          <w:szCs w:val="16"/>
        </w:rPr>
      </w:pPr>
      <w:r w:rsidRPr="00021789">
        <w:rPr>
          <w:rFonts w:asciiTheme="minorHAnsi" w:hAnsiTheme="minorHAnsi"/>
          <w:sz w:val="16"/>
          <w:szCs w:val="16"/>
        </w:rPr>
        <w:t>Termin wykonania robót poprawkowych i robót uzupełniających wyznaczy komisja.</w:t>
      </w:r>
    </w:p>
    <w:p w14:paraId="09DEADB7" w14:textId="77777777" w:rsidR="002B232E" w:rsidRPr="00021789" w:rsidRDefault="002B232E" w:rsidP="00A60D16">
      <w:pPr>
        <w:pStyle w:val="Pro-Inwest"/>
        <w:spacing w:line="240" w:lineRule="auto"/>
        <w:jc w:val="both"/>
        <w:rPr>
          <w:rFonts w:asciiTheme="minorHAnsi" w:hAnsiTheme="minorHAnsi"/>
          <w:b/>
          <w:sz w:val="16"/>
          <w:szCs w:val="16"/>
        </w:rPr>
      </w:pPr>
    </w:p>
    <w:p w14:paraId="60D8ABAB" w14:textId="52D32927" w:rsidR="00184C31" w:rsidRPr="00021789" w:rsidRDefault="00184C31" w:rsidP="00A60D16">
      <w:pPr>
        <w:pStyle w:val="Pro-Inwest"/>
        <w:spacing w:line="240" w:lineRule="auto"/>
        <w:jc w:val="both"/>
        <w:rPr>
          <w:rFonts w:asciiTheme="minorHAnsi" w:hAnsiTheme="minorHAnsi"/>
          <w:b/>
          <w:sz w:val="16"/>
          <w:szCs w:val="16"/>
        </w:rPr>
      </w:pPr>
      <w:r w:rsidRPr="00021789">
        <w:rPr>
          <w:rFonts w:asciiTheme="minorHAnsi" w:hAnsiTheme="minorHAnsi"/>
          <w:b/>
          <w:sz w:val="16"/>
          <w:szCs w:val="16"/>
        </w:rPr>
        <w:t>8.5. Odbiór pogwarancyjny</w:t>
      </w:r>
    </w:p>
    <w:p w14:paraId="733EAE16"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Odbiór pogwarancyjny polega na ocenie wykonanych robót związanych z usunięciem wad stwierdzonych przy odbiorze ostatecznym i zaistniałych w okresie gwarancyjnym.</w:t>
      </w:r>
    </w:p>
    <w:p w14:paraId="46A98292"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Odbiór pogwarancyjny będzie dokonany na podstawie oceny wizualnej obiektu z uwzględnieniem zasad opisanych w punkcie 8.4 „Odbiór ostateczny robót”.</w:t>
      </w:r>
    </w:p>
    <w:p w14:paraId="3AB8C196" w14:textId="77777777" w:rsidR="00184C31" w:rsidRPr="00021789" w:rsidRDefault="00184C31" w:rsidP="00BD693A">
      <w:pPr>
        <w:pStyle w:val="Pro-Inwest"/>
        <w:spacing w:line="240" w:lineRule="auto"/>
        <w:jc w:val="both"/>
        <w:rPr>
          <w:rFonts w:asciiTheme="minorHAnsi" w:hAnsiTheme="minorHAnsi"/>
          <w:b/>
          <w:sz w:val="16"/>
          <w:szCs w:val="16"/>
        </w:rPr>
      </w:pPr>
      <w:r w:rsidRPr="00021789">
        <w:rPr>
          <w:rFonts w:asciiTheme="minorHAnsi" w:hAnsiTheme="minorHAnsi"/>
          <w:b/>
          <w:sz w:val="16"/>
          <w:szCs w:val="16"/>
        </w:rPr>
        <w:lastRenderedPageBreak/>
        <w:t>9. PODSTAWA PŁATNOŚCI</w:t>
      </w:r>
    </w:p>
    <w:p w14:paraId="5CE767BD" w14:textId="77777777" w:rsidR="00184C31" w:rsidRPr="00021789" w:rsidRDefault="00184C31" w:rsidP="00BD693A">
      <w:pPr>
        <w:pStyle w:val="Pro-Inwest"/>
        <w:spacing w:line="240" w:lineRule="auto"/>
        <w:jc w:val="both"/>
        <w:rPr>
          <w:rFonts w:asciiTheme="minorHAnsi" w:hAnsiTheme="minorHAnsi"/>
          <w:b/>
          <w:sz w:val="16"/>
          <w:szCs w:val="16"/>
        </w:rPr>
      </w:pPr>
      <w:r w:rsidRPr="00021789">
        <w:rPr>
          <w:rFonts w:asciiTheme="minorHAnsi" w:hAnsiTheme="minorHAnsi"/>
          <w:b/>
          <w:sz w:val="16"/>
          <w:szCs w:val="16"/>
        </w:rPr>
        <w:t>9.1. Ustalenia ogólne</w:t>
      </w:r>
    </w:p>
    <w:p w14:paraId="3483AC1B"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Podstawą płatności jest cena jednostkowa skalkulowana przez Wykonawcę za jednostkę obmiarową ustaloną dla danej pozycji kosztorysu.</w:t>
      </w:r>
    </w:p>
    <w:p w14:paraId="3A6E579C"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Dla pozycji kosztorysowych wycenionych ryczałtowo podstawą płatności jest wartość (kwota) podana przez Wykonawcę w danej pozycji kosztorysu.</w:t>
      </w:r>
    </w:p>
    <w:p w14:paraId="3623C04F"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Cena jednostkowa lub kwota ryczałtowa pozycji kosztorysowej będzie uwzględniać wszystkie czynności, wymagania i badania składające się na jej wykonanie, określone dla tej roboty w </w:t>
      </w:r>
      <w:proofErr w:type="spellStart"/>
      <w:r w:rsidR="00914C3F" w:rsidRPr="00021789">
        <w:rPr>
          <w:rFonts w:asciiTheme="minorHAnsi" w:hAnsiTheme="minorHAnsi"/>
          <w:sz w:val="16"/>
          <w:szCs w:val="16"/>
        </w:rPr>
        <w:t>STWiORB</w:t>
      </w:r>
      <w:proofErr w:type="spellEnd"/>
      <w:r w:rsidRPr="00021789">
        <w:rPr>
          <w:rFonts w:asciiTheme="minorHAnsi" w:hAnsiTheme="minorHAnsi"/>
          <w:sz w:val="16"/>
          <w:szCs w:val="16"/>
        </w:rPr>
        <w:t xml:space="preserve"> i w dokumentacji projektowej.</w:t>
      </w:r>
    </w:p>
    <w:p w14:paraId="149558DD" w14:textId="77777777" w:rsidR="00184C31" w:rsidRPr="00021789" w:rsidRDefault="00184C31" w:rsidP="00BD693A">
      <w:pPr>
        <w:pStyle w:val="Pro-Inwest"/>
        <w:spacing w:line="240" w:lineRule="auto"/>
        <w:jc w:val="both"/>
        <w:rPr>
          <w:rFonts w:asciiTheme="minorHAnsi" w:hAnsiTheme="minorHAnsi"/>
          <w:sz w:val="16"/>
          <w:szCs w:val="16"/>
        </w:rPr>
      </w:pPr>
      <w:r w:rsidRPr="00021789">
        <w:rPr>
          <w:rFonts w:asciiTheme="minorHAnsi" w:hAnsiTheme="minorHAnsi"/>
          <w:sz w:val="16"/>
          <w:szCs w:val="16"/>
        </w:rPr>
        <w:t>Ceny jednostkowe lub kwoty ryczałtowe robót będą obejmować:</w:t>
      </w:r>
    </w:p>
    <w:p w14:paraId="407ED8AC" w14:textId="77777777" w:rsidR="00184C31" w:rsidRPr="00021789" w:rsidRDefault="00184C31" w:rsidP="009C55F8">
      <w:pPr>
        <w:pStyle w:val="Pro-Inwest"/>
        <w:numPr>
          <w:ilvl w:val="0"/>
          <w:numId w:val="14"/>
        </w:numPr>
        <w:spacing w:line="240" w:lineRule="auto"/>
        <w:jc w:val="both"/>
        <w:rPr>
          <w:rFonts w:asciiTheme="minorHAnsi" w:hAnsiTheme="minorHAnsi"/>
          <w:sz w:val="16"/>
          <w:szCs w:val="16"/>
        </w:rPr>
      </w:pPr>
      <w:r w:rsidRPr="00021789">
        <w:rPr>
          <w:rFonts w:asciiTheme="minorHAnsi" w:hAnsiTheme="minorHAnsi"/>
          <w:sz w:val="16"/>
          <w:szCs w:val="16"/>
        </w:rPr>
        <w:t>robociznę bezpośrednią wraz z towarzyszącymi kosztami,</w:t>
      </w:r>
    </w:p>
    <w:p w14:paraId="5D4B15C6" w14:textId="77777777" w:rsidR="00184C31" w:rsidRPr="00021789" w:rsidRDefault="00184C31" w:rsidP="009C55F8">
      <w:pPr>
        <w:pStyle w:val="Pro-Inwest"/>
        <w:numPr>
          <w:ilvl w:val="0"/>
          <w:numId w:val="14"/>
        </w:numPr>
        <w:spacing w:line="240" w:lineRule="auto"/>
        <w:jc w:val="both"/>
        <w:rPr>
          <w:rFonts w:asciiTheme="minorHAnsi" w:hAnsiTheme="minorHAnsi"/>
          <w:sz w:val="16"/>
          <w:szCs w:val="16"/>
        </w:rPr>
      </w:pPr>
      <w:r w:rsidRPr="00021789">
        <w:rPr>
          <w:rFonts w:asciiTheme="minorHAnsi" w:hAnsiTheme="minorHAnsi"/>
          <w:sz w:val="16"/>
          <w:szCs w:val="16"/>
        </w:rPr>
        <w:t>wartość zużytych materiałów wraz z kosztami zakupu, magazynowania, ewentualnych ubytków i transportu na teren budowy,</w:t>
      </w:r>
    </w:p>
    <w:p w14:paraId="248F3E39" w14:textId="77777777" w:rsidR="00184C31" w:rsidRPr="00021789" w:rsidRDefault="00184C31" w:rsidP="009C55F8">
      <w:pPr>
        <w:pStyle w:val="Pro-Inwest"/>
        <w:numPr>
          <w:ilvl w:val="0"/>
          <w:numId w:val="14"/>
        </w:numPr>
        <w:spacing w:line="240" w:lineRule="auto"/>
        <w:jc w:val="both"/>
        <w:rPr>
          <w:rFonts w:asciiTheme="minorHAnsi" w:hAnsiTheme="minorHAnsi"/>
          <w:sz w:val="16"/>
          <w:szCs w:val="16"/>
        </w:rPr>
      </w:pPr>
      <w:r w:rsidRPr="00021789">
        <w:rPr>
          <w:rFonts w:asciiTheme="minorHAnsi" w:hAnsiTheme="minorHAnsi"/>
          <w:sz w:val="16"/>
          <w:szCs w:val="16"/>
        </w:rPr>
        <w:t>wartość pracy sprzętu wraz z towarzyszącymi kosztami,</w:t>
      </w:r>
    </w:p>
    <w:p w14:paraId="2652DCC3" w14:textId="77777777" w:rsidR="00184C31" w:rsidRPr="00021789" w:rsidRDefault="00184C31" w:rsidP="009C55F8">
      <w:pPr>
        <w:pStyle w:val="Pro-Inwest"/>
        <w:numPr>
          <w:ilvl w:val="0"/>
          <w:numId w:val="14"/>
        </w:numPr>
        <w:spacing w:line="240" w:lineRule="auto"/>
        <w:jc w:val="both"/>
        <w:rPr>
          <w:rFonts w:asciiTheme="minorHAnsi" w:hAnsiTheme="minorHAnsi"/>
          <w:sz w:val="16"/>
          <w:szCs w:val="16"/>
        </w:rPr>
      </w:pPr>
      <w:r w:rsidRPr="00021789">
        <w:rPr>
          <w:rFonts w:asciiTheme="minorHAnsi" w:hAnsiTheme="minorHAnsi"/>
          <w:sz w:val="16"/>
          <w:szCs w:val="16"/>
        </w:rPr>
        <w:t>koszty pośrednie, zysk kalkulacyjny i ryzyko,</w:t>
      </w:r>
    </w:p>
    <w:p w14:paraId="53EBE654" w14:textId="77777777" w:rsidR="00184C31" w:rsidRPr="00021789" w:rsidRDefault="00184C31" w:rsidP="009C55F8">
      <w:pPr>
        <w:pStyle w:val="Pro-Inwest"/>
        <w:numPr>
          <w:ilvl w:val="0"/>
          <w:numId w:val="14"/>
        </w:numPr>
        <w:spacing w:line="240" w:lineRule="auto"/>
        <w:jc w:val="both"/>
        <w:rPr>
          <w:rFonts w:asciiTheme="minorHAnsi" w:hAnsiTheme="minorHAnsi"/>
          <w:sz w:val="16"/>
          <w:szCs w:val="16"/>
        </w:rPr>
      </w:pPr>
      <w:r w:rsidRPr="00021789">
        <w:rPr>
          <w:rFonts w:asciiTheme="minorHAnsi" w:hAnsiTheme="minorHAnsi"/>
          <w:sz w:val="16"/>
          <w:szCs w:val="16"/>
        </w:rPr>
        <w:t>podatki obliczone zgodnie z obowiązującymi przepisami.</w:t>
      </w:r>
    </w:p>
    <w:p w14:paraId="1BEFF4EB" w14:textId="77777777" w:rsidR="00184C31" w:rsidRPr="00021789" w:rsidRDefault="00184C31" w:rsidP="00BD693A">
      <w:pPr>
        <w:pStyle w:val="Pro-Inwest"/>
        <w:spacing w:line="240" w:lineRule="auto"/>
        <w:jc w:val="both"/>
        <w:rPr>
          <w:rFonts w:asciiTheme="minorHAnsi" w:hAnsiTheme="minorHAnsi"/>
          <w:sz w:val="16"/>
          <w:szCs w:val="16"/>
        </w:rPr>
      </w:pPr>
      <w:r w:rsidRPr="00021789">
        <w:rPr>
          <w:rFonts w:asciiTheme="minorHAnsi" w:hAnsiTheme="minorHAnsi"/>
          <w:sz w:val="16"/>
          <w:szCs w:val="16"/>
        </w:rPr>
        <w:t>Do cen jednostkowych nie należy wliczać podatku VAT.</w:t>
      </w:r>
    </w:p>
    <w:p w14:paraId="5F938B06" w14:textId="77777777" w:rsidR="00DB7776" w:rsidRPr="00021789" w:rsidRDefault="00DB7776" w:rsidP="00BD693A">
      <w:pPr>
        <w:pStyle w:val="Pro-Inwest"/>
        <w:spacing w:line="240" w:lineRule="auto"/>
        <w:jc w:val="both"/>
        <w:rPr>
          <w:rFonts w:asciiTheme="minorHAnsi" w:hAnsiTheme="minorHAnsi"/>
          <w:b/>
          <w:sz w:val="16"/>
          <w:szCs w:val="16"/>
        </w:rPr>
      </w:pPr>
    </w:p>
    <w:p w14:paraId="3A49531A" w14:textId="77777777" w:rsidR="00184C31" w:rsidRPr="00021789" w:rsidRDefault="00184C31" w:rsidP="00BD693A">
      <w:pPr>
        <w:pStyle w:val="Pro-Inwest"/>
        <w:spacing w:line="240" w:lineRule="auto"/>
        <w:jc w:val="both"/>
        <w:rPr>
          <w:rFonts w:asciiTheme="minorHAnsi" w:hAnsiTheme="minorHAnsi"/>
          <w:b/>
          <w:sz w:val="16"/>
          <w:szCs w:val="16"/>
        </w:rPr>
      </w:pPr>
      <w:r w:rsidRPr="00021789">
        <w:rPr>
          <w:rFonts w:asciiTheme="minorHAnsi" w:hAnsiTheme="minorHAnsi"/>
          <w:b/>
          <w:sz w:val="16"/>
          <w:szCs w:val="16"/>
        </w:rPr>
        <w:t>9.2. Warun</w:t>
      </w:r>
      <w:r w:rsidR="00E60C89" w:rsidRPr="00021789">
        <w:rPr>
          <w:rFonts w:asciiTheme="minorHAnsi" w:hAnsiTheme="minorHAnsi"/>
          <w:b/>
          <w:sz w:val="16"/>
          <w:szCs w:val="16"/>
        </w:rPr>
        <w:t>ki umowy i wymagania ogólne D.</w:t>
      </w:r>
      <w:r w:rsidRPr="00021789">
        <w:rPr>
          <w:rFonts w:asciiTheme="minorHAnsi" w:hAnsiTheme="minorHAnsi"/>
          <w:b/>
          <w:sz w:val="16"/>
          <w:szCs w:val="16"/>
        </w:rPr>
        <w:t>00.00.00</w:t>
      </w:r>
    </w:p>
    <w:p w14:paraId="2A05D1D5" w14:textId="77777777" w:rsidR="00184C31" w:rsidRPr="00021789" w:rsidRDefault="00184C31"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Koszt dostosowania się do wymagań warunków umowy i w</w:t>
      </w:r>
      <w:r w:rsidR="00E60C89" w:rsidRPr="00021789">
        <w:rPr>
          <w:rFonts w:asciiTheme="minorHAnsi" w:hAnsiTheme="minorHAnsi"/>
          <w:sz w:val="16"/>
          <w:szCs w:val="16"/>
        </w:rPr>
        <w:t>ymagań ogólnych zawartych w D.</w:t>
      </w:r>
      <w:r w:rsidRPr="00021789">
        <w:rPr>
          <w:rFonts w:asciiTheme="minorHAnsi" w:hAnsiTheme="minorHAnsi"/>
          <w:sz w:val="16"/>
          <w:szCs w:val="16"/>
        </w:rPr>
        <w:t>00.00.00 obejmuje wszystkie warunki określone w ww. dokumentach, a nie wyszczególnione w kosztorysie.</w:t>
      </w:r>
    </w:p>
    <w:p w14:paraId="3C4F937F" w14:textId="77777777" w:rsidR="00184C31" w:rsidRPr="00021789" w:rsidRDefault="00184C31" w:rsidP="00BD693A">
      <w:pPr>
        <w:pStyle w:val="Pro-Inwest"/>
        <w:spacing w:line="240" w:lineRule="auto"/>
        <w:jc w:val="both"/>
        <w:rPr>
          <w:rFonts w:asciiTheme="minorHAnsi" w:hAnsiTheme="minorHAnsi"/>
          <w:b/>
          <w:sz w:val="16"/>
          <w:szCs w:val="16"/>
        </w:rPr>
      </w:pPr>
      <w:r w:rsidRPr="00021789">
        <w:rPr>
          <w:rFonts w:asciiTheme="minorHAnsi" w:hAnsiTheme="minorHAnsi"/>
          <w:b/>
          <w:sz w:val="16"/>
          <w:szCs w:val="16"/>
        </w:rPr>
        <w:t>9.3. Objazdy, przejazdy i organizacja ruchu</w:t>
      </w:r>
    </w:p>
    <w:p w14:paraId="53DA550A" w14:textId="77777777" w:rsidR="00184C31" w:rsidRPr="00021789" w:rsidRDefault="00184C31" w:rsidP="00BD693A">
      <w:pPr>
        <w:pStyle w:val="Pro-Inwest"/>
        <w:spacing w:line="240" w:lineRule="auto"/>
        <w:jc w:val="both"/>
        <w:rPr>
          <w:rFonts w:asciiTheme="minorHAnsi" w:hAnsiTheme="minorHAnsi"/>
          <w:sz w:val="16"/>
          <w:szCs w:val="16"/>
        </w:rPr>
      </w:pPr>
      <w:r w:rsidRPr="00021789">
        <w:rPr>
          <w:rFonts w:asciiTheme="minorHAnsi" w:hAnsiTheme="minorHAnsi"/>
          <w:sz w:val="16"/>
          <w:szCs w:val="16"/>
        </w:rPr>
        <w:t>Koszt wybudowania objazdów/przejazdów i organizacji ruchu obejmuje:</w:t>
      </w:r>
    </w:p>
    <w:p w14:paraId="79FD3BAB" w14:textId="77777777" w:rsidR="00184C31" w:rsidRPr="00021789" w:rsidRDefault="00184C31" w:rsidP="009C55F8">
      <w:pPr>
        <w:pStyle w:val="Pro-Inwest"/>
        <w:numPr>
          <w:ilvl w:val="0"/>
          <w:numId w:val="15"/>
        </w:numPr>
        <w:spacing w:line="240" w:lineRule="auto"/>
        <w:jc w:val="both"/>
        <w:rPr>
          <w:rFonts w:asciiTheme="minorHAnsi" w:hAnsiTheme="minorHAnsi"/>
          <w:sz w:val="16"/>
          <w:szCs w:val="16"/>
        </w:rPr>
      </w:pPr>
      <w:r w:rsidRPr="00021789">
        <w:rPr>
          <w:rFonts w:asciiTheme="minorHAnsi" w:hAnsiTheme="minorHAnsi"/>
          <w:sz w:val="16"/>
          <w:szCs w:val="16"/>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14:paraId="02E70390" w14:textId="77777777" w:rsidR="00184C31" w:rsidRPr="00021789" w:rsidRDefault="00184C31" w:rsidP="009C55F8">
      <w:pPr>
        <w:pStyle w:val="Pro-Inwest"/>
        <w:numPr>
          <w:ilvl w:val="0"/>
          <w:numId w:val="15"/>
        </w:numPr>
        <w:spacing w:line="240" w:lineRule="auto"/>
        <w:jc w:val="both"/>
        <w:rPr>
          <w:rFonts w:asciiTheme="minorHAnsi" w:hAnsiTheme="minorHAnsi"/>
          <w:sz w:val="16"/>
          <w:szCs w:val="16"/>
        </w:rPr>
      </w:pPr>
      <w:r w:rsidRPr="00021789">
        <w:rPr>
          <w:rFonts w:asciiTheme="minorHAnsi" w:hAnsiTheme="minorHAnsi"/>
          <w:sz w:val="16"/>
          <w:szCs w:val="16"/>
        </w:rPr>
        <w:t>ustawienie tymczasowego oznakowania i oświetlenia zgodnie z wymaganiami bezpieczeństwa ruchu,</w:t>
      </w:r>
    </w:p>
    <w:p w14:paraId="73806946" w14:textId="77777777" w:rsidR="00184C31" w:rsidRPr="00021789" w:rsidRDefault="00184C31" w:rsidP="009C55F8">
      <w:pPr>
        <w:pStyle w:val="Pro-Inwest"/>
        <w:numPr>
          <w:ilvl w:val="0"/>
          <w:numId w:val="15"/>
        </w:numPr>
        <w:spacing w:line="240" w:lineRule="auto"/>
        <w:jc w:val="both"/>
        <w:rPr>
          <w:rFonts w:asciiTheme="minorHAnsi" w:hAnsiTheme="minorHAnsi"/>
          <w:sz w:val="16"/>
          <w:szCs w:val="16"/>
        </w:rPr>
      </w:pPr>
      <w:r w:rsidRPr="00021789">
        <w:rPr>
          <w:rFonts w:asciiTheme="minorHAnsi" w:hAnsiTheme="minorHAnsi"/>
          <w:sz w:val="16"/>
          <w:szCs w:val="16"/>
        </w:rPr>
        <w:t>opłaty/dzierżawy terenu,</w:t>
      </w:r>
    </w:p>
    <w:p w14:paraId="2053AAF4" w14:textId="77777777" w:rsidR="00184C31" w:rsidRPr="00021789" w:rsidRDefault="00184C31" w:rsidP="009C55F8">
      <w:pPr>
        <w:pStyle w:val="Pro-Inwest"/>
        <w:numPr>
          <w:ilvl w:val="0"/>
          <w:numId w:val="15"/>
        </w:numPr>
        <w:spacing w:line="240" w:lineRule="auto"/>
        <w:jc w:val="both"/>
        <w:rPr>
          <w:rFonts w:asciiTheme="minorHAnsi" w:hAnsiTheme="minorHAnsi"/>
          <w:sz w:val="16"/>
          <w:szCs w:val="16"/>
        </w:rPr>
      </w:pPr>
      <w:r w:rsidRPr="00021789">
        <w:rPr>
          <w:rFonts w:asciiTheme="minorHAnsi" w:hAnsiTheme="minorHAnsi"/>
          <w:sz w:val="16"/>
          <w:szCs w:val="16"/>
        </w:rPr>
        <w:t>przygotowanie terenu,</w:t>
      </w:r>
    </w:p>
    <w:p w14:paraId="44D21B3F" w14:textId="77777777" w:rsidR="00184C31" w:rsidRPr="00021789" w:rsidRDefault="00184C31" w:rsidP="009C55F8">
      <w:pPr>
        <w:pStyle w:val="Pro-Inwest"/>
        <w:numPr>
          <w:ilvl w:val="0"/>
          <w:numId w:val="15"/>
        </w:numPr>
        <w:spacing w:line="240" w:lineRule="auto"/>
        <w:jc w:val="both"/>
        <w:rPr>
          <w:rFonts w:asciiTheme="minorHAnsi" w:hAnsiTheme="minorHAnsi"/>
          <w:sz w:val="16"/>
          <w:szCs w:val="16"/>
        </w:rPr>
      </w:pPr>
      <w:r w:rsidRPr="00021789">
        <w:rPr>
          <w:rFonts w:asciiTheme="minorHAnsi" w:hAnsiTheme="minorHAnsi"/>
          <w:sz w:val="16"/>
          <w:szCs w:val="16"/>
        </w:rPr>
        <w:t xml:space="preserve">konstrukcję tymczasowej nawierzchni, ramp, chodników, krawężników, barier, </w:t>
      </w:r>
      <w:proofErr w:type="spellStart"/>
      <w:r w:rsidRPr="00021789">
        <w:rPr>
          <w:rFonts w:asciiTheme="minorHAnsi" w:hAnsiTheme="minorHAnsi"/>
          <w:sz w:val="16"/>
          <w:szCs w:val="16"/>
        </w:rPr>
        <w:t>oznakowań</w:t>
      </w:r>
      <w:proofErr w:type="spellEnd"/>
      <w:r w:rsidRPr="00021789">
        <w:rPr>
          <w:rFonts w:asciiTheme="minorHAnsi" w:hAnsiTheme="minorHAnsi"/>
          <w:sz w:val="16"/>
          <w:szCs w:val="16"/>
        </w:rPr>
        <w:t xml:space="preserve"> i drenażu,</w:t>
      </w:r>
    </w:p>
    <w:p w14:paraId="4B6C1A1A" w14:textId="77777777" w:rsidR="00184C31" w:rsidRPr="00021789" w:rsidRDefault="00184C31" w:rsidP="009C55F8">
      <w:pPr>
        <w:pStyle w:val="Pro-Inwest"/>
        <w:numPr>
          <w:ilvl w:val="0"/>
          <w:numId w:val="15"/>
        </w:numPr>
        <w:spacing w:line="240" w:lineRule="auto"/>
        <w:jc w:val="both"/>
        <w:rPr>
          <w:rFonts w:asciiTheme="minorHAnsi" w:hAnsiTheme="minorHAnsi"/>
          <w:sz w:val="16"/>
          <w:szCs w:val="16"/>
        </w:rPr>
      </w:pPr>
      <w:r w:rsidRPr="00021789">
        <w:rPr>
          <w:rFonts w:asciiTheme="minorHAnsi" w:hAnsiTheme="minorHAnsi"/>
          <w:sz w:val="16"/>
          <w:szCs w:val="16"/>
        </w:rPr>
        <w:t>tymczasową przebudowę urządzeń obcych.</w:t>
      </w:r>
    </w:p>
    <w:p w14:paraId="0D322599" w14:textId="77777777" w:rsidR="00184C31" w:rsidRPr="00021789" w:rsidRDefault="00184C31" w:rsidP="009C55F8">
      <w:pPr>
        <w:pStyle w:val="Pro-Inwest"/>
        <w:numPr>
          <w:ilvl w:val="0"/>
          <w:numId w:val="15"/>
        </w:numPr>
        <w:spacing w:line="240" w:lineRule="auto"/>
        <w:jc w:val="both"/>
        <w:rPr>
          <w:rFonts w:asciiTheme="minorHAnsi" w:hAnsiTheme="minorHAnsi"/>
          <w:sz w:val="16"/>
          <w:szCs w:val="16"/>
        </w:rPr>
      </w:pPr>
      <w:r w:rsidRPr="00021789">
        <w:rPr>
          <w:rFonts w:asciiTheme="minorHAnsi" w:hAnsiTheme="minorHAnsi"/>
          <w:sz w:val="16"/>
          <w:szCs w:val="16"/>
        </w:rPr>
        <w:t>Koszt utrzymania objazdów/przejazdów i organizacji ruchu obejmuje:</w:t>
      </w:r>
    </w:p>
    <w:p w14:paraId="57D9235D" w14:textId="77777777" w:rsidR="00184C31" w:rsidRPr="00021789" w:rsidRDefault="00184C31" w:rsidP="009C55F8">
      <w:pPr>
        <w:pStyle w:val="Pro-Inwest"/>
        <w:numPr>
          <w:ilvl w:val="0"/>
          <w:numId w:val="15"/>
        </w:numPr>
        <w:spacing w:line="240" w:lineRule="auto"/>
        <w:jc w:val="both"/>
        <w:rPr>
          <w:rFonts w:asciiTheme="minorHAnsi" w:hAnsiTheme="minorHAnsi"/>
          <w:sz w:val="16"/>
          <w:szCs w:val="16"/>
        </w:rPr>
      </w:pPr>
      <w:r w:rsidRPr="00021789">
        <w:rPr>
          <w:rFonts w:asciiTheme="minorHAnsi" w:hAnsiTheme="minorHAnsi"/>
          <w:sz w:val="16"/>
          <w:szCs w:val="16"/>
        </w:rPr>
        <w:t xml:space="preserve">oczyszczanie, przestawienie, przykrycie i usunięcie tymczasowych </w:t>
      </w:r>
      <w:proofErr w:type="spellStart"/>
      <w:r w:rsidRPr="00021789">
        <w:rPr>
          <w:rFonts w:asciiTheme="minorHAnsi" w:hAnsiTheme="minorHAnsi"/>
          <w:sz w:val="16"/>
          <w:szCs w:val="16"/>
        </w:rPr>
        <w:t>oznakowań</w:t>
      </w:r>
      <w:proofErr w:type="spellEnd"/>
      <w:r w:rsidRPr="00021789">
        <w:rPr>
          <w:rFonts w:asciiTheme="minorHAnsi" w:hAnsiTheme="minorHAnsi"/>
          <w:sz w:val="16"/>
          <w:szCs w:val="16"/>
        </w:rPr>
        <w:t xml:space="preserve"> pionowych, poziomych, barier i świateł,</w:t>
      </w:r>
    </w:p>
    <w:p w14:paraId="402E9D3F" w14:textId="77777777" w:rsidR="00184C31" w:rsidRPr="00021789" w:rsidRDefault="00184C31" w:rsidP="009C55F8">
      <w:pPr>
        <w:pStyle w:val="Pro-Inwest"/>
        <w:numPr>
          <w:ilvl w:val="0"/>
          <w:numId w:val="15"/>
        </w:numPr>
        <w:spacing w:line="240" w:lineRule="auto"/>
        <w:jc w:val="both"/>
        <w:rPr>
          <w:rFonts w:asciiTheme="minorHAnsi" w:hAnsiTheme="minorHAnsi"/>
          <w:sz w:val="16"/>
          <w:szCs w:val="16"/>
        </w:rPr>
      </w:pPr>
      <w:r w:rsidRPr="00021789">
        <w:rPr>
          <w:rFonts w:asciiTheme="minorHAnsi" w:hAnsiTheme="minorHAnsi"/>
          <w:sz w:val="16"/>
          <w:szCs w:val="16"/>
        </w:rPr>
        <w:t>utrzymanie płynności ruchu publicznego.</w:t>
      </w:r>
    </w:p>
    <w:p w14:paraId="57535A65" w14:textId="77777777" w:rsidR="00184C31" w:rsidRPr="00021789" w:rsidRDefault="00184C31" w:rsidP="00BD693A">
      <w:pPr>
        <w:pStyle w:val="Pro-Inwest"/>
        <w:spacing w:line="240" w:lineRule="auto"/>
        <w:jc w:val="both"/>
        <w:rPr>
          <w:rFonts w:asciiTheme="minorHAnsi" w:hAnsiTheme="minorHAnsi"/>
          <w:sz w:val="16"/>
          <w:szCs w:val="16"/>
        </w:rPr>
      </w:pPr>
      <w:r w:rsidRPr="00021789">
        <w:rPr>
          <w:rFonts w:asciiTheme="minorHAnsi" w:hAnsiTheme="minorHAnsi"/>
          <w:sz w:val="16"/>
          <w:szCs w:val="16"/>
        </w:rPr>
        <w:t>Koszt likwidacji objazdów/przejazdów i organizacji ruchu obejmuje:</w:t>
      </w:r>
    </w:p>
    <w:p w14:paraId="33BFACBC" w14:textId="77777777" w:rsidR="00184C31" w:rsidRPr="00021789" w:rsidRDefault="00184C31" w:rsidP="009C55F8">
      <w:pPr>
        <w:pStyle w:val="Pro-Inwest"/>
        <w:numPr>
          <w:ilvl w:val="0"/>
          <w:numId w:val="16"/>
        </w:numPr>
        <w:spacing w:line="240" w:lineRule="auto"/>
        <w:jc w:val="both"/>
        <w:rPr>
          <w:rFonts w:asciiTheme="minorHAnsi" w:hAnsiTheme="minorHAnsi"/>
          <w:sz w:val="16"/>
          <w:szCs w:val="16"/>
        </w:rPr>
      </w:pPr>
      <w:r w:rsidRPr="00021789">
        <w:rPr>
          <w:rFonts w:asciiTheme="minorHAnsi" w:hAnsiTheme="minorHAnsi"/>
          <w:sz w:val="16"/>
          <w:szCs w:val="16"/>
        </w:rPr>
        <w:t>usunięcie wbudowanych materiałów i oznakowania,</w:t>
      </w:r>
    </w:p>
    <w:p w14:paraId="5B526C2E" w14:textId="77777777" w:rsidR="00184C31" w:rsidRPr="00021789" w:rsidRDefault="00184C31" w:rsidP="009C55F8">
      <w:pPr>
        <w:pStyle w:val="Pro-Inwest"/>
        <w:numPr>
          <w:ilvl w:val="0"/>
          <w:numId w:val="16"/>
        </w:numPr>
        <w:spacing w:line="240" w:lineRule="auto"/>
        <w:jc w:val="both"/>
        <w:rPr>
          <w:rFonts w:asciiTheme="minorHAnsi" w:hAnsiTheme="minorHAnsi"/>
          <w:sz w:val="16"/>
          <w:szCs w:val="16"/>
        </w:rPr>
      </w:pPr>
      <w:r w:rsidRPr="00021789">
        <w:rPr>
          <w:rFonts w:asciiTheme="minorHAnsi" w:hAnsiTheme="minorHAnsi"/>
          <w:sz w:val="16"/>
          <w:szCs w:val="16"/>
        </w:rPr>
        <w:t>doprowadzenie terenu do stanu pierwotnego.</w:t>
      </w:r>
    </w:p>
    <w:p w14:paraId="040D1048" w14:textId="77777777" w:rsidR="00184C31" w:rsidRPr="00021789" w:rsidRDefault="00184C31" w:rsidP="00BD693A">
      <w:pPr>
        <w:pStyle w:val="Pro-Inwest"/>
        <w:spacing w:line="240" w:lineRule="auto"/>
        <w:jc w:val="both"/>
        <w:rPr>
          <w:rFonts w:asciiTheme="minorHAnsi" w:hAnsiTheme="minorHAnsi"/>
          <w:sz w:val="16"/>
          <w:szCs w:val="16"/>
        </w:rPr>
      </w:pPr>
    </w:p>
    <w:p w14:paraId="04365F65" w14:textId="77777777" w:rsidR="00184C31" w:rsidRPr="00021789" w:rsidRDefault="00184C31" w:rsidP="00BD693A">
      <w:pPr>
        <w:pStyle w:val="Pro-Inwest"/>
        <w:spacing w:line="240" w:lineRule="auto"/>
        <w:jc w:val="both"/>
        <w:rPr>
          <w:rFonts w:asciiTheme="minorHAnsi" w:hAnsiTheme="minorHAnsi"/>
          <w:b/>
          <w:sz w:val="16"/>
          <w:szCs w:val="16"/>
        </w:rPr>
      </w:pPr>
      <w:r w:rsidRPr="00021789">
        <w:rPr>
          <w:rFonts w:asciiTheme="minorHAnsi" w:hAnsiTheme="minorHAnsi"/>
          <w:b/>
          <w:sz w:val="16"/>
          <w:szCs w:val="16"/>
        </w:rPr>
        <w:t xml:space="preserve">10. </w:t>
      </w:r>
      <w:r w:rsidR="00852D92" w:rsidRPr="00021789">
        <w:rPr>
          <w:rFonts w:asciiTheme="minorHAnsi" w:hAnsiTheme="minorHAnsi"/>
          <w:b/>
          <w:sz w:val="16"/>
          <w:szCs w:val="16"/>
        </w:rPr>
        <w:t>PRZEPISY ZWIĄZANE</w:t>
      </w:r>
    </w:p>
    <w:p w14:paraId="34F652E0" w14:textId="77777777" w:rsidR="00184C31" w:rsidRPr="00021789" w:rsidRDefault="00184C31" w:rsidP="00BD693A">
      <w:pPr>
        <w:pStyle w:val="Pro-Inwest"/>
        <w:spacing w:line="240" w:lineRule="auto"/>
        <w:jc w:val="both"/>
        <w:rPr>
          <w:rFonts w:asciiTheme="minorHAnsi" w:hAnsiTheme="minorHAnsi"/>
          <w:sz w:val="16"/>
          <w:szCs w:val="16"/>
        </w:rPr>
      </w:pPr>
      <w:r w:rsidRPr="00021789">
        <w:rPr>
          <w:rFonts w:asciiTheme="minorHAnsi" w:hAnsiTheme="minorHAnsi"/>
          <w:sz w:val="16"/>
          <w:szCs w:val="16"/>
        </w:rPr>
        <w:t>Ustawa z dnia 7 lipca 1994 r. - Prawo budowlane (Dz. U. Nr 89, poz. 414 z później</w:t>
      </w:r>
      <w:r w:rsidRPr="00021789">
        <w:rPr>
          <w:rFonts w:asciiTheme="minorHAnsi" w:hAnsiTheme="minorHAnsi"/>
          <w:sz w:val="16"/>
          <w:szCs w:val="16"/>
        </w:rPr>
        <w:softHyphen/>
        <w:t>szymi zmianami).</w:t>
      </w:r>
    </w:p>
    <w:p w14:paraId="68D62327" w14:textId="77777777" w:rsidR="00184C31" w:rsidRPr="00021789" w:rsidRDefault="00184C31" w:rsidP="00BD693A">
      <w:pPr>
        <w:pStyle w:val="Pro-Inwest"/>
        <w:spacing w:line="240" w:lineRule="auto"/>
        <w:jc w:val="both"/>
        <w:rPr>
          <w:rFonts w:asciiTheme="minorHAnsi" w:hAnsiTheme="minorHAnsi"/>
          <w:sz w:val="16"/>
          <w:szCs w:val="16"/>
        </w:rPr>
      </w:pPr>
      <w:r w:rsidRPr="00021789">
        <w:rPr>
          <w:rFonts w:asciiTheme="minorHAnsi" w:hAnsiTheme="minorHAnsi"/>
          <w:sz w:val="16"/>
          <w:szCs w:val="16"/>
        </w:rPr>
        <w:t>Zarządzenie Ministra Infrastruktury z dnia 19 listopada 2001 r. w sprawie dziennika budowy, montażu i rozbiórki oraz tablicy informacyjnej (Dz. U. Nr 138, poz. 1555).</w:t>
      </w:r>
    </w:p>
    <w:p w14:paraId="7A0F8FD1" w14:textId="77777777" w:rsidR="00184C31" w:rsidRPr="00021789" w:rsidRDefault="00184C31" w:rsidP="00BD693A">
      <w:pPr>
        <w:pStyle w:val="Pro-Inwest"/>
        <w:spacing w:line="240" w:lineRule="auto"/>
        <w:jc w:val="both"/>
        <w:rPr>
          <w:rFonts w:asciiTheme="minorHAnsi" w:hAnsiTheme="minorHAnsi"/>
          <w:sz w:val="16"/>
          <w:szCs w:val="16"/>
        </w:rPr>
      </w:pPr>
      <w:r w:rsidRPr="00021789">
        <w:rPr>
          <w:rFonts w:asciiTheme="minorHAnsi" w:hAnsiTheme="minorHAnsi"/>
          <w:sz w:val="16"/>
          <w:szCs w:val="16"/>
        </w:rPr>
        <w:t>Ustawa z dnia 21 marca 1985 r. o drogach publicznych (Dz. U. Nr 14, poz. 60 z późniejszymi zmianami).</w:t>
      </w:r>
    </w:p>
    <w:p w14:paraId="420D4068" w14:textId="77777777" w:rsidR="00184C31" w:rsidRPr="00021789" w:rsidRDefault="00184C31" w:rsidP="00BD693A">
      <w:pPr>
        <w:pStyle w:val="Pro-Inwest"/>
        <w:spacing w:line="240" w:lineRule="auto"/>
        <w:jc w:val="both"/>
        <w:rPr>
          <w:rFonts w:asciiTheme="minorHAnsi" w:hAnsiTheme="minorHAnsi"/>
          <w:sz w:val="16"/>
          <w:szCs w:val="16"/>
        </w:rPr>
      </w:pPr>
    </w:p>
    <w:p w14:paraId="116CBCD0" w14:textId="77777777" w:rsidR="00686DA2" w:rsidRPr="00021789" w:rsidRDefault="00686DA2" w:rsidP="00BD693A">
      <w:pPr>
        <w:pStyle w:val="Pro-Inwest"/>
        <w:spacing w:line="240" w:lineRule="auto"/>
        <w:jc w:val="both"/>
        <w:rPr>
          <w:rFonts w:asciiTheme="minorHAnsi" w:hAnsiTheme="minorHAnsi"/>
          <w:sz w:val="16"/>
          <w:szCs w:val="16"/>
        </w:rPr>
      </w:pPr>
    </w:p>
    <w:p w14:paraId="139421AD" w14:textId="77777777" w:rsidR="00686DA2" w:rsidRPr="00021789" w:rsidRDefault="00686DA2" w:rsidP="00BD693A">
      <w:pPr>
        <w:pStyle w:val="Pro-Inwest"/>
        <w:spacing w:line="240" w:lineRule="auto"/>
        <w:jc w:val="both"/>
        <w:rPr>
          <w:rFonts w:asciiTheme="minorHAnsi" w:hAnsiTheme="minorHAnsi"/>
          <w:sz w:val="16"/>
          <w:szCs w:val="16"/>
        </w:rPr>
      </w:pPr>
    </w:p>
    <w:p w14:paraId="34DCA079" w14:textId="77777777" w:rsidR="00A279A2" w:rsidRPr="00021789" w:rsidRDefault="00A279A2" w:rsidP="00BD693A">
      <w:pPr>
        <w:pStyle w:val="Pro-Inwest"/>
        <w:spacing w:line="240" w:lineRule="auto"/>
        <w:jc w:val="both"/>
        <w:rPr>
          <w:rFonts w:asciiTheme="minorHAnsi" w:hAnsiTheme="minorHAnsi"/>
          <w:sz w:val="16"/>
          <w:szCs w:val="16"/>
        </w:rPr>
      </w:pPr>
    </w:p>
    <w:p w14:paraId="0F050565" w14:textId="77777777" w:rsidR="00A279A2" w:rsidRPr="00021789" w:rsidRDefault="00A279A2" w:rsidP="00BD693A">
      <w:pPr>
        <w:pStyle w:val="Pro-Inwest"/>
        <w:spacing w:line="240" w:lineRule="auto"/>
        <w:jc w:val="both"/>
        <w:rPr>
          <w:rFonts w:asciiTheme="minorHAnsi" w:hAnsiTheme="minorHAnsi"/>
          <w:sz w:val="16"/>
          <w:szCs w:val="16"/>
        </w:rPr>
      </w:pPr>
    </w:p>
    <w:p w14:paraId="4EACB973" w14:textId="77777777" w:rsidR="00A279A2" w:rsidRPr="00021789" w:rsidRDefault="00A279A2" w:rsidP="00BD693A">
      <w:pPr>
        <w:pStyle w:val="Pro-Inwest"/>
        <w:spacing w:line="240" w:lineRule="auto"/>
        <w:jc w:val="both"/>
        <w:rPr>
          <w:rFonts w:asciiTheme="minorHAnsi" w:hAnsiTheme="minorHAnsi"/>
          <w:sz w:val="16"/>
          <w:szCs w:val="16"/>
        </w:rPr>
      </w:pPr>
    </w:p>
    <w:p w14:paraId="53534EBD" w14:textId="77777777" w:rsidR="00A279A2" w:rsidRPr="00021789" w:rsidRDefault="00A279A2" w:rsidP="00BD693A">
      <w:pPr>
        <w:pStyle w:val="Pro-Inwest"/>
        <w:spacing w:line="240" w:lineRule="auto"/>
        <w:jc w:val="both"/>
        <w:rPr>
          <w:rFonts w:asciiTheme="minorHAnsi" w:hAnsiTheme="minorHAnsi"/>
          <w:sz w:val="16"/>
          <w:szCs w:val="16"/>
        </w:rPr>
      </w:pPr>
    </w:p>
    <w:p w14:paraId="3E0079F5" w14:textId="77777777" w:rsidR="00A279A2" w:rsidRPr="00021789" w:rsidRDefault="00A279A2" w:rsidP="00BD693A">
      <w:pPr>
        <w:pStyle w:val="Pro-Inwest"/>
        <w:spacing w:line="240" w:lineRule="auto"/>
        <w:jc w:val="both"/>
        <w:rPr>
          <w:rFonts w:asciiTheme="minorHAnsi" w:hAnsiTheme="minorHAnsi"/>
          <w:sz w:val="16"/>
          <w:szCs w:val="16"/>
        </w:rPr>
      </w:pPr>
    </w:p>
    <w:p w14:paraId="335388EB" w14:textId="77777777" w:rsidR="00A279A2" w:rsidRPr="00021789" w:rsidRDefault="00A279A2" w:rsidP="00BD693A">
      <w:pPr>
        <w:pStyle w:val="Pro-Inwest"/>
        <w:spacing w:line="240" w:lineRule="auto"/>
        <w:jc w:val="both"/>
        <w:rPr>
          <w:rFonts w:asciiTheme="minorHAnsi" w:hAnsiTheme="minorHAnsi"/>
          <w:sz w:val="16"/>
          <w:szCs w:val="16"/>
        </w:rPr>
      </w:pPr>
    </w:p>
    <w:p w14:paraId="26B85BD7" w14:textId="77777777" w:rsidR="00A279A2" w:rsidRPr="00021789" w:rsidRDefault="00A279A2" w:rsidP="00BD693A">
      <w:pPr>
        <w:pStyle w:val="Pro-Inwest"/>
        <w:spacing w:line="240" w:lineRule="auto"/>
        <w:jc w:val="both"/>
        <w:rPr>
          <w:rFonts w:asciiTheme="minorHAnsi" w:hAnsiTheme="minorHAnsi"/>
          <w:sz w:val="16"/>
          <w:szCs w:val="16"/>
        </w:rPr>
      </w:pPr>
    </w:p>
    <w:p w14:paraId="09A810FD" w14:textId="77777777" w:rsidR="00A279A2" w:rsidRPr="00021789" w:rsidRDefault="00A279A2" w:rsidP="00BD693A">
      <w:pPr>
        <w:pStyle w:val="Pro-Inwest"/>
        <w:spacing w:line="240" w:lineRule="auto"/>
        <w:jc w:val="both"/>
        <w:rPr>
          <w:rFonts w:asciiTheme="minorHAnsi" w:hAnsiTheme="minorHAnsi"/>
          <w:sz w:val="16"/>
          <w:szCs w:val="16"/>
        </w:rPr>
      </w:pPr>
    </w:p>
    <w:p w14:paraId="0FA07123" w14:textId="77777777" w:rsidR="00A279A2" w:rsidRPr="00021789" w:rsidRDefault="00A279A2" w:rsidP="00BD693A">
      <w:pPr>
        <w:pStyle w:val="Pro-Inwest"/>
        <w:spacing w:line="240" w:lineRule="auto"/>
        <w:jc w:val="both"/>
        <w:rPr>
          <w:rFonts w:asciiTheme="minorHAnsi" w:hAnsiTheme="minorHAnsi"/>
          <w:sz w:val="16"/>
          <w:szCs w:val="16"/>
        </w:rPr>
      </w:pPr>
    </w:p>
    <w:p w14:paraId="1920FA2C" w14:textId="77777777" w:rsidR="00A279A2" w:rsidRPr="00021789" w:rsidRDefault="00A279A2" w:rsidP="00BD693A">
      <w:pPr>
        <w:pStyle w:val="Pro-Inwest"/>
        <w:spacing w:line="240" w:lineRule="auto"/>
        <w:jc w:val="both"/>
        <w:rPr>
          <w:rFonts w:asciiTheme="minorHAnsi" w:hAnsiTheme="minorHAnsi"/>
          <w:sz w:val="16"/>
          <w:szCs w:val="16"/>
        </w:rPr>
      </w:pPr>
    </w:p>
    <w:p w14:paraId="212A3524" w14:textId="77777777" w:rsidR="00A279A2" w:rsidRPr="00021789" w:rsidRDefault="00A279A2" w:rsidP="00BD693A">
      <w:pPr>
        <w:pStyle w:val="Pro-Inwest"/>
        <w:spacing w:line="240" w:lineRule="auto"/>
        <w:jc w:val="both"/>
        <w:rPr>
          <w:rFonts w:asciiTheme="minorHAnsi" w:hAnsiTheme="minorHAnsi"/>
          <w:sz w:val="16"/>
          <w:szCs w:val="16"/>
        </w:rPr>
      </w:pPr>
    </w:p>
    <w:p w14:paraId="6B4560AB" w14:textId="77777777" w:rsidR="00A279A2" w:rsidRPr="00021789" w:rsidRDefault="00A279A2" w:rsidP="00BD693A">
      <w:pPr>
        <w:pStyle w:val="Pro-Inwest"/>
        <w:spacing w:line="240" w:lineRule="auto"/>
        <w:jc w:val="both"/>
        <w:rPr>
          <w:rFonts w:asciiTheme="minorHAnsi" w:hAnsiTheme="minorHAnsi"/>
          <w:sz w:val="16"/>
          <w:szCs w:val="16"/>
        </w:rPr>
      </w:pPr>
    </w:p>
    <w:p w14:paraId="5F9A81F8" w14:textId="77777777" w:rsidR="00A279A2" w:rsidRPr="00021789" w:rsidRDefault="00A279A2" w:rsidP="00BD693A">
      <w:pPr>
        <w:pStyle w:val="Pro-Inwest"/>
        <w:spacing w:line="240" w:lineRule="auto"/>
        <w:jc w:val="both"/>
        <w:rPr>
          <w:rFonts w:asciiTheme="minorHAnsi" w:hAnsiTheme="minorHAnsi"/>
          <w:sz w:val="16"/>
          <w:szCs w:val="16"/>
        </w:rPr>
      </w:pPr>
    </w:p>
    <w:p w14:paraId="4578FF0E" w14:textId="77777777" w:rsidR="009C4406" w:rsidRPr="00021789" w:rsidRDefault="009C4406" w:rsidP="00BD693A">
      <w:pPr>
        <w:pStyle w:val="Pro-Inwest"/>
        <w:spacing w:line="240" w:lineRule="auto"/>
        <w:jc w:val="both"/>
        <w:rPr>
          <w:rFonts w:asciiTheme="minorHAnsi" w:hAnsiTheme="minorHAnsi"/>
          <w:sz w:val="16"/>
          <w:szCs w:val="16"/>
        </w:rPr>
      </w:pPr>
    </w:p>
    <w:p w14:paraId="4DDD8E82" w14:textId="77777777" w:rsidR="009C4406" w:rsidRPr="00021789" w:rsidRDefault="009C4406" w:rsidP="00BD693A">
      <w:pPr>
        <w:pStyle w:val="Pro-Inwest"/>
        <w:spacing w:line="240" w:lineRule="auto"/>
        <w:jc w:val="both"/>
        <w:rPr>
          <w:rFonts w:asciiTheme="minorHAnsi" w:hAnsiTheme="minorHAnsi"/>
          <w:sz w:val="16"/>
          <w:szCs w:val="16"/>
        </w:rPr>
      </w:pPr>
    </w:p>
    <w:p w14:paraId="47B0E393" w14:textId="77777777" w:rsidR="009C4406" w:rsidRPr="00021789" w:rsidRDefault="009C4406" w:rsidP="00BD693A">
      <w:pPr>
        <w:pStyle w:val="Pro-Inwest"/>
        <w:spacing w:line="240" w:lineRule="auto"/>
        <w:jc w:val="both"/>
        <w:rPr>
          <w:rFonts w:asciiTheme="minorHAnsi" w:hAnsiTheme="minorHAnsi"/>
          <w:sz w:val="16"/>
          <w:szCs w:val="16"/>
        </w:rPr>
      </w:pPr>
    </w:p>
    <w:p w14:paraId="681749C7" w14:textId="77777777" w:rsidR="009C4406" w:rsidRPr="00021789" w:rsidRDefault="009C4406" w:rsidP="00BD693A">
      <w:pPr>
        <w:pStyle w:val="Pro-Inwest"/>
        <w:spacing w:line="240" w:lineRule="auto"/>
        <w:jc w:val="both"/>
        <w:rPr>
          <w:rFonts w:asciiTheme="minorHAnsi" w:hAnsiTheme="minorHAnsi"/>
          <w:sz w:val="16"/>
          <w:szCs w:val="16"/>
        </w:rPr>
      </w:pPr>
    </w:p>
    <w:p w14:paraId="60764D27" w14:textId="77777777" w:rsidR="009C4406" w:rsidRPr="00021789" w:rsidRDefault="009C4406" w:rsidP="00BD693A">
      <w:pPr>
        <w:pStyle w:val="Pro-Inwest"/>
        <w:spacing w:line="240" w:lineRule="auto"/>
        <w:jc w:val="both"/>
        <w:rPr>
          <w:rFonts w:asciiTheme="minorHAnsi" w:hAnsiTheme="minorHAnsi"/>
          <w:sz w:val="16"/>
          <w:szCs w:val="16"/>
        </w:rPr>
      </w:pPr>
    </w:p>
    <w:p w14:paraId="357AC6A8" w14:textId="77777777" w:rsidR="009C4406" w:rsidRPr="00021789" w:rsidRDefault="009C4406" w:rsidP="00BD693A">
      <w:pPr>
        <w:pStyle w:val="Pro-Inwest"/>
        <w:spacing w:line="240" w:lineRule="auto"/>
        <w:jc w:val="both"/>
        <w:rPr>
          <w:rFonts w:asciiTheme="minorHAnsi" w:hAnsiTheme="minorHAnsi"/>
          <w:sz w:val="16"/>
          <w:szCs w:val="16"/>
        </w:rPr>
      </w:pPr>
    </w:p>
    <w:p w14:paraId="2EE487E2" w14:textId="77777777" w:rsidR="003A7D17" w:rsidRPr="00021789" w:rsidRDefault="003A7D17" w:rsidP="00BD693A">
      <w:pPr>
        <w:pStyle w:val="Pro-Inwest"/>
        <w:spacing w:line="240" w:lineRule="auto"/>
        <w:jc w:val="both"/>
        <w:rPr>
          <w:rFonts w:asciiTheme="minorHAnsi" w:hAnsiTheme="minorHAnsi"/>
          <w:sz w:val="16"/>
          <w:szCs w:val="16"/>
        </w:rPr>
      </w:pPr>
    </w:p>
    <w:p w14:paraId="29250EFD" w14:textId="77777777" w:rsidR="003A7D17" w:rsidRPr="00021789" w:rsidRDefault="003A7D17" w:rsidP="00BD693A">
      <w:pPr>
        <w:pStyle w:val="Pro-Inwest"/>
        <w:spacing w:line="240" w:lineRule="auto"/>
        <w:jc w:val="both"/>
        <w:rPr>
          <w:rFonts w:asciiTheme="minorHAnsi" w:hAnsiTheme="minorHAnsi"/>
          <w:sz w:val="16"/>
          <w:szCs w:val="16"/>
        </w:rPr>
      </w:pPr>
    </w:p>
    <w:p w14:paraId="1D45D71A" w14:textId="77777777" w:rsidR="003A7D17" w:rsidRPr="00021789" w:rsidRDefault="003A7D17" w:rsidP="00BD693A">
      <w:pPr>
        <w:pStyle w:val="Pro-Inwest"/>
        <w:spacing w:line="240" w:lineRule="auto"/>
        <w:jc w:val="both"/>
        <w:rPr>
          <w:rFonts w:asciiTheme="minorHAnsi" w:hAnsiTheme="minorHAnsi"/>
          <w:sz w:val="16"/>
          <w:szCs w:val="16"/>
        </w:rPr>
      </w:pPr>
    </w:p>
    <w:p w14:paraId="5DDC1970" w14:textId="77777777" w:rsidR="003A7D17" w:rsidRPr="00021789" w:rsidRDefault="003A7D17" w:rsidP="00BD693A">
      <w:pPr>
        <w:pStyle w:val="Pro-Inwest"/>
        <w:spacing w:line="240" w:lineRule="auto"/>
        <w:jc w:val="both"/>
        <w:rPr>
          <w:rFonts w:asciiTheme="minorHAnsi" w:hAnsiTheme="minorHAnsi"/>
          <w:sz w:val="16"/>
          <w:szCs w:val="16"/>
        </w:rPr>
      </w:pPr>
    </w:p>
    <w:p w14:paraId="31C84CA1" w14:textId="77777777" w:rsidR="003A7D17" w:rsidRPr="00021789" w:rsidRDefault="003A7D17" w:rsidP="00BD693A">
      <w:pPr>
        <w:pStyle w:val="Pro-Inwest"/>
        <w:spacing w:line="240" w:lineRule="auto"/>
        <w:jc w:val="both"/>
        <w:rPr>
          <w:rFonts w:asciiTheme="minorHAnsi" w:hAnsiTheme="minorHAnsi"/>
          <w:sz w:val="16"/>
          <w:szCs w:val="16"/>
        </w:rPr>
      </w:pPr>
    </w:p>
    <w:p w14:paraId="1F6B6189" w14:textId="77777777" w:rsidR="003A7D17" w:rsidRPr="00021789" w:rsidRDefault="003A7D17" w:rsidP="00BD693A">
      <w:pPr>
        <w:pStyle w:val="Pro-Inwest"/>
        <w:spacing w:line="240" w:lineRule="auto"/>
        <w:jc w:val="both"/>
        <w:rPr>
          <w:rFonts w:asciiTheme="minorHAnsi" w:hAnsiTheme="minorHAnsi"/>
          <w:color w:val="FF0000"/>
          <w:sz w:val="16"/>
          <w:szCs w:val="16"/>
        </w:rPr>
      </w:pPr>
    </w:p>
    <w:p w14:paraId="4223EDAD" w14:textId="77777777" w:rsidR="009C4406" w:rsidRPr="00021789" w:rsidRDefault="009C4406" w:rsidP="00BD693A">
      <w:pPr>
        <w:pStyle w:val="Pro-Inwest"/>
        <w:spacing w:line="240" w:lineRule="auto"/>
        <w:jc w:val="both"/>
        <w:rPr>
          <w:rFonts w:asciiTheme="minorHAnsi" w:hAnsiTheme="minorHAnsi"/>
          <w:color w:val="FF0000"/>
          <w:sz w:val="16"/>
          <w:szCs w:val="16"/>
        </w:rPr>
      </w:pPr>
    </w:p>
    <w:p w14:paraId="7761ED19" w14:textId="77777777" w:rsidR="009C4406" w:rsidRPr="00021789" w:rsidRDefault="009C4406" w:rsidP="00BD693A">
      <w:pPr>
        <w:pStyle w:val="Pro-Inwest"/>
        <w:spacing w:line="240" w:lineRule="auto"/>
        <w:jc w:val="both"/>
        <w:rPr>
          <w:rFonts w:asciiTheme="minorHAnsi" w:hAnsiTheme="minorHAnsi"/>
          <w:color w:val="FF0000"/>
          <w:sz w:val="16"/>
          <w:szCs w:val="16"/>
        </w:rPr>
      </w:pPr>
    </w:p>
    <w:p w14:paraId="02D1BD77" w14:textId="77777777" w:rsidR="009C4406" w:rsidRPr="00021789" w:rsidRDefault="009C4406" w:rsidP="00BD693A">
      <w:pPr>
        <w:pStyle w:val="Pro-Inwest"/>
        <w:spacing w:line="240" w:lineRule="auto"/>
        <w:jc w:val="both"/>
        <w:rPr>
          <w:rFonts w:asciiTheme="minorHAnsi" w:hAnsiTheme="minorHAnsi"/>
          <w:color w:val="FF0000"/>
          <w:sz w:val="16"/>
          <w:szCs w:val="16"/>
        </w:rPr>
      </w:pPr>
    </w:p>
    <w:p w14:paraId="231CDBB2" w14:textId="77777777" w:rsidR="00A1163F" w:rsidRPr="00021789" w:rsidRDefault="0037365D" w:rsidP="007F68D8">
      <w:pPr>
        <w:pStyle w:val="Pro-Inwest"/>
        <w:spacing w:line="240" w:lineRule="auto"/>
        <w:jc w:val="both"/>
        <w:rPr>
          <w:rFonts w:asciiTheme="minorHAnsi" w:hAnsiTheme="minorHAnsi"/>
          <w:b/>
          <w:sz w:val="20"/>
          <w:szCs w:val="20"/>
        </w:rPr>
      </w:pPr>
      <w:r w:rsidRPr="00021789">
        <w:rPr>
          <w:rFonts w:asciiTheme="minorHAnsi" w:hAnsiTheme="minorHAnsi"/>
          <w:b/>
          <w:sz w:val="20"/>
          <w:szCs w:val="20"/>
        </w:rPr>
        <w:lastRenderedPageBreak/>
        <w:t>D.01.00.00 ROBOTY PRZYGOTOWAWCZE</w:t>
      </w:r>
    </w:p>
    <w:p w14:paraId="25250FE3" w14:textId="77777777" w:rsidR="00BD781A" w:rsidRPr="00021789" w:rsidRDefault="00BD781A" w:rsidP="007F68D8">
      <w:pPr>
        <w:pStyle w:val="Pro-Inwest"/>
        <w:spacing w:line="240" w:lineRule="auto"/>
        <w:jc w:val="both"/>
        <w:rPr>
          <w:rFonts w:asciiTheme="minorHAnsi" w:hAnsiTheme="minorHAnsi"/>
          <w:b/>
          <w:sz w:val="16"/>
          <w:szCs w:val="16"/>
        </w:rPr>
      </w:pPr>
    </w:p>
    <w:p w14:paraId="19DF313D" w14:textId="77777777" w:rsidR="00A279A2" w:rsidRPr="00021789" w:rsidRDefault="00A279A2" w:rsidP="007F68D8">
      <w:pPr>
        <w:pStyle w:val="Pro-Inwest"/>
        <w:spacing w:line="240" w:lineRule="auto"/>
        <w:jc w:val="both"/>
        <w:rPr>
          <w:rFonts w:asciiTheme="minorHAnsi" w:hAnsiTheme="minorHAnsi"/>
          <w:b/>
          <w:sz w:val="18"/>
          <w:szCs w:val="18"/>
        </w:rPr>
      </w:pPr>
      <w:r w:rsidRPr="00021789">
        <w:rPr>
          <w:rFonts w:asciiTheme="minorHAnsi" w:hAnsiTheme="minorHAnsi"/>
          <w:b/>
          <w:sz w:val="18"/>
          <w:szCs w:val="18"/>
        </w:rPr>
        <w:t xml:space="preserve">D.01.01.01 </w:t>
      </w:r>
      <w:r w:rsidR="006F72E8" w:rsidRPr="00021789">
        <w:rPr>
          <w:rFonts w:asciiTheme="minorHAnsi" w:hAnsiTheme="minorHAnsi"/>
          <w:b/>
          <w:sz w:val="18"/>
          <w:szCs w:val="18"/>
        </w:rPr>
        <w:t>Odtworzenie  trasy i  punktów  wysokościowych</w:t>
      </w:r>
    </w:p>
    <w:p w14:paraId="2270A65D" w14:textId="77777777" w:rsidR="00A279A2" w:rsidRPr="00021789" w:rsidRDefault="00A279A2" w:rsidP="007F68D8">
      <w:pPr>
        <w:pStyle w:val="Pro-Inwest"/>
        <w:spacing w:line="240" w:lineRule="auto"/>
        <w:jc w:val="both"/>
        <w:rPr>
          <w:rFonts w:asciiTheme="minorHAnsi" w:hAnsiTheme="minorHAnsi"/>
          <w:b/>
          <w:bCs/>
          <w:sz w:val="16"/>
          <w:szCs w:val="16"/>
        </w:rPr>
      </w:pPr>
    </w:p>
    <w:p w14:paraId="56AAEFE9" w14:textId="77777777" w:rsidR="00A279A2" w:rsidRPr="00021789" w:rsidRDefault="00A279A2" w:rsidP="007F68D8">
      <w:pPr>
        <w:pStyle w:val="Pro-Inwest"/>
        <w:spacing w:line="240" w:lineRule="auto"/>
        <w:jc w:val="both"/>
        <w:rPr>
          <w:rFonts w:asciiTheme="minorHAnsi" w:hAnsiTheme="minorHAnsi"/>
          <w:b/>
          <w:bCs/>
          <w:sz w:val="16"/>
          <w:szCs w:val="16"/>
        </w:rPr>
      </w:pPr>
      <w:r w:rsidRPr="00021789">
        <w:rPr>
          <w:rFonts w:asciiTheme="minorHAnsi" w:hAnsiTheme="minorHAnsi"/>
          <w:b/>
          <w:bCs/>
          <w:sz w:val="16"/>
          <w:szCs w:val="16"/>
        </w:rPr>
        <w:t>1. WSTĘP</w:t>
      </w:r>
    </w:p>
    <w:p w14:paraId="76C2AB56" w14:textId="77777777" w:rsidR="00A279A2" w:rsidRPr="00021789" w:rsidRDefault="00A279A2" w:rsidP="007F68D8">
      <w:pPr>
        <w:pStyle w:val="Pro-Inwest"/>
        <w:spacing w:line="240" w:lineRule="auto"/>
        <w:jc w:val="both"/>
        <w:rPr>
          <w:rFonts w:asciiTheme="minorHAnsi" w:hAnsiTheme="minorHAnsi"/>
          <w:b/>
          <w:bCs/>
          <w:sz w:val="16"/>
          <w:szCs w:val="16"/>
        </w:rPr>
      </w:pPr>
      <w:r w:rsidRPr="00021789">
        <w:rPr>
          <w:rFonts w:asciiTheme="minorHAnsi" w:hAnsiTheme="minorHAnsi"/>
          <w:b/>
          <w:bCs/>
          <w:sz w:val="16"/>
          <w:szCs w:val="16"/>
        </w:rPr>
        <w:t xml:space="preserve">1.1.Przedmiot </w:t>
      </w:r>
      <w:proofErr w:type="spellStart"/>
      <w:r w:rsidRPr="00021789">
        <w:rPr>
          <w:rFonts w:asciiTheme="minorHAnsi" w:hAnsiTheme="minorHAnsi"/>
          <w:b/>
          <w:bCs/>
          <w:sz w:val="16"/>
          <w:szCs w:val="16"/>
        </w:rPr>
        <w:t>STWiORB</w:t>
      </w:r>
      <w:proofErr w:type="spellEnd"/>
    </w:p>
    <w:p w14:paraId="2533FF73" w14:textId="77777777" w:rsidR="00A279A2" w:rsidRPr="00021789" w:rsidRDefault="00A279A2" w:rsidP="007F68D8">
      <w:pPr>
        <w:pStyle w:val="Pro-Inwest"/>
        <w:spacing w:line="240" w:lineRule="auto"/>
        <w:jc w:val="both"/>
        <w:rPr>
          <w:rFonts w:asciiTheme="minorHAnsi" w:eastAsia="Times New Roman" w:hAnsiTheme="minorHAnsi" w:cs="Arial"/>
          <w:sz w:val="16"/>
          <w:szCs w:val="16"/>
          <w:lang w:eastAsia="ar-SA"/>
        </w:rPr>
      </w:pPr>
      <w:r w:rsidRPr="00021789">
        <w:rPr>
          <w:rFonts w:asciiTheme="minorHAnsi" w:hAnsiTheme="minorHAnsi"/>
          <w:sz w:val="16"/>
          <w:szCs w:val="16"/>
        </w:rPr>
        <w:tab/>
        <w:t xml:space="preserve">Przedmiotem niniejszej Specyfikacji Technicznej Wykonania i Odbioru Robót Budowlanych (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są wymagania dotyczące wykonania i odbioru robót związanych z odtworzeniem trasy drogow</w:t>
      </w:r>
      <w:r w:rsidR="001B053B" w:rsidRPr="00021789">
        <w:rPr>
          <w:rFonts w:asciiTheme="minorHAnsi" w:hAnsiTheme="minorHAnsi"/>
          <w:sz w:val="16"/>
          <w:szCs w:val="16"/>
        </w:rPr>
        <w:t>ej i jej punktów wysokościowych.</w:t>
      </w:r>
    </w:p>
    <w:p w14:paraId="56DBA655" w14:textId="77777777" w:rsidR="00A279A2" w:rsidRPr="00021789" w:rsidRDefault="00A279A2" w:rsidP="007F68D8">
      <w:pPr>
        <w:pStyle w:val="Pro-Inwest"/>
        <w:spacing w:line="240" w:lineRule="auto"/>
        <w:jc w:val="both"/>
        <w:rPr>
          <w:rFonts w:asciiTheme="minorHAnsi" w:hAnsiTheme="minorHAnsi"/>
          <w:b/>
          <w:sz w:val="16"/>
          <w:szCs w:val="16"/>
        </w:rPr>
      </w:pPr>
      <w:r w:rsidRPr="00021789">
        <w:rPr>
          <w:rFonts w:asciiTheme="minorHAnsi" w:hAnsiTheme="minorHAnsi"/>
          <w:b/>
          <w:sz w:val="16"/>
          <w:szCs w:val="16"/>
        </w:rPr>
        <w:t xml:space="preserve">1.2. Zakres stosowania </w:t>
      </w:r>
      <w:proofErr w:type="spellStart"/>
      <w:r w:rsidRPr="00021789">
        <w:rPr>
          <w:rFonts w:asciiTheme="minorHAnsi" w:hAnsiTheme="minorHAnsi"/>
          <w:b/>
          <w:sz w:val="16"/>
          <w:szCs w:val="16"/>
        </w:rPr>
        <w:t>STWiORB</w:t>
      </w:r>
      <w:proofErr w:type="spellEnd"/>
    </w:p>
    <w:p w14:paraId="4388F6A0" w14:textId="77777777" w:rsidR="00A279A2" w:rsidRPr="00021789" w:rsidRDefault="00A279A2" w:rsidP="007F68D8">
      <w:pPr>
        <w:pStyle w:val="Pro-Inwest"/>
        <w:spacing w:line="240" w:lineRule="auto"/>
        <w:jc w:val="both"/>
        <w:rPr>
          <w:rFonts w:asciiTheme="minorHAnsi" w:hAnsiTheme="minorHAnsi"/>
          <w:sz w:val="16"/>
          <w:szCs w:val="16"/>
        </w:rPr>
      </w:pPr>
      <w:r w:rsidRPr="00021789">
        <w:rPr>
          <w:rFonts w:asciiTheme="minorHAnsi" w:hAnsiTheme="minorHAnsi"/>
          <w:sz w:val="16"/>
          <w:szCs w:val="16"/>
        </w:rPr>
        <w:tab/>
        <w:t>Specyfikacja Techniczna Wykonania i Odbioru Robót Budowlanych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jest stosowana jako dokument przetargowy</w:t>
      </w:r>
      <w:r w:rsidR="007F68D8" w:rsidRPr="00021789">
        <w:rPr>
          <w:rFonts w:asciiTheme="minorHAnsi" w:hAnsiTheme="minorHAnsi"/>
          <w:sz w:val="16"/>
          <w:szCs w:val="16"/>
        </w:rPr>
        <w:br/>
      </w:r>
      <w:r w:rsidRPr="00021789">
        <w:rPr>
          <w:rFonts w:asciiTheme="minorHAnsi" w:hAnsiTheme="minorHAnsi"/>
          <w:sz w:val="16"/>
          <w:szCs w:val="16"/>
        </w:rPr>
        <w:t>i kontraktowy przy zlecaniu i realizacji robót drogowych.</w:t>
      </w:r>
    </w:p>
    <w:p w14:paraId="786A399B" w14:textId="77777777" w:rsidR="00A279A2" w:rsidRPr="00021789" w:rsidRDefault="00A279A2" w:rsidP="00EC7F08">
      <w:pPr>
        <w:pStyle w:val="Pro-Inwest"/>
        <w:spacing w:line="240" w:lineRule="auto"/>
        <w:rPr>
          <w:rFonts w:asciiTheme="minorHAnsi" w:hAnsiTheme="minorHAnsi"/>
          <w:b/>
          <w:sz w:val="16"/>
          <w:szCs w:val="16"/>
        </w:rPr>
      </w:pPr>
      <w:r w:rsidRPr="00021789">
        <w:rPr>
          <w:rFonts w:asciiTheme="minorHAnsi" w:hAnsiTheme="minorHAnsi"/>
          <w:b/>
          <w:sz w:val="16"/>
          <w:szCs w:val="16"/>
        </w:rPr>
        <w:t xml:space="preserve">1.3. Zakres robót objętych </w:t>
      </w:r>
      <w:proofErr w:type="spellStart"/>
      <w:r w:rsidRPr="00021789">
        <w:rPr>
          <w:rFonts w:asciiTheme="minorHAnsi" w:hAnsiTheme="minorHAnsi"/>
          <w:b/>
          <w:sz w:val="16"/>
          <w:szCs w:val="16"/>
        </w:rPr>
        <w:t>STWiORB</w:t>
      </w:r>
      <w:proofErr w:type="spellEnd"/>
    </w:p>
    <w:p w14:paraId="1E30D537" w14:textId="77777777" w:rsidR="00A279A2" w:rsidRPr="00021789" w:rsidRDefault="00A279A2" w:rsidP="007F68D8">
      <w:pPr>
        <w:pStyle w:val="Pro-Inwest"/>
        <w:spacing w:line="240" w:lineRule="auto"/>
        <w:jc w:val="both"/>
        <w:rPr>
          <w:rFonts w:asciiTheme="minorHAnsi" w:hAnsiTheme="minorHAnsi"/>
          <w:sz w:val="16"/>
          <w:szCs w:val="16"/>
        </w:rPr>
      </w:pPr>
      <w:r w:rsidRPr="00021789">
        <w:rPr>
          <w:rFonts w:asciiTheme="minorHAnsi" w:hAnsiTheme="minorHAnsi"/>
          <w:sz w:val="16"/>
          <w:szCs w:val="16"/>
        </w:rPr>
        <w:tab/>
        <w:t>Ustalenia zawarte w niniejszej specyfikacji dotyczą zasad prowadzenia robót związ</w:t>
      </w:r>
      <w:r w:rsidR="007F68D8" w:rsidRPr="00021789">
        <w:rPr>
          <w:rFonts w:asciiTheme="minorHAnsi" w:hAnsiTheme="minorHAnsi"/>
          <w:sz w:val="16"/>
          <w:szCs w:val="16"/>
        </w:rPr>
        <w:t xml:space="preserve">anych z wszystkimi czynnościami </w:t>
      </w:r>
      <w:r w:rsidR="00EC7F08" w:rsidRPr="00021789">
        <w:rPr>
          <w:rFonts w:asciiTheme="minorHAnsi" w:hAnsiTheme="minorHAnsi"/>
          <w:sz w:val="16"/>
          <w:szCs w:val="16"/>
        </w:rPr>
        <w:t>umożliwiającymi</w:t>
      </w:r>
      <w:r w:rsidRPr="00021789">
        <w:rPr>
          <w:rFonts w:asciiTheme="minorHAnsi" w:hAnsiTheme="minorHAnsi"/>
          <w:sz w:val="16"/>
          <w:szCs w:val="16"/>
        </w:rPr>
        <w:t xml:space="preserve"> i mającymi na celu odtworzenie w terenie przebiegu trasy drogowej oraz położenia obiektów inżynierskich.</w:t>
      </w:r>
    </w:p>
    <w:p w14:paraId="527053A7" w14:textId="77777777" w:rsidR="00A279A2" w:rsidRPr="00021789" w:rsidRDefault="00A279A2" w:rsidP="00EC7F08">
      <w:pPr>
        <w:pStyle w:val="Pro-Inwest"/>
        <w:spacing w:line="240" w:lineRule="auto"/>
        <w:rPr>
          <w:rFonts w:asciiTheme="minorHAnsi" w:hAnsiTheme="minorHAnsi"/>
          <w:sz w:val="16"/>
          <w:szCs w:val="16"/>
        </w:rPr>
      </w:pPr>
      <w:r w:rsidRPr="00021789">
        <w:rPr>
          <w:rFonts w:asciiTheme="minorHAnsi" w:hAnsiTheme="minorHAnsi"/>
          <w:b/>
          <w:sz w:val="16"/>
          <w:szCs w:val="16"/>
        </w:rPr>
        <w:t>1.3.1.</w:t>
      </w:r>
      <w:r w:rsidRPr="00021789">
        <w:rPr>
          <w:rFonts w:asciiTheme="minorHAnsi" w:hAnsiTheme="minorHAnsi"/>
          <w:sz w:val="16"/>
          <w:szCs w:val="16"/>
        </w:rPr>
        <w:t xml:space="preserve"> Odtworzenie trasy i punktów wysokościowych</w:t>
      </w:r>
    </w:p>
    <w:p w14:paraId="3A46221B" w14:textId="77777777" w:rsidR="00A279A2" w:rsidRPr="00021789" w:rsidRDefault="00A279A2" w:rsidP="00EC7F08">
      <w:pPr>
        <w:pStyle w:val="Pro-Inwest"/>
        <w:spacing w:line="240" w:lineRule="auto"/>
        <w:rPr>
          <w:rFonts w:asciiTheme="minorHAnsi" w:hAnsiTheme="minorHAnsi"/>
          <w:sz w:val="16"/>
          <w:szCs w:val="16"/>
        </w:rPr>
      </w:pPr>
      <w:r w:rsidRPr="00021789">
        <w:rPr>
          <w:rFonts w:asciiTheme="minorHAnsi" w:hAnsiTheme="minorHAnsi"/>
          <w:sz w:val="16"/>
          <w:szCs w:val="16"/>
        </w:rPr>
        <w:t>W zakres robót pomiarowych, związanych z odtworzeniem trasy i punktów wysokościowych wchodzą:</w:t>
      </w:r>
    </w:p>
    <w:p w14:paraId="2F9749FD" w14:textId="77777777" w:rsidR="00A279A2" w:rsidRPr="00021789" w:rsidRDefault="00A279A2" w:rsidP="002454DF">
      <w:pPr>
        <w:pStyle w:val="Pro-Inwest"/>
        <w:numPr>
          <w:ilvl w:val="0"/>
          <w:numId w:val="17"/>
        </w:numPr>
        <w:spacing w:line="240" w:lineRule="auto"/>
        <w:rPr>
          <w:rFonts w:asciiTheme="minorHAnsi" w:hAnsiTheme="minorHAnsi"/>
          <w:sz w:val="16"/>
          <w:szCs w:val="16"/>
        </w:rPr>
      </w:pPr>
      <w:r w:rsidRPr="00021789">
        <w:rPr>
          <w:rFonts w:asciiTheme="minorHAnsi" w:hAnsiTheme="minorHAnsi"/>
          <w:sz w:val="16"/>
          <w:szCs w:val="16"/>
        </w:rPr>
        <w:t>sprawdzenie wyznaczenia sytuacyjnego i wysokościowego punktów głównych osi trasy   i punktów wysokościowych,</w:t>
      </w:r>
    </w:p>
    <w:p w14:paraId="59FE4321" w14:textId="77777777" w:rsidR="00A279A2" w:rsidRPr="00021789" w:rsidRDefault="00A279A2" w:rsidP="002454DF">
      <w:pPr>
        <w:pStyle w:val="Pro-Inwest"/>
        <w:numPr>
          <w:ilvl w:val="0"/>
          <w:numId w:val="17"/>
        </w:numPr>
        <w:spacing w:line="240" w:lineRule="auto"/>
        <w:rPr>
          <w:rFonts w:asciiTheme="minorHAnsi" w:hAnsiTheme="minorHAnsi"/>
          <w:sz w:val="16"/>
          <w:szCs w:val="16"/>
        </w:rPr>
      </w:pPr>
      <w:r w:rsidRPr="00021789">
        <w:rPr>
          <w:rFonts w:asciiTheme="minorHAnsi" w:hAnsiTheme="minorHAnsi"/>
          <w:sz w:val="16"/>
          <w:szCs w:val="16"/>
        </w:rPr>
        <w:t>uzupełnienie osi trasy dodatkowymi punktami (wyznaczenie osi),</w:t>
      </w:r>
    </w:p>
    <w:p w14:paraId="0A622920" w14:textId="77777777" w:rsidR="00A279A2" w:rsidRPr="00021789" w:rsidRDefault="00A279A2" w:rsidP="002454DF">
      <w:pPr>
        <w:pStyle w:val="Pro-Inwest"/>
        <w:numPr>
          <w:ilvl w:val="0"/>
          <w:numId w:val="17"/>
        </w:numPr>
        <w:spacing w:line="240" w:lineRule="auto"/>
        <w:rPr>
          <w:rFonts w:asciiTheme="minorHAnsi" w:hAnsiTheme="minorHAnsi"/>
          <w:sz w:val="16"/>
          <w:szCs w:val="16"/>
        </w:rPr>
      </w:pPr>
      <w:r w:rsidRPr="00021789">
        <w:rPr>
          <w:rFonts w:asciiTheme="minorHAnsi" w:hAnsiTheme="minorHAnsi"/>
          <w:sz w:val="16"/>
          <w:szCs w:val="16"/>
        </w:rPr>
        <w:t>wyznaczenie dodatkowych punktów wysokościowych (reperów roboczych),</w:t>
      </w:r>
    </w:p>
    <w:p w14:paraId="72D065D2" w14:textId="77777777" w:rsidR="00A279A2" w:rsidRPr="00021789" w:rsidRDefault="00A279A2" w:rsidP="002454DF">
      <w:pPr>
        <w:pStyle w:val="Pro-Inwest"/>
        <w:numPr>
          <w:ilvl w:val="0"/>
          <w:numId w:val="18"/>
        </w:numPr>
        <w:spacing w:line="240" w:lineRule="auto"/>
        <w:rPr>
          <w:rFonts w:asciiTheme="minorHAnsi" w:hAnsiTheme="minorHAnsi"/>
          <w:sz w:val="16"/>
          <w:szCs w:val="16"/>
        </w:rPr>
      </w:pPr>
      <w:r w:rsidRPr="00021789">
        <w:rPr>
          <w:rFonts w:asciiTheme="minorHAnsi" w:hAnsiTheme="minorHAnsi"/>
          <w:sz w:val="16"/>
          <w:szCs w:val="16"/>
        </w:rPr>
        <w:t>wyznaczenie przekrojów poprzecznych,</w:t>
      </w:r>
    </w:p>
    <w:p w14:paraId="3FDF2825" w14:textId="77777777" w:rsidR="00A279A2" w:rsidRPr="00021789" w:rsidRDefault="00A279A2" w:rsidP="002454DF">
      <w:pPr>
        <w:pStyle w:val="Pro-Inwest"/>
        <w:numPr>
          <w:ilvl w:val="0"/>
          <w:numId w:val="18"/>
        </w:numPr>
        <w:spacing w:line="240" w:lineRule="auto"/>
        <w:rPr>
          <w:rFonts w:asciiTheme="minorHAnsi" w:hAnsiTheme="minorHAnsi"/>
          <w:sz w:val="16"/>
          <w:szCs w:val="16"/>
        </w:rPr>
      </w:pPr>
      <w:proofErr w:type="spellStart"/>
      <w:r w:rsidRPr="00021789">
        <w:rPr>
          <w:rFonts w:asciiTheme="minorHAnsi" w:hAnsiTheme="minorHAnsi"/>
          <w:sz w:val="16"/>
          <w:szCs w:val="16"/>
        </w:rPr>
        <w:t>zastabilizowanie</w:t>
      </w:r>
      <w:proofErr w:type="spellEnd"/>
      <w:r w:rsidRPr="00021789">
        <w:rPr>
          <w:rFonts w:asciiTheme="minorHAnsi" w:hAnsiTheme="minorHAnsi"/>
          <w:sz w:val="16"/>
          <w:szCs w:val="16"/>
        </w:rPr>
        <w:t xml:space="preserve"> punktów w sposób trwały, ochrona ich przed zniszczeniem oraz oznakowanie w sposób ułatwiający odszukanie i ewentualne odtworzenie.</w:t>
      </w:r>
    </w:p>
    <w:p w14:paraId="6F13DAD8"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1.4. Określenia podstawowe</w:t>
      </w:r>
    </w:p>
    <w:p w14:paraId="67BF94A4"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b/>
          <w:sz w:val="16"/>
          <w:szCs w:val="16"/>
        </w:rPr>
        <w:t>1.4.1.</w:t>
      </w:r>
      <w:r w:rsidRPr="00021789">
        <w:rPr>
          <w:rFonts w:asciiTheme="minorHAnsi" w:hAnsiTheme="minorHAnsi"/>
          <w:sz w:val="16"/>
          <w:szCs w:val="16"/>
        </w:rPr>
        <w:t xml:space="preserve"> Punkty główne trasy - punkty załamania osi trasy, punkty kierunkowe oraz początkowy i końcowy punkt trasy.</w:t>
      </w:r>
    </w:p>
    <w:p w14:paraId="3BB6414D"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b/>
          <w:sz w:val="16"/>
          <w:szCs w:val="16"/>
        </w:rPr>
        <w:t>1.4.2.</w:t>
      </w:r>
      <w:r w:rsidRPr="00021789">
        <w:rPr>
          <w:rFonts w:asciiTheme="minorHAnsi" w:hAnsiTheme="minorHAnsi"/>
          <w:sz w:val="16"/>
          <w:szCs w:val="16"/>
        </w:rPr>
        <w:t xml:space="preserve"> Pozostałe określenia podstawowe są zgodne z obowiązującymi, odpowiednimi polskimi normami i z definicjami podanymi</w:t>
      </w:r>
      <w:r w:rsidR="007F68D8" w:rsidRPr="00021789">
        <w:rPr>
          <w:rFonts w:asciiTheme="minorHAnsi" w:hAnsiTheme="minorHAnsi"/>
          <w:sz w:val="16"/>
          <w:szCs w:val="16"/>
        </w:rPr>
        <w:br/>
      </w:r>
      <w:r w:rsidRPr="00021789">
        <w:rPr>
          <w:rFonts w:asciiTheme="minorHAnsi" w:hAnsiTheme="minorHAnsi"/>
          <w:sz w:val="16"/>
          <w:szCs w:val="16"/>
        </w:rPr>
        <w:t xml:space="preserve">w  </w:t>
      </w:r>
      <w:r w:rsidR="00C472BD" w:rsidRPr="00021789">
        <w:rPr>
          <w:rFonts w:asciiTheme="minorHAnsi" w:hAnsiTheme="minorHAnsi"/>
          <w:sz w:val="16"/>
          <w:szCs w:val="16"/>
        </w:rPr>
        <w:t>STWiORB</w:t>
      </w:r>
      <w:r w:rsidRPr="00021789">
        <w:rPr>
          <w:rFonts w:asciiTheme="minorHAnsi" w:hAnsiTheme="minorHAnsi"/>
          <w:sz w:val="16"/>
          <w:szCs w:val="16"/>
        </w:rPr>
        <w:t>D-M-00.00.00 „Wymagania ogólne” pkt 1.4.</w:t>
      </w:r>
    </w:p>
    <w:p w14:paraId="59F40C20"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1.5. Ogólne wymagania dotyczące robót</w:t>
      </w:r>
    </w:p>
    <w:p w14:paraId="028209B6"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wymagania dotyczące robót podano w  </w:t>
      </w:r>
      <w:proofErr w:type="spellStart"/>
      <w:r w:rsidR="00C472BD" w:rsidRPr="00021789">
        <w:rPr>
          <w:rFonts w:asciiTheme="minorHAnsi" w:hAnsiTheme="minorHAnsi"/>
          <w:sz w:val="16"/>
          <w:szCs w:val="16"/>
        </w:rPr>
        <w:t>STWiORB</w:t>
      </w:r>
      <w:proofErr w:type="spellEnd"/>
      <w:r w:rsidRPr="00021789">
        <w:rPr>
          <w:rFonts w:asciiTheme="minorHAnsi" w:hAnsiTheme="minorHAnsi"/>
          <w:sz w:val="16"/>
          <w:szCs w:val="16"/>
        </w:rPr>
        <w:t xml:space="preserve"> </w:t>
      </w:r>
      <w:r w:rsidR="00C472BD" w:rsidRPr="00021789">
        <w:rPr>
          <w:rFonts w:asciiTheme="minorHAnsi" w:hAnsiTheme="minorHAnsi"/>
          <w:sz w:val="16"/>
          <w:szCs w:val="16"/>
        </w:rPr>
        <w:t>D.</w:t>
      </w:r>
      <w:r w:rsidRPr="00021789">
        <w:rPr>
          <w:rFonts w:asciiTheme="minorHAnsi" w:hAnsiTheme="minorHAnsi"/>
          <w:sz w:val="16"/>
          <w:szCs w:val="16"/>
        </w:rPr>
        <w:t>00.00.00 „Wymagania ogólne” pkt 1.5.</w:t>
      </w:r>
    </w:p>
    <w:p w14:paraId="51BB35AD" w14:textId="77777777" w:rsidR="00183A28" w:rsidRPr="00021789" w:rsidRDefault="00183A28" w:rsidP="00EC7F08">
      <w:pPr>
        <w:pStyle w:val="Pro-Inwest"/>
        <w:spacing w:line="240" w:lineRule="auto"/>
        <w:jc w:val="both"/>
        <w:rPr>
          <w:rFonts w:asciiTheme="minorHAnsi" w:hAnsiTheme="minorHAnsi"/>
          <w:sz w:val="16"/>
          <w:szCs w:val="16"/>
        </w:rPr>
      </w:pPr>
    </w:p>
    <w:p w14:paraId="16070E49"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2. MATERIAŁY</w:t>
      </w:r>
    </w:p>
    <w:p w14:paraId="27BBC83C"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2.1. Ogólne wymagania dotyczące materiałów</w:t>
      </w:r>
    </w:p>
    <w:p w14:paraId="69FD64BC"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wymagania dotyczące materiałów, ich pozyskiwania i składowania podano w </w:t>
      </w:r>
      <w:proofErr w:type="spellStart"/>
      <w:r w:rsidR="00C472BD" w:rsidRPr="00021789">
        <w:rPr>
          <w:rFonts w:asciiTheme="minorHAnsi" w:hAnsiTheme="minorHAnsi"/>
          <w:sz w:val="16"/>
          <w:szCs w:val="16"/>
        </w:rPr>
        <w:t>STWiORB</w:t>
      </w:r>
      <w:proofErr w:type="spellEnd"/>
      <w:r w:rsidRPr="00021789">
        <w:rPr>
          <w:rFonts w:asciiTheme="minorHAnsi" w:hAnsiTheme="minorHAnsi"/>
          <w:sz w:val="16"/>
          <w:szCs w:val="16"/>
        </w:rPr>
        <w:t xml:space="preserve"> </w:t>
      </w:r>
      <w:r w:rsidR="00C472BD" w:rsidRPr="00021789">
        <w:rPr>
          <w:rFonts w:asciiTheme="minorHAnsi" w:hAnsiTheme="minorHAnsi"/>
          <w:sz w:val="16"/>
          <w:szCs w:val="16"/>
        </w:rPr>
        <w:t>D.</w:t>
      </w:r>
      <w:r w:rsidRPr="00021789">
        <w:rPr>
          <w:rFonts w:asciiTheme="minorHAnsi" w:hAnsiTheme="minorHAnsi"/>
          <w:sz w:val="16"/>
          <w:szCs w:val="16"/>
        </w:rPr>
        <w:t>00.00.00   „Wymagania ogólne” pkt 2.</w:t>
      </w:r>
    </w:p>
    <w:p w14:paraId="390E7051"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2.2. Rodzaje materiałów</w:t>
      </w:r>
    </w:p>
    <w:p w14:paraId="79F79C1A"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Do utrwalenia punktów głównych trasy należy stosować pale drewniane z gwoździem lub prętem stalowym, słupki betonowe albo rury metalowe o długości około 0,50 metra.</w:t>
      </w:r>
    </w:p>
    <w:p w14:paraId="2B2C98FE" w14:textId="77777777" w:rsidR="00A279A2" w:rsidRPr="00021789" w:rsidRDefault="00A279A2"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Pale drewniane umieszczone poza granicą robót ziemnych, w sąsiedztwie punktów załamania trasy, powinny mieć średnicę</w:t>
      </w:r>
      <w:r w:rsidR="007F68D8" w:rsidRPr="00021789">
        <w:rPr>
          <w:rFonts w:asciiTheme="minorHAnsi" w:hAnsiTheme="minorHAnsi"/>
          <w:sz w:val="16"/>
          <w:szCs w:val="16"/>
        </w:rPr>
        <w:br/>
      </w:r>
      <w:r w:rsidRPr="00021789">
        <w:rPr>
          <w:rFonts w:asciiTheme="minorHAnsi" w:hAnsiTheme="minorHAnsi"/>
          <w:sz w:val="16"/>
          <w:szCs w:val="16"/>
        </w:rPr>
        <w:t>od  0,15 do 0,20 m  i długość od 1,5 do 1,7 m.</w:t>
      </w:r>
    </w:p>
    <w:p w14:paraId="68F61260" w14:textId="77777777" w:rsidR="00A279A2" w:rsidRPr="00021789" w:rsidRDefault="00A279A2" w:rsidP="007F68D8">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Do stabilizacji pozostałych punktów należy stosować paliki drewniane średnicy od 0,05 do 0,08 m i długości około 0,30 m,</w:t>
      </w:r>
      <w:r w:rsidR="007F68D8" w:rsidRPr="00021789">
        <w:rPr>
          <w:rFonts w:asciiTheme="minorHAnsi" w:hAnsiTheme="minorHAnsi"/>
          <w:sz w:val="16"/>
          <w:szCs w:val="16"/>
        </w:rPr>
        <w:br/>
      </w:r>
      <w:r w:rsidRPr="00021789">
        <w:rPr>
          <w:rFonts w:asciiTheme="minorHAnsi" w:hAnsiTheme="minorHAnsi"/>
          <w:sz w:val="16"/>
          <w:szCs w:val="16"/>
        </w:rPr>
        <w:t>a dla punktów utrwalanych w istniejącej nawierzchni bolce stalowe średnicy 5 mm i długości od  0,04 do 0,05 m.</w:t>
      </w:r>
    </w:p>
    <w:p w14:paraId="432BDF5E"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„Świadki” powinny mieć długość około 0,50 m i przekrój prostokątny.</w:t>
      </w:r>
    </w:p>
    <w:p w14:paraId="0524E19C" w14:textId="77777777" w:rsidR="00A279A2" w:rsidRPr="00021789" w:rsidRDefault="00A279A2" w:rsidP="00EC7F08">
      <w:pPr>
        <w:pStyle w:val="Pro-Inwest"/>
        <w:spacing w:line="240" w:lineRule="auto"/>
        <w:jc w:val="both"/>
        <w:rPr>
          <w:rFonts w:asciiTheme="minorHAnsi" w:hAnsiTheme="minorHAnsi"/>
          <w:sz w:val="16"/>
          <w:szCs w:val="16"/>
        </w:rPr>
      </w:pPr>
    </w:p>
    <w:p w14:paraId="72EFC395"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3. SPRZĘT</w:t>
      </w:r>
    </w:p>
    <w:p w14:paraId="732F27E2"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3.1. Ogólne wymagania dotyczące sprzętu</w:t>
      </w:r>
    </w:p>
    <w:p w14:paraId="7319F392"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wymagania dotyczące sprzętu podano w </w:t>
      </w:r>
      <w:proofErr w:type="spellStart"/>
      <w:r w:rsidR="00C472BD" w:rsidRPr="00021789">
        <w:rPr>
          <w:rFonts w:asciiTheme="minorHAnsi" w:hAnsiTheme="minorHAnsi"/>
          <w:sz w:val="16"/>
          <w:szCs w:val="16"/>
        </w:rPr>
        <w:t>STWiORB</w:t>
      </w:r>
      <w:proofErr w:type="spellEnd"/>
      <w:r w:rsidRPr="00021789">
        <w:rPr>
          <w:rFonts w:asciiTheme="minorHAnsi" w:hAnsiTheme="minorHAnsi"/>
          <w:sz w:val="16"/>
          <w:szCs w:val="16"/>
        </w:rPr>
        <w:t xml:space="preserve"> </w:t>
      </w:r>
      <w:r w:rsidR="00C472BD" w:rsidRPr="00021789">
        <w:rPr>
          <w:rFonts w:asciiTheme="minorHAnsi" w:hAnsiTheme="minorHAnsi"/>
          <w:sz w:val="16"/>
          <w:szCs w:val="16"/>
        </w:rPr>
        <w:t>D.</w:t>
      </w:r>
      <w:r w:rsidRPr="00021789">
        <w:rPr>
          <w:rFonts w:asciiTheme="minorHAnsi" w:hAnsiTheme="minorHAnsi"/>
          <w:sz w:val="16"/>
          <w:szCs w:val="16"/>
        </w:rPr>
        <w:t>00.00.00 „Wymagania ogólne” pkt 3.</w:t>
      </w:r>
    </w:p>
    <w:p w14:paraId="45A22C96"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3.2. Sprzęt pomiarowy</w:t>
      </w:r>
    </w:p>
    <w:p w14:paraId="79955CC4"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Do odtworzenia sytuacyjnego trasy i punktów wysokościowych należy stosować następujący sprzęt:</w:t>
      </w:r>
    </w:p>
    <w:p w14:paraId="7214C914" w14:textId="77777777" w:rsidR="00A279A2" w:rsidRPr="00021789" w:rsidRDefault="00A279A2" w:rsidP="002454DF">
      <w:pPr>
        <w:pStyle w:val="Pro-Inwest"/>
        <w:numPr>
          <w:ilvl w:val="0"/>
          <w:numId w:val="19"/>
        </w:numPr>
        <w:spacing w:line="240" w:lineRule="auto"/>
        <w:jc w:val="both"/>
        <w:rPr>
          <w:rFonts w:asciiTheme="minorHAnsi" w:hAnsiTheme="minorHAnsi"/>
          <w:sz w:val="16"/>
          <w:szCs w:val="16"/>
        </w:rPr>
      </w:pPr>
      <w:r w:rsidRPr="00021789">
        <w:rPr>
          <w:rFonts w:asciiTheme="minorHAnsi" w:hAnsiTheme="minorHAnsi"/>
          <w:sz w:val="16"/>
          <w:szCs w:val="16"/>
        </w:rPr>
        <w:t>teodolity lub tachimetry,</w:t>
      </w:r>
    </w:p>
    <w:p w14:paraId="22730A77" w14:textId="77777777" w:rsidR="00A279A2" w:rsidRPr="00021789" w:rsidRDefault="00A279A2" w:rsidP="002454DF">
      <w:pPr>
        <w:pStyle w:val="Pro-Inwest"/>
        <w:numPr>
          <w:ilvl w:val="0"/>
          <w:numId w:val="19"/>
        </w:numPr>
        <w:spacing w:line="240" w:lineRule="auto"/>
        <w:jc w:val="both"/>
        <w:rPr>
          <w:rFonts w:asciiTheme="minorHAnsi" w:hAnsiTheme="minorHAnsi"/>
          <w:sz w:val="16"/>
          <w:szCs w:val="16"/>
        </w:rPr>
      </w:pPr>
      <w:r w:rsidRPr="00021789">
        <w:rPr>
          <w:rFonts w:asciiTheme="minorHAnsi" w:hAnsiTheme="minorHAnsi"/>
          <w:sz w:val="16"/>
          <w:szCs w:val="16"/>
        </w:rPr>
        <w:t>niwelatory,</w:t>
      </w:r>
    </w:p>
    <w:p w14:paraId="326536FF" w14:textId="77777777" w:rsidR="00A279A2" w:rsidRPr="00021789" w:rsidRDefault="00A279A2" w:rsidP="002454DF">
      <w:pPr>
        <w:pStyle w:val="Pro-Inwest"/>
        <w:numPr>
          <w:ilvl w:val="0"/>
          <w:numId w:val="19"/>
        </w:numPr>
        <w:spacing w:line="240" w:lineRule="auto"/>
        <w:jc w:val="both"/>
        <w:rPr>
          <w:rFonts w:asciiTheme="minorHAnsi" w:hAnsiTheme="minorHAnsi"/>
          <w:sz w:val="16"/>
          <w:szCs w:val="16"/>
        </w:rPr>
      </w:pPr>
      <w:r w:rsidRPr="00021789">
        <w:rPr>
          <w:rFonts w:asciiTheme="minorHAnsi" w:hAnsiTheme="minorHAnsi"/>
          <w:sz w:val="16"/>
          <w:szCs w:val="16"/>
        </w:rPr>
        <w:t>dalmierze,</w:t>
      </w:r>
    </w:p>
    <w:p w14:paraId="6FFB9E37" w14:textId="77777777" w:rsidR="00A279A2" w:rsidRPr="00021789" w:rsidRDefault="00A279A2" w:rsidP="002454DF">
      <w:pPr>
        <w:pStyle w:val="Pro-Inwest"/>
        <w:numPr>
          <w:ilvl w:val="0"/>
          <w:numId w:val="19"/>
        </w:numPr>
        <w:spacing w:line="240" w:lineRule="auto"/>
        <w:jc w:val="both"/>
        <w:rPr>
          <w:rFonts w:asciiTheme="minorHAnsi" w:hAnsiTheme="minorHAnsi"/>
          <w:sz w:val="16"/>
          <w:szCs w:val="16"/>
        </w:rPr>
      </w:pPr>
      <w:r w:rsidRPr="00021789">
        <w:rPr>
          <w:rFonts w:asciiTheme="minorHAnsi" w:hAnsiTheme="minorHAnsi"/>
          <w:sz w:val="16"/>
          <w:szCs w:val="16"/>
        </w:rPr>
        <w:t>tyczki,</w:t>
      </w:r>
    </w:p>
    <w:p w14:paraId="22F18C0F" w14:textId="77777777" w:rsidR="00A279A2" w:rsidRPr="00021789" w:rsidRDefault="00A279A2" w:rsidP="002454DF">
      <w:pPr>
        <w:pStyle w:val="Pro-Inwest"/>
        <w:numPr>
          <w:ilvl w:val="0"/>
          <w:numId w:val="19"/>
        </w:numPr>
        <w:spacing w:line="240" w:lineRule="auto"/>
        <w:jc w:val="both"/>
        <w:rPr>
          <w:rFonts w:asciiTheme="minorHAnsi" w:hAnsiTheme="minorHAnsi"/>
          <w:sz w:val="16"/>
          <w:szCs w:val="16"/>
        </w:rPr>
      </w:pPr>
      <w:r w:rsidRPr="00021789">
        <w:rPr>
          <w:rFonts w:asciiTheme="minorHAnsi" w:hAnsiTheme="minorHAnsi"/>
          <w:sz w:val="16"/>
          <w:szCs w:val="16"/>
        </w:rPr>
        <w:t>łaty,</w:t>
      </w:r>
    </w:p>
    <w:p w14:paraId="2796DA77" w14:textId="77777777" w:rsidR="00A279A2" w:rsidRPr="00021789" w:rsidRDefault="00A279A2" w:rsidP="002454DF">
      <w:pPr>
        <w:pStyle w:val="Pro-Inwest"/>
        <w:numPr>
          <w:ilvl w:val="0"/>
          <w:numId w:val="19"/>
        </w:numPr>
        <w:spacing w:line="240" w:lineRule="auto"/>
        <w:jc w:val="both"/>
        <w:rPr>
          <w:rFonts w:asciiTheme="minorHAnsi" w:hAnsiTheme="minorHAnsi"/>
          <w:sz w:val="16"/>
          <w:szCs w:val="16"/>
        </w:rPr>
      </w:pPr>
      <w:r w:rsidRPr="00021789">
        <w:rPr>
          <w:rFonts w:asciiTheme="minorHAnsi" w:hAnsiTheme="minorHAnsi"/>
          <w:sz w:val="16"/>
          <w:szCs w:val="16"/>
        </w:rPr>
        <w:t>taśmy stalowe, szpilki.</w:t>
      </w:r>
    </w:p>
    <w:p w14:paraId="6147D7DA"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Sprzęt stosowany do odtworzenia trasy drogowej i jej punktów wysokościowych powinien gwarantować uzyskanie wymaganej dokładności pomiaru.</w:t>
      </w:r>
    </w:p>
    <w:p w14:paraId="1C30B11F" w14:textId="77777777" w:rsidR="00A279A2" w:rsidRPr="00021789" w:rsidRDefault="00A279A2" w:rsidP="00EC7F08">
      <w:pPr>
        <w:pStyle w:val="Pro-Inwest"/>
        <w:spacing w:line="240" w:lineRule="auto"/>
        <w:jc w:val="both"/>
        <w:rPr>
          <w:rFonts w:asciiTheme="minorHAnsi" w:hAnsiTheme="minorHAnsi"/>
          <w:sz w:val="16"/>
          <w:szCs w:val="16"/>
        </w:rPr>
      </w:pPr>
    </w:p>
    <w:p w14:paraId="1307AD75"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4. TRANSPORT</w:t>
      </w:r>
    </w:p>
    <w:p w14:paraId="28962803"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4.1. Ogólne wymagania dotyczące transportu</w:t>
      </w:r>
    </w:p>
    <w:p w14:paraId="2389D202"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wymagania dotyczące transportu podano w </w:t>
      </w:r>
      <w:proofErr w:type="spellStart"/>
      <w:r w:rsidR="00C472BD" w:rsidRPr="00021789">
        <w:rPr>
          <w:rFonts w:asciiTheme="minorHAnsi" w:hAnsiTheme="minorHAnsi"/>
          <w:sz w:val="16"/>
          <w:szCs w:val="16"/>
        </w:rPr>
        <w:t>STWiORB</w:t>
      </w:r>
      <w:proofErr w:type="spellEnd"/>
      <w:r w:rsidRPr="00021789">
        <w:rPr>
          <w:rFonts w:asciiTheme="minorHAnsi" w:hAnsiTheme="minorHAnsi"/>
          <w:sz w:val="16"/>
          <w:szCs w:val="16"/>
        </w:rPr>
        <w:t xml:space="preserve"> </w:t>
      </w:r>
      <w:r w:rsidR="00C472BD" w:rsidRPr="00021789">
        <w:rPr>
          <w:rFonts w:asciiTheme="minorHAnsi" w:hAnsiTheme="minorHAnsi"/>
          <w:sz w:val="16"/>
          <w:szCs w:val="16"/>
        </w:rPr>
        <w:t>D.</w:t>
      </w:r>
      <w:r w:rsidRPr="00021789">
        <w:rPr>
          <w:rFonts w:asciiTheme="minorHAnsi" w:hAnsiTheme="minorHAnsi"/>
          <w:sz w:val="16"/>
          <w:szCs w:val="16"/>
        </w:rPr>
        <w:t>00.00.00 „Wymagania ogólne” pkt 4.</w:t>
      </w:r>
    </w:p>
    <w:p w14:paraId="794A652C"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4.2. Transport sprzętu i materiałów</w:t>
      </w:r>
    </w:p>
    <w:p w14:paraId="36185002"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Sprzęt i materiały do odtworzenia trasy można przewozić dowolnymi środkami transportu.</w:t>
      </w:r>
    </w:p>
    <w:p w14:paraId="5DC21C7D" w14:textId="77777777" w:rsidR="00A279A2" w:rsidRPr="00021789" w:rsidRDefault="00A279A2" w:rsidP="00EC7F08">
      <w:pPr>
        <w:pStyle w:val="Pro-Inwest"/>
        <w:spacing w:line="240" w:lineRule="auto"/>
        <w:jc w:val="both"/>
        <w:rPr>
          <w:rFonts w:asciiTheme="minorHAnsi" w:hAnsiTheme="minorHAnsi"/>
          <w:sz w:val="16"/>
          <w:szCs w:val="16"/>
        </w:rPr>
      </w:pPr>
    </w:p>
    <w:p w14:paraId="7ACBD75A"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5. WYKONANIE ROBÓT</w:t>
      </w:r>
    </w:p>
    <w:p w14:paraId="79117FC4"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5.1. Ogólne zasady wykonania robót</w:t>
      </w:r>
    </w:p>
    <w:p w14:paraId="2F5F8DF2"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zasady wykonania robót podano w  </w:t>
      </w:r>
      <w:proofErr w:type="spellStart"/>
      <w:r w:rsidR="00C472BD" w:rsidRPr="00021789">
        <w:rPr>
          <w:rFonts w:asciiTheme="minorHAnsi" w:hAnsiTheme="minorHAnsi"/>
          <w:sz w:val="16"/>
          <w:szCs w:val="16"/>
        </w:rPr>
        <w:t>STWiORB</w:t>
      </w:r>
      <w:proofErr w:type="spellEnd"/>
      <w:r w:rsidRPr="00021789">
        <w:rPr>
          <w:rFonts w:asciiTheme="minorHAnsi" w:hAnsiTheme="minorHAnsi"/>
          <w:sz w:val="16"/>
          <w:szCs w:val="16"/>
        </w:rPr>
        <w:t xml:space="preserve"> </w:t>
      </w:r>
      <w:r w:rsidR="00C472BD" w:rsidRPr="00021789">
        <w:rPr>
          <w:rFonts w:asciiTheme="minorHAnsi" w:hAnsiTheme="minorHAnsi"/>
          <w:sz w:val="16"/>
          <w:szCs w:val="16"/>
        </w:rPr>
        <w:t>D.</w:t>
      </w:r>
      <w:r w:rsidRPr="00021789">
        <w:rPr>
          <w:rFonts w:asciiTheme="minorHAnsi" w:hAnsiTheme="minorHAnsi"/>
          <w:sz w:val="16"/>
          <w:szCs w:val="16"/>
        </w:rPr>
        <w:t>00.00.00 „Wymagania ogólne” pkt 5.</w:t>
      </w:r>
    </w:p>
    <w:p w14:paraId="7FD54D9C"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5.2. Zasady wykonywania prac pomiarowych</w:t>
      </w:r>
    </w:p>
    <w:p w14:paraId="350F4B90"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Prace pomiarowe powinny być wykonane zgodnie z obowiązującymi Instrukcjami </w:t>
      </w:r>
      <w:proofErr w:type="spellStart"/>
      <w:r w:rsidRPr="00021789">
        <w:rPr>
          <w:rFonts w:asciiTheme="minorHAnsi" w:hAnsiTheme="minorHAnsi"/>
          <w:sz w:val="16"/>
          <w:szCs w:val="16"/>
        </w:rPr>
        <w:t>GUGiK</w:t>
      </w:r>
      <w:proofErr w:type="spellEnd"/>
      <w:r w:rsidRPr="00021789">
        <w:rPr>
          <w:rFonts w:asciiTheme="minorHAnsi" w:hAnsiTheme="minorHAnsi"/>
          <w:sz w:val="16"/>
          <w:szCs w:val="16"/>
        </w:rPr>
        <w:t xml:space="preserve"> (od 1 do 7).</w:t>
      </w:r>
    </w:p>
    <w:p w14:paraId="26D2B0C0"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Przed przystąpieniem do robót Wykonawca powinien przejąć od Zamawiającego dane zawierające lokalizację i współrzędne punktów głównych trasy oraz reperów.</w:t>
      </w:r>
    </w:p>
    <w:p w14:paraId="7BD37CA1"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 oparciu o materiały dostarczone przez Zamawiającego, Wykonawca powinien przeprowadzić obliczenia i pomiary geodezyjne niezbędne do szczegółowego wytyczenia robót.</w:t>
      </w:r>
    </w:p>
    <w:p w14:paraId="7B61263E"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Prace pomiarowe powinny być wykonane przez osoby posiadające odpowiednie kwalifikacje i uprawnienia.</w:t>
      </w:r>
    </w:p>
    <w:p w14:paraId="59051F2B"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lastRenderedPageBreak/>
        <w:t>Wykonawca powinien natychmiast poinformować Inżyniera o wszelkich błędach wykrytych w wytyczeniu punktów głównych trasy i (lub) reperów roboczych. Błędy te powinny być usunięte na koszt Zamawiającego.</w:t>
      </w:r>
    </w:p>
    <w:p w14:paraId="34899E32"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1E86BB62"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Wszystkie roboty, które bazują na pomiarach Wykonawcy, nie mogą być rozpoczęte przed zaakceptowaniem wyników pomiarów przez Inżyniera.</w:t>
      </w:r>
    </w:p>
    <w:p w14:paraId="31CF6290"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7C04FE7C"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66A3C285"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Wszystkie pozostałe prace pomiarowe konieczne dla prawidłowej realizacji robót należą do obowiązków Wykonawcy.</w:t>
      </w:r>
    </w:p>
    <w:p w14:paraId="336A62AD"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5.3. Sprawdzenie wyznaczenia punktów głównych osi trasy i punktów  wysokościowych</w:t>
      </w:r>
    </w:p>
    <w:p w14:paraId="13585214"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Punkty wierzchołkowe trasy i inne punkty główne powinny być </w:t>
      </w:r>
      <w:proofErr w:type="spellStart"/>
      <w:r w:rsidRPr="00021789">
        <w:rPr>
          <w:rFonts w:asciiTheme="minorHAnsi" w:hAnsiTheme="minorHAnsi"/>
          <w:sz w:val="16"/>
          <w:szCs w:val="16"/>
        </w:rPr>
        <w:t>zastabilizowane</w:t>
      </w:r>
      <w:proofErr w:type="spellEnd"/>
      <w:r w:rsidRPr="00021789">
        <w:rPr>
          <w:rFonts w:asciiTheme="minorHAnsi" w:hAnsiTheme="minorHAnsi"/>
          <w:sz w:val="16"/>
          <w:szCs w:val="16"/>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14:paraId="3E518AD4"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Zamawiający powinien założyć robocze punkty wysokościowe (repery robocze) wzdłuż osi trasy drogowej, a także przy każdym obiekcie inżynierskim.</w:t>
      </w:r>
    </w:p>
    <w:p w14:paraId="5947BE61"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Maksymalna odległość między reperami roboczymi wzdłuż trasy drogowej w terenie płaskim powinna wynosić 500 metrów, natomiast w terenie falistym i górskim powinna być odpowiednio zmniejszona, zależnie od jego konfiguracji.</w:t>
      </w:r>
    </w:p>
    <w:p w14:paraId="305F8780"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14:paraId="5BDE016E"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Rzędne reperów roboczych należy określać z taką dokładnością, aby średni błąd niwelacji po wyrównaniu był mniejszy od 4 mm/km, stosując niwelację podwójną w nawiązaniu do reperów państwowych.</w:t>
      </w:r>
    </w:p>
    <w:p w14:paraId="6EE9C12F"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 xml:space="preserve">Repery robocze powinny być wyposażone w dodatkowe oznaczenia, zawierające wyraźne i jednoznaczne określenie nazwy </w:t>
      </w:r>
      <w:proofErr w:type="spellStart"/>
      <w:r w:rsidRPr="00021789">
        <w:rPr>
          <w:rFonts w:asciiTheme="minorHAnsi" w:hAnsiTheme="minorHAnsi"/>
          <w:sz w:val="16"/>
          <w:szCs w:val="16"/>
        </w:rPr>
        <w:t>reperu</w:t>
      </w:r>
      <w:proofErr w:type="spellEnd"/>
      <w:r w:rsidRPr="00021789">
        <w:rPr>
          <w:rFonts w:asciiTheme="minorHAnsi" w:hAnsiTheme="minorHAnsi"/>
          <w:sz w:val="16"/>
          <w:szCs w:val="16"/>
        </w:rPr>
        <w:t xml:space="preserve"> i jego rzędnej.</w:t>
      </w:r>
    </w:p>
    <w:p w14:paraId="18A51B51"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5.4. Odtworzenie osi trasy</w:t>
      </w:r>
    </w:p>
    <w:p w14:paraId="1115B3FE"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Tyczenie osi trasy należy wykonać w oparciu o dokumentację projektową oraz inne dane geodezyjne przekazane</w:t>
      </w:r>
      <w:r w:rsidR="008B551E" w:rsidRPr="00021789">
        <w:rPr>
          <w:rFonts w:asciiTheme="minorHAnsi" w:hAnsiTheme="minorHAnsi"/>
          <w:sz w:val="16"/>
          <w:szCs w:val="16"/>
        </w:rPr>
        <w:br/>
      </w:r>
      <w:r w:rsidRPr="00021789">
        <w:rPr>
          <w:rFonts w:asciiTheme="minorHAnsi" w:hAnsiTheme="minorHAnsi"/>
          <w:sz w:val="16"/>
          <w:szCs w:val="16"/>
        </w:rPr>
        <w:t>przez Zamawiającego, przy wykorzystaniu sieci poligonizacji państwowej albo innej osnowy geodezyjnej, określonej w dokumentacji projektowej.</w:t>
      </w:r>
    </w:p>
    <w:p w14:paraId="08A6C848"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Oś trasy powinna być wyznaczona w punktach głównych i w punktach pośrednich w odległości zależnej od charakterystyki terenu  i ukształtowania trasy, lecz nie rzadziej niż co 50 metrów.</w:t>
      </w:r>
    </w:p>
    <w:p w14:paraId="015E1DB2"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Dopuszczalne odchylenie sytuacyjne wytyczonej osi trasy w stosunku do dokumentacji projektowej nie może być większe niż 5 cm dla dróg klasy Z i niższej. Rzędne niwelety punktów osi trasy należy wyznaczyć z dokładnością do 1 cm w stosunku do rzędnych niwelety określonych  w  dokumentacji projektowej.</w:t>
      </w:r>
    </w:p>
    <w:p w14:paraId="12A5D73C"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Do utrwalenia osi trasy w terenie należy użyć materiałów wymienionych w pkt 2.2.</w:t>
      </w:r>
    </w:p>
    <w:p w14:paraId="7F3EDAA8"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Usunięcie pali z osi trasy jest dopuszczalne tylko wówczas, gdy Wykonawca robót zastąpi je odpowiednimi palami po obu stronach osi, umieszczonych poza granicą robót.</w:t>
      </w:r>
    </w:p>
    <w:p w14:paraId="29575DC6"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5.5. Wyznaczenie przekrojów poprzecznych</w:t>
      </w:r>
    </w:p>
    <w:p w14:paraId="17B54508"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2025FE0E"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14:paraId="6C9010C3" w14:textId="77777777" w:rsidR="00A279A2" w:rsidRPr="00021789" w:rsidRDefault="00A279A2" w:rsidP="008B551E">
      <w:pPr>
        <w:pStyle w:val="Pro-Inwest"/>
        <w:spacing w:line="240" w:lineRule="auto"/>
        <w:ind w:firstLine="708"/>
        <w:jc w:val="both"/>
        <w:rPr>
          <w:rFonts w:asciiTheme="minorHAnsi" w:hAnsiTheme="minorHAnsi"/>
          <w:sz w:val="16"/>
          <w:szCs w:val="16"/>
        </w:rPr>
      </w:pPr>
      <w:r w:rsidRPr="00021789">
        <w:rPr>
          <w:rFonts w:asciiTheme="minorHAnsi" w:hAnsiTheme="minorHAnsi"/>
          <w:sz w:val="16"/>
          <w:szCs w:val="16"/>
        </w:rPr>
        <w:t>Profilowanie przekrojów poprzecznych musi umożliwiać wykonanie nasypów i wykopów o kształcie zgodnym z dokumentacją projektową.</w:t>
      </w:r>
    </w:p>
    <w:p w14:paraId="6DDFF316" w14:textId="77777777" w:rsidR="00A279A2" w:rsidRPr="00021789" w:rsidRDefault="00A279A2" w:rsidP="00EC7F08">
      <w:pPr>
        <w:pStyle w:val="Pro-Inwest"/>
        <w:spacing w:line="240" w:lineRule="auto"/>
        <w:jc w:val="both"/>
        <w:rPr>
          <w:rFonts w:asciiTheme="minorHAnsi" w:hAnsiTheme="minorHAnsi"/>
          <w:sz w:val="16"/>
          <w:szCs w:val="16"/>
        </w:rPr>
      </w:pPr>
    </w:p>
    <w:p w14:paraId="437D82B6"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6. KONTROLA JAKOŚCI ROBÓT</w:t>
      </w:r>
    </w:p>
    <w:p w14:paraId="410C535D"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6.1. Ogólne zasady kontroli jakości robót</w:t>
      </w:r>
    </w:p>
    <w:p w14:paraId="10E6E90F"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zasady kontroli jakości robót podano w </w:t>
      </w:r>
      <w:proofErr w:type="spellStart"/>
      <w:r w:rsidR="00C472BD" w:rsidRPr="00021789">
        <w:rPr>
          <w:rFonts w:asciiTheme="minorHAnsi" w:hAnsiTheme="minorHAnsi"/>
          <w:sz w:val="16"/>
          <w:szCs w:val="16"/>
        </w:rPr>
        <w:t>STWiORB</w:t>
      </w:r>
      <w:proofErr w:type="spellEnd"/>
      <w:r w:rsidRPr="00021789">
        <w:rPr>
          <w:rFonts w:asciiTheme="minorHAnsi" w:hAnsiTheme="minorHAnsi"/>
          <w:sz w:val="16"/>
          <w:szCs w:val="16"/>
        </w:rPr>
        <w:t xml:space="preserve"> </w:t>
      </w:r>
      <w:r w:rsidR="00C472BD" w:rsidRPr="00021789">
        <w:rPr>
          <w:rFonts w:asciiTheme="minorHAnsi" w:hAnsiTheme="minorHAnsi"/>
          <w:sz w:val="16"/>
          <w:szCs w:val="16"/>
        </w:rPr>
        <w:t>D.</w:t>
      </w:r>
      <w:r w:rsidRPr="00021789">
        <w:rPr>
          <w:rFonts w:asciiTheme="minorHAnsi" w:hAnsiTheme="minorHAnsi"/>
          <w:sz w:val="16"/>
          <w:szCs w:val="16"/>
        </w:rPr>
        <w:t>00.00.00 „Wymagania ogólne” pkt 6.</w:t>
      </w:r>
    </w:p>
    <w:p w14:paraId="0587A8DD"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6.2. Kontrola jakości prac pomiarowych</w:t>
      </w:r>
    </w:p>
    <w:p w14:paraId="4065D38B"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Kontrolę jakości prac pomiarowych związanych z odtworzeniem trasy i punktów wysokościowych należy prowadzić według ogólnych zasad określonych w instrukcjach i wytycznych </w:t>
      </w:r>
      <w:proofErr w:type="spellStart"/>
      <w:r w:rsidRPr="00021789">
        <w:rPr>
          <w:rFonts w:asciiTheme="minorHAnsi" w:hAnsiTheme="minorHAnsi"/>
          <w:sz w:val="16"/>
          <w:szCs w:val="16"/>
        </w:rPr>
        <w:t>GUGiK</w:t>
      </w:r>
      <w:proofErr w:type="spellEnd"/>
      <w:r w:rsidRPr="00021789">
        <w:rPr>
          <w:rFonts w:asciiTheme="minorHAnsi" w:hAnsiTheme="minorHAnsi"/>
          <w:sz w:val="16"/>
          <w:szCs w:val="16"/>
        </w:rPr>
        <w:t xml:space="preserve"> (1,2,3,4,5,6,7) zgodnie z wymaganiami podanymi w pkt 5.4.</w:t>
      </w:r>
    </w:p>
    <w:p w14:paraId="1D714A40" w14:textId="77777777" w:rsidR="00A279A2" w:rsidRPr="00021789" w:rsidRDefault="00A279A2" w:rsidP="00EC7F08">
      <w:pPr>
        <w:pStyle w:val="Pro-Inwest"/>
        <w:spacing w:line="240" w:lineRule="auto"/>
        <w:jc w:val="both"/>
        <w:rPr>
          <w:rFonts w:asciiTheme="minorHAnsi" w:hAnsiTheme="minorHAnsi"/>
          <w:sz w:val="16"/>
          <w:szCs w:val="16"/>
        </w:rPr>
      </w:pPr>
    </w:p>
    <w:p w14:paraId="1E3A290F"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7. OBMIAR ROBÓT</w:t>
      </w:r>
    </w:p>
    <w:p w14:paraId="3845D394"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7.1. Ogólne zasady obmiaru robót</w:t>
      </w:r>
    </w:p>
    <w:p w14:paraId="69D2B845"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zasady obmiaru robót podano w </w:t>
      </w:r>
      <w:proofErr w:type="spellStart"/>
      <w:r w:rsidR="00C472BD" w:rsidRPr="00021789">
        <w:rPr>
          <w:rFonts w:asciiTheme="minorHAnsi" w:hAnsiTheme="minorHAnsi"/>
          <w:sz w:val="16"/>
          <w:szCs w:val="16"/>
        </w:rPr>
        <w:t>STWiORB</w:t>
      </w:r>
      <w:proofErr w:type="spellEnd"/>
      <w:r w:rsidRPr="00021789">
        <w:rPr>
          <w:rFonts w:asciiTheme="minorHAnsi" w:hAnsiTheme="minorHAnsi"/>
          <w:sz w:val="16"/>
          <w:szCs w:val="16"/>
        </w:rPr>
        <w:t xml:space="preserve"> </w:t>
      </w:r>
      <w:r w:rsidR="00C472BD" w:rsidRPr="00021789">
        <w:rPr>
          <w:rFonts w:asciiTheme="minorHAnsi" w:hAnsiTheme="minorHAnsi"/>
          <w:sz w:val="16"/>
          <w:szCs w:val="16"/>
        </w:rPr>
        <w:t>D.</w:t>
      </w:r>
      <w:r w:rsidRPr="00021789">
        <w:rPr>
          <w:rFonts w:asciiTheme="minorHAnsi" w:hAnsiTheme="minorHAnsi"/>
          <w:sz w:val="16"/>
          <w:szCs w:val="16"/>
        </w:rPr>
        <w:t>00.00.00 „Wymagania ogólne” pkt 7.</w:t>
      </w:r>
    </w:p>
    <w:p w14:paraId="53F4114C"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7.2. Jednostka obmiarowa</w:t>
      </w:r>
    </w:p>
    <w:p w14:paraId="55486F78"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Jednostką obmiarową jest km (kilometr) odtworzonej trasy w terenie.</w:t>
      </w:r>
    </w:p>
    <w:p w14:paraId="56E926C9"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Obmiar robót związanych z wyznaczeniem obiektów jest częścią obmiaru robót mostowych.</w:t>
      </w:r>
    </w:p>
    <w:p w14:paraId="4981BED7" w14:textId="77777777" w:rsidR="00A279A2" w:rsidRPr="00021789" w:rsidRDefault="00A279A2" w:rsidP="00EC7F08">
      <w:pPr>
        <w:pStyle w:val="Pro-Inwest"/>
        <w:spacing w:line="240" w:lineRule="auto"/>
        <w:jc w:val="both"/>
        <w:rPr>
          <w:rFonts w:asciiTheme="minorHAnsi" w:hAnsiTheme="minorHAnsi"/>
          <w:sz w:val="16"/>
          <w:szCs w:val="16"/>
        </w:rPr>
      </w:pPr>
    </w:p>
    <w:p w14:paraId="1183256F"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8. ODBIÓR ROBÓT</w:t>
      </w:r>
    </w:p>
    <w:p w14:paraId="6F3FD94E"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8.1. Ogólne zasady odbioru robót</w:t>
      </w:r>
    </w:p>
    <w:p w14:paraId="7F807833"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zasady odbioru robót podano w </w:t>
      </w:r>
      <w:proofErr w:type="spellStart"/>
      <w:r w:rsidR="00C472BD" w:rsidRPr="00021789">
        <w:rPr>
          <w:rFonts w:asciiTheme="minorHAnsi" w:hAnsiTheme="minorHAnsi"/>
          <w:sz w:val="16"/>
          <w:szCs w:val="16"/>
        </w:rPr>
        <w:t>STWiORB</w:t>
      </w:r>
      <w:proofErr w:type="spellEnd"/>
      <w:r w:rsidRPr="00021789">
        <w:rPr>
          <w:rFonts w:asciiTheme="minorHAnsi" w:hAnsiTheme="minorHAnsi"/>
          <w:sz w:val="16"/>
          <w:szCs w:val="16"/>
        </w:rPr>
        <w:t xml:space="preserve"> </w:t>
      </w:r>
      <w:r w:rsidR="00C472BD" w:rsidRPr="00021789">
        <w:rPr>
          <w:rFonts w:asciiTheme="minorHAnsi" w:hAnsiTheme="minorHAnsi"/>
          <w:sz w:val="16"/>
          <w:szCs w:val="16"/>
        </w:rPr>
        <w:t>D.</w:t>
      </w:r>
      <w:r w:rsidRPr="00021789">
        <w:rPr>
          <w:rFonts w:asciiTheme="minorHAnsi" w:hAnsiTheme="minorHAnsi"/>
          <w:sz w:val="16"/>
          <w:szCs w:val="16"/>
        </w:rPr>
        <w:t>00.00.00  „Wymagania ogólne” pkt 8.</w:t>
      </w:r>
    </w:p>
    <w:p w14:paraId="7E9027E5"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lastRenderedPageBreak/>
        <w:t>8.2. Sposób odbioru robót</w:t>
      </w:r>
    </w:p>
    <w:p w14:paraId="7B5787A1"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Odbiór robót związanych z odtworzeniem trasy w terenie następuje na podstawie szkiców i dzienników pomiarów geodezyjnych lub protok</w:t>
      </w:r>
      <w:r w:rsidR="008B551E" w:rsidRPr="00021789">
        <w:rPr>
          <w:rFonts w:asciiTheme="minorHAnsi" w:hAnsiTheme="minorHAnsi"/>
          <w:sz w:val="16"/>
          <w:szCs w:val="16"/>
        </w:rPr>
        <w:t>o</w:t>
      </w:r>
      <w:r w:rsidRPr="00021789">
        <w:rPr>
          <w:rFonts w:asciiTheme="minorHAnsi" w:hAnsiTheme="minorHAnsi"/>
          <w:sz w:val="16"/>
          <w:szCs w:val="16"/>
        </w:rPr>
        <w:t>łu z kontroli geodezyjnej, które Wykonawca przedkłada Inżynierowi.</w:t>
      </w:r>
    </w:p>
    <w:p w14:paraId="67FB2D0A" w14:textId="77777777" w:rsidR="00A279A2" w:rsidRPr="00021789" w:rsidRDefault="00A279A2" w:rsidP="00EC7F08">
      <w:pPr>
        <w:pStyle w:val="Pro-Inwest"/>
        <w:spacing w:line="240" w:lineRule="auto"/>
        <w:jc w:val="both"/>
        <w:rPr>
          <w:rFonts w:asciiTheme="minorHAnsi" w:hAnsiTheme="minorHAnsi"/>
          <w:sz w:val="16"/>
          <w:szCs w:val="16"/>
        </w:rPr>
      </w:pPr>
    </w:p>
    <w:p w14:paraId="29FBB4B9"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9. PODSTAWA PŁATNOŚCI</w:t>
      </w:r>
    </w:p>
    <w:p w14:paraId="3850D9C0"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9.1. Ogólne ustalenia dotyczące podstawy płatności</w:t>
      </w:r>
    </w:p>
    <w:p w14:paraId="10BE6B9A"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ustalenia dotyczące podstawy płatności podano w </w:t>
      </w:r>
      <w:proofErr w:type="spellStart"/>
      <w:r w:rsidR="00C472BD" w:rsidRPr="00021789">
        <w:rPr>
          <w:rFonts w:asciiTheme="minorHAnsi" w:hAnsiTheme="minorHAnsi"/>
          <w:sz w:val="16"/>
          <w:szCs w:val="16"/>
        </w:rPr>
        <w:t>STWiORB</w:t>
      </w:r>
      <w:proofErr w:type="spellEnd"/>
      <w:r w:rsidRPr="00021789">
        <w:rPr>
          <w:rFonts w:asciiTheme="minorHAnsi" w:hAnsiTheme="minorHAnsi"/>
          <w:sz w:val="16"/>
          <w:szCs w:val="16"/>
        </w:rPr>
        <w:t xml:space="preserve"> </w:t>
      </w:r>
      <w:r w:rsidR="00C472BD" w:rsidRPr="00021789">
        <w:rPr>
          <w:rFonts w:asciiTheme="minorHAnsi" w:hAnsiTheme="minorHAnsi"/>
          <w:sz w:val="16"/>
          <w:szCs w:val="16"/>
        </w:rPr>
        <w:t>D.</w:t>
      </w:r>
      <w:r w:rsidRPr="00021789">
        <w:rPr>
          <w:rFonts w:asciiTheme="minorHAnsi" w:hAnsiTheme="minorHAnsi"/>
          <w:sz w:val="16"/>
          <w:szCs w:val="16"/>
        </w:rPr>
        <w:t>00.00.00  „Wymagania ogólne” pkt 9.</w:t>
      </w:r>
    </w:p>
    <w:p w14:paraId="7432A60B"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9.2. Cena jednostki obmiarowej</w:t>
      </w:r>
    </w:p>
    <w:p w14:paraId="5618EF8D"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ab/>
        <w:t>Cena 1 km</w:t>
      </w:r>
      <w:r w:rsidR="009C4406" w:rsidRPr="00021789">
        <w:rPr>
          <w:rFonts w:asciiTheme="minorHAnsi" w:hAnsiTheme="minorHAnsi"/>
          <w:sz w:val="16"/>
          <w:szCs w:val="16"/>
        </w:rPr>
        <w:t>, 1ha</w:t>
      </w:r>
      <w:r w:rsidRPr="00021789">
        <w:rPr>
          <w:rFonts w:asciiTheme="minorHAnsi" w:hAnsiTheme="minorHAnsi"/>
          <w:sz w:val="16"/>
          <w:szCs w:val="16"/>
        </w:rPr>
        <w:t xml:space="preserve"> wykonania robót obejmuje:</w:t>
      </w:r>
    </w:p>
    <w:p w14:paraId="15AAE24C" w14:textId="77777777" w:rsidR="00A279A2" w:rsidRPr="00021789" w:rsidRDefault="00A279A2" w:rsidP="002454DF">
      <w:pPr>
        <w:pStyle w:val="Pro-Inwest"/>
        <w:numPr>
          <w:ilvl w:val="0"/>
          <w:numId w:val="21"/>
        </w:numPr>
        <w:spacing w:line="240" w:lineRule="auto"/>
        <w:jc w:val="both"/>
        <w:rPr>
          <w:rFonts w:asciiTheme="minorHAnsi" w:hAnsiTheme="minorHAnsi"/>
          <w:sz w:val="16"/>
          <w:szCs w:val="16"/>
        </w:rPr>
      </w:pPr>
      <w:r w:rsidRPr="00021789">
        <w:rPr>
          <w:rFonts w:asciiTheme="minorHAnsi" w:hAnsiTheme="minorHAnsi"/>
          <w:sz w:val="16"/>
          <w:szCs w:val="16"/>
        </w:rPr>
        <w:t>zakup, dostarczenie i składowanie potrzebnych materiałów,</w:t>
      </w:r>
    </w:p>
    <w:p w14:paraId="57B82A91" w14:textId="77777777" w:rsidR="00A279A2" w:rsidRPr="00021789" w:rsidRDefault="00A279A2" w:rsidP="002454DF">
      <w:pPr>
        <w:pStyle w:val="Pro-Inwest"/>
        <w:numPr>
          <w:ilvl w:val="0"/>
          <w:numId w:val="21"/>
        </w:numPr>
        <w:spacing w:line="240" w:lineRule="auto"/>
        <w:jc w:val="both"/>
        <w:rPr>
          <w:rFonts w:asciiTheme="minorHAnsi" w:hAnsiTheme="minorHAnsi"/>
          <w:sz w:val="16"/>
          <w:szCs w:val="16"/>
        </w:rPr>
      </w:pPr>
      <w:r w:rsidRPr="00021789">
        <w:rPr>
          <w:rFonts w:asciiTheme="minorHAnsi" w:hAnsiTheme="minorHAnsi"/>
          <w:sz w:val="16"/>
          <w:szCs w:val="16"/>
        </w:rPr>
        <w:t xml:space="preserve">koszt zapewnienia niezbędnych czynników produkcji, </w:t>
      </w:r>
    </w:p>
    <w:p w14:paraId="4F45D5EA" w14:textId="77777777" w:rsidR="00A279A2" w:rsidRPr="00021789" w:rsidRDefault="00A279A2" w:rsidP="002454DF">
      <w:pPr>
        <w:pStyle w:val="Pro-Inwest"/>
        <w:numPr>
          <w:ilvl w:val="0"/>
          <w:numId w:val="20"/>
        </w:numPr>
        <w:spacing w:line="240" w:lineRule="auto"/>
        <w:jc w:val="both"/>
        <w:rPr>
          <w:rFonts w:asciiTheme="minorHAnsi" w:hAnsiTheme="minorHAnsi"/>
          <w:sz w:val="16"/>
          <w:szCs w:val="16"/>
        </w:rPr>
      </w:pPr>
      <w:r w:rsidRPr="00021789">
        <w:rPr>
          <w:rFonts w:asciiTheme="minorHAnsi" w:hAnsiTheme="minorHAnsi"/>
          <w:sz w:val="16"/>
          <w:szCs w:val="16"/>
        </w:rPr>
        <w:t>sprawdzenie wyznaczenia punktów głównych osi trasy i punktów wysokościowych,</w:t>
      </w:r>
    </w:p>
    <w:p w14:paraId="452C58A9" w14:textId="77777777" w:rsidR="00A279A2" w:rsidRPr="00021789" w:rsidRDefault="00A279A2" w:rsidP="002454DF">
      <w:pPr>
        <w:pStyle w:val="Pro-Inwest"/>
        <w:numPr>
          <w:ilvl w:val="0"/>
          <w:numId w:val="20"/>
        </w:numPr>
        <w:spacing w:line="240" w:lineRule="auto"/>
        <w:jc w:val="both"/>
        <w:rPr>
          <w:rFonts w:asciiTheme="minorHAnsi" w:hAnsiTheme="minorHAnsi"/>
          <w:sz w:val="16"/>
          <w:szCs w:val="16"/>
        </w:rPr>
      </w:pPr>
      <w:r w:rsidRPr="00021789">
        <w:rPr>
          <w:rFonts w:asciiTheme="minorHAnsi" w:hAnsiTheme="minorHAnsi"/>
          <w:sz w:val="16"/>
          <w:szCs w:val="16"/>
        </w:rPr>
        <w:t>uzupełnienie osi trasy dodatkowymi punktami,</w:t>
      </w:r>
    </w:p>
    <w:p w14:paraId="51521F63" w14:textId="77777777" w:rsidR="00A279A2" w:rsidRPr="00021789" w:rsidRDefault="00A279A2" w:rsidP="002454DF">
      <w:pPr>
        <w:pStyle w:val="Pro-Inwest"/>
        <w:numPr>
          <w:ilvl w:val="0"/>
          <w:numId w:val="20"/>
        </w:numPr>
        <w:spacing w:line="240" w:lineRule="auto"/>
        <w:jc w:val="both"/>
        <w:rPr>
          <w:rFonts w:asciiTheme="minorHAnsi" w:hAnsiTheme="minorHAnsi"/>
          <w:sz w:val="16"/>
          <w:szCs w:val="16"/>
        </w:rPr>
      </w:pPr>
      <w:r w:rsidRPr="00021789">
        <w:rPr>
          <w:rFonts w:asciiTheme="minorHAnsi" w:hAnsiTheme="minorHAnsi"/>
          <w:sz w:val="16"/>
          <w:szCs w:val="16"/>
        </w:rPr>
        <w:t>wyznaczenie dodatkowych punktów wysokościowych,</w:t>
      </w:r>
    </w:p>
    <w:p w14:paraId="568B0A8E" w14:textId="77777777" w:rsidR="00A279A2" w:rsidRPr="00021789" w:rsidRDefault="00A279A2" w:rsidP="002454DF">
      <w:pPr>
        <w:pStyle w:val="Pro-Inwest"/>
        <w:numPr>
          <w:ilvl w:val="0"/>
          <w:numId w:val="20"/>
        </w:numPr>
        <w:spacing w:line="240" w:lineRule="auto"/>
        <w:jc w:val="both"/>
        <w:rPr>
          <w:rFonts w:asciiTheme="minorHAnsi" w:hAnsiTheme="minorHAnsi"/>
          <w:sz w:val="16"/>
          <w:szCs w:val="16"/>
        </w:rPr>
      </w:pPr>
      <w:r w:rsidRPr="00021789">
        <w:rPr>
          <w:rFonts w:asciiTheme="minorHAnsi" w:hAnsiTheme="minorHAnsi"/>
          <w:sz w:val="16"/>
          <w:szCs w:val="16"/>
        </w:rPr>
        <w:t>wyznaczenie przekrojów poprzecznych z ewentualnym wytyczeniem dodatkowych przekrojów,</w:t>
      </w:r>
    </w:p>
    <w:p w14:paraId="2F20D183" w14:textId="77777777" w:rsidR="00A279A2" w:rsidRPr="00021789" w:rsidRDefault="00A279A2" w:rsidP="002454DF">
      <w:pPr>
        <w:pStyle w:val="Pro-Inwest"/>
        <w:numPr>
          <w:ilvl w:val="0"/>
          <w:numId w:val="20"/>
        </w:numPr>
        <w:spacing w:line="240" w:lineRule="auto"/>
        <w:jc w:val="both"/>
        <w:rPr>
          <w:rFonts w:asciiTheme="minorHAnsi" w:hAnsiTheme="minorHAnsi"/>
          <w:sz w:val="16"/>
          <w:szCs w:val="16"/>
        </w:rPr>
      </w:pPr>
      <w:proofErr w:type="spellStart"/>
      <w:r w:rsidRPr="00021789">
        <w:rPr>
          <w:rFonts w:asciiTheme="minorHAnsi" w:hAnsiTheme="minorHAnsi"/>
          <w:sz w:val="16"/>
          <w:szCs w:val="16"/>
        </w:rPr>
        <w:t>zastabilizowanie</w:t>
      </w:r>
      <w:proofErr w:type="spellEnd"/>
      <w:r w:rsidRPr="00021789">
        <w:rPr>
          <w:rFonts w:asciiTheme="minorHAnsi" w:hAnsiTheme="minorHAnsi"/>
          <w:sz w:val="16"/>
          <w:szCs w:val="16"/>
        </w:rPr>
        <w:t xml:space="preserve"> punktów w sposób trwały, ochrona ich przed zniszczeniem i oznakowanie ułatwiające odszukanie i ewentualne odtworzenie.</w:t>
      </w:r>
    </w:p>
    <w:p w14:paraId="191265F5" w14:textId="77777777" w:rsidR="00A279A2" w:rsidRPr="00021789" w:rsidRDefault="00A279A2" w:rsidP="00EC7F08">
      <w:pPr>
        <w:pStyle w:val="Pro-Inwest"/>
        <w:spacing w:line="240" w:lineRule="auto"/>
        <w:jc w:val="both"/>
        <w:rPr>
          <w:rFonts w:asciiTheme="minorHAnsi" w:hAnsiTheme="minorHAnsi"/>
          <w:sz w:val="16"/>
          <w:szCs w:val="16"/>
        </w:rPr>
      </w:pPr>
      <w:r w:rsidRPr="00021789">
        <w:rPr>
          <w:rFonts w:asciiTheme="minorHAnsi" w:hAnsiTheme="minorHAnsi"/>
          <w:sz w:val="16"/>
          <w:szCs w:val="16"/>
        </w:rPr>
        <w:t>Płatność robót związanych z wyznaczeniem obiektów mostowych jest ujęta w koszcie robót mostowych.</w:t>
      </w:r>
    </w:p>
    <w:p w14:paraId="71DE39E6" w14:textId="77777777" w:rsidR="00A279A2" w:rsidRPr="00021789" w:rsidRDefault="00A279A2" w:rsidP="00EC7F08">
      <w:pPr>
        <w:pStyle w:val="Pro-Inwest"/>
        <w:spacing w:line="240" w:lineRule="auto"/>
        <w:jc w:val="both"/>
        <w:rPr>
          <w:rFonts w:asciiTheme="minorHAnsi" w:hAnsiTheme="minorHAnsi"/>
          <w:sz w:val="16"/>
          <w:szCs w:val="16"/>
        </w:rPr>
      </w:pPr>
    </w:p>
    <w:p w14:paraId="75601AD9" w14:textId="77777777" w:rsidR="00A279A2" w:rsidRPr="00021789" w:rsidRDefault="00A279A2" w:rsidP="00EC7F08">
      <w:pPr>
        <w:pStyle w:val="Pro-Inwest"/>
        <w:spacing w:line="240" w:lineRule="auto"/>
        <w:jc w:val="both"/>
        <w:rPr>
          <w:rFonts w:asciiTheme="minorHAnsi" w:hAnsiTheme="minorHAnsi"/>
          <w:b/>
          <w:sz w:val="16"/>
          <w:szCs w:val="16"/>
        </w:rPr>
      </w:pPr>
      <w:r w:rsidRPr="00021789">
        <w:rPr>
          <w:rFonts w:asciiTheme="minorHAnsi" w:hAnsiTheme="minorHAnsi"/>
          <w:b/>
          <w:sz w:val="16"/>
          <w:szCs w:val="16"/>
        </w:rPr>
        <w:t>10. PRZEPISY ZWIĄZANE</w:t>
      </w:r>
    </w:p>
    <w:p w14:paraId="02F2DF10" w14:textId="77777777" w:rsidR="00A279A2" w:rsidRPr="00021789" w:rsidRDefault="00A279A2" w:rsidP="002454DF">
      <w:pPr>
        <w:pStyle w:val="Pro-Inwest"/>
        <w:numPr>
          <w:ilvl w:val="0"/>
          <w:numId w:val="22"/>
        </w:numPr>
        <w:spacing w:line="240" w:lineRule="auto"/>
        <w:jc w:val="both"/>
        <w:rPr>
          <w:rFonts w:asciiTheme="minorHAnsi" w:hAnsiTheme="minorHAnsi"/>
          <w:sz w:val="16"/>
          <w:szCs w:val="16"/>
        </w:rPr>
      </w:pPr>
      <w:r w:rsidRPr="00021789">
        <w:rPr>
          <w:rFonts w:asciiTheme="minorHAnsi" w:hAnsiTheme="minorHAnsi"/>
          <w:sz w:val="16"/>
          <w:szCs w:val="16"/>
        </w:rPr>
        <w:t>Instrukcja techniczna 0-1. Ogólne zasady wykonywania prac geodezyjnych.</w:t>
      </w:r>
    </w:p>
    <w:p w14:paraId="3A640F67" w14:textId="77777777" w:rsidR="00A279A2" w:rsidRPr="00021789" w:rsidRDefault="00A279A2" w:rsidP="002454DF">
      <w:pPr>
        <w:pStyle w:val="Pro-Inwest"/>
        <w:numPr>
          <w:ilvl w:val="0"/>
          <w:numId w:val="22"/>
        </w:numPr>
        <w:spacing w:line="240" w:lineRule="auto"/>
        <w:jc w:val="both"/>
        <w:rPr>
          <w:rFonts w:asciiTheme="minorHAnsi" w:hAnsiTheme="minorHAnsi"/>
          <w:sz w:val="16"/>
          <w:szCs w:val="16"/>
        </w:rPr>
      </w:pPr>
      <w:r w:rsidRPr="00021789">
        <w:rPr>
          <w:rFonts w:asciiTheme="minorHAnsi" w:hAnsiTheme="minorHAnsi"/>
          <w:sz w:val="16"/>
          <w:szCs w:val="16"/>
        </w:rPr>
        <w:t>Instrukcja techniczna G-3. Geodezyjna obsługa inwestycji, Główny Urząd Geodezji i Kartografii, Warszawa 1979.</w:t>
      </w:r>
    </w:p>
    <w:p w14:paraId="2BAFAACD" w14:textId="77777777" w:rsidR="00A279A2" w:rsidRPr="00021789" w:rsidRDefault="00A279A2" w:rsidP="002454DF">
      <w:pPr>
        <w:pStyle w:val="Pro-Inwest"/>
        <w:numPr>
          <w:ilvl w:val="0"/>
          <w:numId w:val="22"/>
        </w:numPr>
        <w:spacing w:line="240" w:lineRule="auto"/>
        <w:jc w:val="both"/>
        <w:rPr>
          <w:rFonts w:asciiTheme="minorHAnsi" w:hAnsiTheme="minorHAnsi"/>
          <w:sz w:val="16"/>
          <w:szCs w:val="16"/>
        </w:rPr>
      </w:pPr>
      <w:r w:rsidRPr="00021789">
        <w:rPr>
          <w:rFonts w:asciiTheme="minorHAnsi" w:hAnsiTheme="minorHAnsi"/>
          <w:sz w:val="16"/>
          <w:szCs w:val="16"/>
        </w:rPr>
        <w:t xml:space="preserve">Instrukcja techniczna G-1. Geodezyjna osnowa pozioma, </w:t>
      </w:r>
      <w:proofErr w:type="spellStart"/>
      <w:r w:rsidRPr="00021789">
        <w:rPr>
          <w:rFonts w:asciiTheme="minorHAnsi" w:hAnsiTheme="minorHAnsi"/>
          <w:sz w:val="16"/>
          <w:szCs w:val="16"/>
        </w:rPr>
        <w:t>GUGiK</w:t>
      </w:r>
      <w:proofErr w:type="spellEnd"/>
      <w:r w:rsidRPr="00021789">
        <w:rPr>
          <w:rFonts w:asciiTheme="minorHAnsi" w:hAnsiTheme="minorHAnsi"/>
          <w:sz w:val="16"/>
          <w:szCs w:val="16"/>
        </w:rPr>
        <w:t xml:space="preserve"> 1978.</w:t>
      </w:r>
    </w:p>
    <w:p w14:paraId="0D3856CA" w14:textId="77777777" w:rsidR="00A279A2" w:rsidRPr="00021789" w:rsidRDefault="00A279A2" w:rsidP="002454DF">
      <w:pPr>
        <w:pStyle w:val="Pro-Inwest"/>
        <w:numPr>
          <w:ilvl w:val="0"/>
          <w:numId w:val="22"/>
        </w:numPr>
        <w:spacing w:line="240" w:lineRule="auto"/>
        <w:jc w:val="both"/>
        <w:rPr>
          <w:rFonts w:asciiTheme="minorHAnsi" w:hAnsiTheme="minorHAnsi"/>
          <w:sz w:val="16"/>
          <w:szCs w:val="16"/>
        </w:rPr>
      </w:pPr>
      <w:r w:rsidRPr="00021789">
        <w:rPr>
          <w:rFonts w:asciiTheme="minorHAnsi" w:hAnsiTheme="minorHAnsi"/>
          <w:sz w:val="16"/>
          <w:szCs w:val="16"/>
        </w:rPr>
        <w:t xml:space="preserve">Instrukcja techniczna G-2. Wysokościowa osnowa geodezyjna, </w:t>
      </w:r>
      <w:proofErr w:type="spellStart"/>
      <w:r w:rsidRPr="00021789">
        <w:rPr>
          <w:rFonts w:asciiTheme="minorHAnsi" w:hAnsiTheme="minorHAnsi"/>
          <w:sz w:val="16"/>
          <w:szCs w:val="16"/>
        </w:rPr>
        <w:t>GUGiK</w:t>
      </w:r>
      <w:proofErr w:type="spellEnd"/>
      <w:r w:rsidRPr="00021789">
        <w:rPr>
          <w:rFonts w:asciiTheme="minorHAnsi" w:hAnsiTheme="minorHAnsi"/>
          <w:sz w:val="16"/>
          <w:szCs w:val="16"/>
        </w:rPr>
        <w:t xml:space="preserve"> 1983.</w:t>
      </w:r>
    </w:p>
    <w:p w14:paraId="45662E77" w14:textId="77777777" w:rsidR="00A279A2" w:rsidRPr="00021789" w:rsidRDefault="00A279A2" w:rsidP="002454DF">
      <w:pPr>
        <w:pStyle w:val="Pro-Inwest"/>
        <w:numPr>
          <w:ilvl w:val="0"/>
          <w:numId w:val="22"/>
        </w:numPr>
        <w:spacing w:line="240" w:lineRule="auto"/>
        <w:jc w:val="both"/>
        <w:rPr>
          <w:rFonts w:asciiTheme="minorHAnsi" w:hAnsiTheme="minorHAnsi"/>
          <w:sz w:val="16"/>
          <w:szCs w:val="16"/>
        </w:rPr>
      </w:pPr>
      <w:r w:rsidRPr="00021789">
        <w:rPr>
          <w:rFonts w:asciiTheme="minorHAnsi" w:hAnsiTheme="minorHAnsi"/>
          <w:sz w:val="16"/>
          <w:szCs w:val="16"/>
        </w:rPr>
        <w:t xml:space="preserve">Instrukcja techniczna G-4. Pomiary sytuacyjne i wysokościowe, </w:t>
      </w:r>
      <w:proofErr w:type="spellStart"/>
      <w:r w:rsidRPr="00021789">
        <w:rPr>
          <w:rFonts w:asciiTheme="minorHAnsi" w:hAnsiTheme="minorHAnsi"/>
          <w:sz w:val="16"/>
          <w:szCs w:val="16"/>
        </w:rPr>
        <w:t>GUGiK</w:t>
      </w:r>
      <w:proofErr w:type="spellEnd"/>
      <w:r w:rsidRPr="00021789">
        <w:rPr>
          <w:rFonts w:asciiTheme="minorHAnsi" w:hAnsiTheme="minorHAnsi"/>
          <w:sz w:val="16"/>
          <w:szCs w:val="16"/>
        </w:rPr>
        <w:t xml:space="preserve"> 1979.</w:t>
      </w:r>
    </w:p>
    <w:p w14:paraId="7C117613" w14:textId="77777777" w:rsidR="00A279A2" w:rsidRPr="00021789" w:rsidRDefault="00A279A2" w:rsidP="002454DF">
      <w:pPr>
        <w:pStyle w:val="Pro-Inwest"/>
        <w:numPr>
          <w:ilvl w:val="0"/>
          <w:numId w:val="22"/>
        </w:numPr>
        <w:spacing w:line="240" w:lineRule="auto"/>
        <w:jc w:val="both"/>
        <w:rPr>
          <w:rFonts w:asciiTheme="minorHAnsi" w:hAnsiTheme="minorHAnsi"/>
          <w:sz w:val="16"/>
          <w:szCs w:val="16"/>
        </w:rPr>
      </w:pPr>
      <w:r w:rsidRPr="00021789">
        <w:rPr>
          <w:rFonts w:asciiTheme="minorHAnsi" w:hAnsiTheme="minorHAnsi"/>
          <w:sz w:val="16"/>
          <w:szCs w:val="16"/>
        </w:rPr>
        <w:t xml:space="preserve">Wytyczne techniczne G-3.2. Pomiary realizacyjne, </w:t>
      </w:r>
      <w:proofErr w:type="spellStart"/>
      <w:r w:rsidRPr="00021789">
        <w:rPr>
          <w:rFonts w:asciiTheme="minorHAnsi" w:hAnsiTheme="minorHAnsi"/>
          <w:sz w:val="16"/>
          <w:szCs w:val="16"/>
        </w:rPr>
        <w:t>GUGiK</w:t>
      </w:r>
      <w:proofErr w:type="spellEnd"/>
      <w:r w:rsidRPr="00021789">
        <w:rPr>
          <w:rFonts w:asciiTheme="minorHAnsi" w:hAnsiTheme="minorHAnsi"/>
          <w:sz w:val="16"/>
          <w:szCs w:val="16"/>
        </w:rPr>
        <w:t xml:space="preserve"> 1983.</w:t>
      </w:r>
    </w:p>
    <w:p w14:paraId="44EBB7DB" w14:textId="77777777" w:rsidR="00A279A2" w:rsidRPr="00021789" w:rsidRDefault="00A279A2" w:rsidP="002454DF">
      <w:pPr>
        <w:pStyle w:val="Pro-Inwest"/>
        <w:numPr>
          <w:ilvl w:val="0"/>
          <w:numId w:val="22"/>
        </w:numPr>
        <w:spacing w:line="240" w:lineRule="auto"/>
        <w:jc w:val="both"/>
        <w:rPr>
          <w:rFonts w:asciiTheme="minorHAnsi" w:hAnsiTheme="minorHAnsi"/>
          <w:sz w:val="16"/>
          <w:szCs w:val="16"/>
        </w:rPr>
      </w:pPr>
      <w:r w:rsidRPr="00021789">
        <w:rPr>
          <w:rFonts w:asciiTheme="minorHAnsi" w:hAnsiTheme="minorHAnsi"/>
          <w:sz w:val="16"/>
          <w:szCs w:val="16"/>
        </w:rPr>
        <w:t xml:space="preserve">Wytyczne techniczne G-3.1. Osnowy realizacyjne, </w:t>
      </w:r>
      <w:proofErr w:type="spellStart"/>
      <w:r w:rsidRPr="00021789">
        <w:rPr>
          <w:rFonts w:asciiTheme="minorHAnsi" w:hAnsiTheme="minorHAnsi"/>
          <w:sz w:val="16"/>
          <w:szCs w:val="16"/>
        </w:rPr>
        <w:t>GUGiK</w:t>
      </w:r>
      <w:proofErr w:type="spellEnd"/>
      <w:r w:rsidRPr="00021789">
        <w:rPr>
          <w:rFonts w:asciiTheme="minorHAnsi" w:hAnsiTheme="minorHAnsi"/>
          <w:sz w:val="16"/>
          <w:szCs w:val="16"/>
        </w:rPr>
        <w:t xml:space="preserve"> 1983.</w:t>
      </w:r>
    </w:p>
    <w:p w14:paraId="21F91744" w14:textId="77777777" w:rsidR="00686DA2" w:rsidRPr="00021789" w:rsidRDefault="00686DA2" w:rsidP="00BD693A">
      <w:pPr>
        <w:pStyle w:val="Pro-Inwest"/>
        <w:spacing w:line="240" w:lineRule="auto"/>
        <w:jc w:val="both"/>
        <w:rPr>
          <w:rFonts w:asciiTheme="minorHAnsi" w:hAnsiTheme="minorHAnsi"/>
          <w:sz w:val="16"/>
          <w:szCs w:val="16"/>
        </w:rPr>
      </w:pPr>
    </w:p>
    <w:p w14:paraId="6BFE42D9" w14:textId="77777777" w:rsidR="004F51CC" w:rsidRPr="00021789" w:rsidRDefault="004F51CC" w:rsidP="00BD693A">
      <w:pPr>
        <w:pStyle w:val="Pro-Inwest"/>
        <w:spacing w:line="240" w:lineRule="auto"/>
        <w:jc w:val="both"/>
        <w:rPr>
          <w:rFonts w:asciiTheme="minorHAnsi" w:hAnsiTheme="minorHAnsi"/>
          <w:sz w:val="16"/>
          <w:szCs w:val="16"/>
        </w:rPr>
      </w:pPr>
    </w:p>
    <w:p w14:paraId="1457730C" w14:textId="77777777" w:rsidR="004F51CC" w:rsidRPr="00021789" w:rsidRDefault="004F51CC" w:rsidP="00BD693A">
      <w:pPr>
        <w:pStyle w:val="Pro-Inwest"/>
        <w:spacing w:line="240" w:lineRule="auto"/>
        <w:jc w:val="both"/>
        <w:rPr>
          <w:rFonts w:asciiTheme="minorHAnsi" w:hAnsiTheme="minorHAnsi"/>
          <w:sz w:val="16"/>
          <w:szCs w:val="16"/>
        </w:rPr>
      </w:pPr>
    </w:p>
    <w:p w14:paraId="79E562B5" w14:textId="77777777" w:rsidR="004F51CC" w:rsidRPr="00021789" w:rsidRDefault="004F51CC" w:rsidP="00BD693A">
      <w:pPr>
        <w:pStyle w:val="Pro-Inwest"/>
        <w:spacing w:line="240" w:lineRule="auto"/>
        <w:jc w:val="both"/>
        <w:rPr>
          <w:rFonts w:asciiTheme="minorHAnsi" w:hAnsiTheme="minorHAnsi"/>
          <w:sz w:val="16"/>
          <w:szCs w:val="16"/>
        </w:rPr>
      </w:pPr>
    </w:p>
    <w:p w14:paraId="7008A14D" w14:textId="77777777" w:rsidR="004F51CC" w:rsidRPr="00021789" w:rsidRDefault="004F51CC" w:rsidP="00BD693A">
      <w:pPr>
        <w:pStyle w:val="Pro-Inwest"/>
        <w:spacing w:line="240" w:lineRule="auto"/>
        <w:jc w:val="both"/>
        <w:rPr>
          <w:rFonts w:asciiTheme="minorHAnsi" w:hAnsiTheme="minorHAnsi"/>
          <w:sz w:val="16"/>
          <w:szCs w:val="16"/>
        </w:rPr>
      </w:pPr>
    </w:p>
    <w:p w14:paraId="16210860" w14:textId="77777777" w:rsidR="004F51CC" w:rsidRPr="00021789" w:rsidRDefault="004F51CC" w:rsidP="00BD693A">
      <w:pPr>
        <w:pStyle w:val="Pro-Inwest"/>
        <w:spacing w:line="240" w:lineRule="auto"/>
        <w:jc w:val="both"/>
        <w:rPr>
          <w:rFonts w:asciiTheme="minorHAnsi" w:hAnsiTheme="minorHAnsi"/>
          <w:sz w:val="16"/>
          <w:szCs w:val="16"/>
        </w:rPr>
      </w:pPr>
    </w:p>
    <w:p w14:paraId="0C4B1907" w14:textId="77777777" w:rsidR="004F51CC" w:rsidRPr="00021789" w:rsidRDefault="004F51CC" w:rsidP="00BD693A">
      <w:pPr>
        <w:pStyle w:val="Pro-Inwest"/>
        <w:spacing w:line="240" w:lineRule="auto"/>
        <w:jc w:val="both"/>
        <w:rPr>
          <w:rFonts w:asciiTheme="minorHAnsi" w:hAnsiTheme="minorHAnsi"/>
          <w:sz w:val="16"/>
          <w:szCs w:val="16"/>
        </w:rPr>
      </w:pPr>
    </w:p>
    <w:p w14:paraId="380BE654" w14:textId="77777777" w:rsidR="004F51CC" w:rsidRPr="00021789" w:rsidRDefault="004F51CC" w:rsidP="00BD693A">
      <w:pPr>
        <w:pStyle w:val="Pro-Inwest"/>
        <w:spacing w:line="240" w:lineRule="auto"/>
        <w:jc w:val="both"/>
        <w:rPr>
          <w:rFonts w:asciiTheme="minorHAnsi" w:hAnsiTheme="minorHAnsi"/>
          <w:sz w:val="16"/>
          <w:szCs w:val="16"/>
        </w:rPr>
      </w:pPr>
    </w:p>
    <w:p w14:paraId="3B8FF49D" w14:textId="77777777" w:rsidR="004F51CC" w:rsidRPr="00021789" w:rsidRDefault="004F51CC" w:rsidP="00BD693A">
      <w:pPr>
        <w:pStyle w:val="Pro-Inwest"/>
        <w:spacing w:line="240" w:lineRule="auto"/>
        <w:jc w:val="both"/>
        <w:rPr>
          <w:rFonts w:asciiTheme="minorHAnsi" w:hAnsiTheme="minorHAnsi"/>
          <w:sz w:val="16"/>
          <w:szCs w:val="16"/>
        </w:rPr>
      </w:pPr>
    </w:p>
    <w:p w14:paraId="1CA80B8C" w14:textId="77777777" w:rsidR="004F51CC" w:rsidRPr="00021789" w:rsidRDefault="004F51CC" w:rsidP="00BD693A">
      <w:pPr>
        <w:pStyle w:val="Pro-Inwest"/>
        <w:spacing w:line="240" w:lineRule="auto"/>
        <w:jc w:val="both"/>
        <w:rPr>
          <w:rFonts w:asciiTheme="minorHAnsi" w:hAnsiTheme="minorHAnsi"/>
          <w:sz w:val="16"/>
          <w:szCs w:val="16"/>
        </w:rPr>
      </w:pPr>
    </w:p>
    <w:p w14:paraId="75CFAB89" w14:textId="77777777" w:rsidR="004F51CC" w:rsidRPr="00021789" w:rsidRDefault="004F51CC" w:rsidP="00BD693A">
      <w:pPr>
        <w:pStyle w:val="Pro-Inwest"/>
        <w:spacing w:line="240" w:lineRule="auto"/>
        <w:jc w:val="both"/>
        <w:rPr>
          <w:rFonts w:asciiTheme="minorHAnsi" w:hAnsiTheme="minorHAnsi"/>
          <w:sz w:val="16"/>
          <w:szCs w:val="16"/>
        </w:rPr>
      </w:pPr>
    </w:p>
    <w:p w14:paraId="3AF49105" w14:textId="77777777" w:rsidR="004F51CC" w:rsidRPr="00021789" w:rsidRDefault="004F51CC" w:rsidP="00BD693A">
      <w:pPr>
        <w:pStyle w:val="Pro-Inwest"/>
        <w:spacing w:line="240" w:lineRule="auto"/>
        <w:jc w:val="both"/>
        <w:rPr>
          <w:rFonts w:asciiTheme="minorHAnsi" w:hAnsiTheme="minorHAnsi"/>
          <w:sz w:val="16"/>
          <w:szCs w:val="16"/>
        </w:rPr>
      </w:pPr>
    </w:p>
    <w:p w14:paraId="536C362C" w14:textId="77777777" w:rsidR="004F51CC" w:rsidRPr="00021789" w:rsidRDefault="004F51CC" w:rsidP="00BD693A">
      <w:pPr>
        <w:pStyle w:val="Pro-Inwest"/>
        <w:spacing w:line="240" w:lineRule="auto"/>
        <w:jc w:val="both"/>
        <w:rPr>
          <w:rFonts w:asciiTheme="minorHAnsi" w:hAnsiTheme="minorHAnsi"/>
          <w:sz w:val="16"/>
          <w:szCs w:val="16"/>
        </w:rPr>
      </w:pPr>
    </w:p>
    <w:p w14:paraId="79670927" w14:textId="77777777" w:rsidR="004F51CC" w:rsidRPr="00021789" w:rsidRDefault="004F51CC" w:rsidP="00BD693A">
      <w:pPr>
        <w:pStyle w:val="Pro-Inwest"/>
        <w:spacing w:line="240" w:lineRule="auto"/>
        <w:jc w:val="both"/>
        <w:rPr>
          <w:rFonts w:asciiTheme="minorHAnsi" w:hAnsiTheme="minorHAnsi"/>
          <w:sz w:val="16"/>
          <w:szCs w:val="16"/>
        </w:rPr>
      </w:pPr>
    </w:p>
    <w:p w14:paraId="00D70ED7" w14:textId="77777777" w:rsidR="004F51CC" w:rsidRPr="00021789" w:rsidRDefault="004F51CC" w:rsidP="00BD693A">
      <w:pPr>
        <w:pStyle w:val="Pro-Inwest"/>
        <w:spacing w:line="240" w:lineRule="auto"/>
        <w:jc w:val="both"/>
        <w:rPr>
          <w:rFonts w:asciiTheme="minorHAnsi" w:hAnsiTheme="minorHAnsi"/>
          <w:sz w:val="16"/>
          <w:szCs w:val="16"/>
        </w:rPr>
      </w:pPr>
    </w:p>
    <w:p w14:paraId="5560F059" w14:textId="77777777" w:rsidR="004F51CC" w:rsidRPr="00021789" w:rsidRDefault="004F51CC" w:rsidP="00BD693A">
      <w:pPr>
        <w:pStyle w:val="Pro-Inwest"/>
        <w:spacing w:line="240" w:lineRule="auto"/>
        <w:jc w:val="both"/>
        <w:rPr>
          <w:rFonts w:asciiTheme="minorHAnsi" w:hAnsiTheme="minorHAnsi"/>
          <w:sz w:val="16"/>
          <w:szCs w:val="16"/>
        </w:rPr>
      </w:pPr>
    </w:p>
    <w:p w14:paraId="02F1608D" w14:textId="77777777" w:rsidR="004F51CC" w:rsidRPr="00021789" w:rsidRDefault="004F51CC" w:rsidP="00BD693A">
      <w:pPr>
        <w:pStyle w:val="Pro-Inwest"/>
        <w:spacing w:line="240" w:lineRule="auto"/>
        <w:jc w:val="both"/>
        <w:rPr>
          <w:rFonts w:asciiTheme="minorHAnsi" w:hAnsiTheme="minorHAnsi"/>
          <w:sz w:val="16"/>
          <w:szCs w:val="16"/>
        </w:rPr>
      </w:pPr>
    </w:p>
    <w:p w14:paraId="0111B47A" w14:textId="77777777" w:rsidR="004F51CC" w:rsidRPr="00021789" w:rsidRDefault="004F51CC" w:rsidP="00BD693A">
      <w:pPr>
        <w:pStyle w:val="Pro-Inwest"/>
        <w:spacing w:line="240" w:lineRule="auto"/>
        <w:jc w:val="both"/>
        <w:rPr>
          <w:rFonts w:asciiTheme="minorHAnsi" w:hAnsiTheme="minorHAnsi"/>
          <w:sz w:val="16"/>
          <w:szCs w:val="16"/>
        </w:rPr>
      </w:pPr>
    </w:p>
    <w:p w14:paraId="1F456918" w14:textId="77777777" w:rsidR="004F51CC" w:rsidRPr="00021789" w:rsidRDefault="004F51CC" w:rsidP="00BD693A">
      <w:pPr>
        <w:pStyle w:val="Pro-Inwest"/>
        <w:spacing w:line="240" w:lineRule="auto"/>
        <w:jc w:val="both"/>
        <w:rPr>
          <w:rFonts w:asciiTheme="minorHAnsi" w:hAnsiTheme="minorHAnsi"/>
          <w:sz w:val="16"/>
          <w:szCs w:val="16"/>
        </w:rPr>
      </w:pPr>
    </w:p>
    <w:p w14:paraId="44DD6DBE" w14:textId="77777777" w:rsidR="004F51CC" w:rsidRPr="00021789" w:rsidRDefault="004F51CC" w:rsidP="00BD693A">
      <w:pPr>
        <w:pStyle w:val="Pro-Inwest"/>
        <w:spacing w:line="240" w:lineRule="auto"/>
        <w:jc w:val="both"/>
        <w:rPr>
          <w:rFonts w:asciiTheme="minorHAnsi" w:hAnsiTheme="minorHAnsi"/>
          <w:sz w:val="16"/>
          <w:szCs w:val="16"/>
        </w:rPr>
      </w:pPr>
    </w:p>
    <w:p w14:paraId="7DC7E946" w14:textId="77777777" w:rsidR="004F51CC" w:rsidRPr="00021789" w:rsidRDefault="004F51CC" w:rsidP="00BD693A">
      <w:pPr>
        <w:pStyle w:val="Pro-Inwest"/>
        <w:spacing w:line="240" w:lineRule="auto"/>
        <w:jc w:val="both"/>
        <w:rPr>
          <w:rFonts w:asciiTheme="minorHAnsi" w:hAnsiTheme="minorHAnsi"/>
          <w:sz w:val="16"/>
          <w:szCs w:val="16"/>
        </w:rPr>
      </w:pPr>
    </w:p>
    <w:p w14:paraId="794D2374" w14:textId="77777777" w:rsidR="004F51CC" w:rsidRPr="00021789" w:rsidRDefault="004F51CC" w:rsidP="00BD693A">
      <w:pPr>
        <w:pStyle w:val="Pro-Inwest"/>
        <w:spacing w:line="240" w:lineRule="auto"/>
        <w:jc w:val="both"/>
        <w:rPr>
          <w:rFonts w:asciiTheme="minorHAnsi" w:hAnsiTheme="minorHAnsi"/>
          <w:sz w:val="16"/>
          <w:szCs w:val="16"/>
        </w:rPr>
      </w:pPr>
    </w:p>
    <w:p w14:paraId="1F561141" w14:textId="77777777" w:rsidR="004F51CC" w:rsidRPr="00021789" w:rsidRDefault="004F51CC" w:rsidP="00BD693A">
      <w:pPr>
        <w:pStyle w:val="Pro-Inwest"/>
        <w:spacing w:line="240" w:lineRule="auto"/>
        <w:jc w:val="both"/>
        <w:rPr>
          <w:rFonts w:asciiTheme="minorHAnsi" w:hAnsiTheme="minorHAnsi"/>
          <w:sz w:val="16"/>
          <w:szCs w:val="16"/>
        </w:rPr>
      </w:pPr>
    </w:p>
    <w:p w14:paraId="43E0A4AF" w14:textId="77777777" w:rsidR="004F51CC" w:rsidRPr="00021789" w:rsidRDefault="004F51CC" w:rsidP="00BD693A">
      <w:pPr>
        <w:pStyle w:val="Pro-Inwest"/>
        <w:spacing w:line="240" w:lineRule="auto"/>
        <w:jc w:val="both"/>
        <w:rPr>
          <w:rFonts w:asciiTheme="minorHAnsi" w:hAnsiTheme="minorHAnsi"/>
          <w:sz w:val="16"/>
          <w:szCs w:val="16"/>
        </w:rPr>
      </w:pPr>
    </w:p>
    <w:p w14:paraId="1C1A9EA6" w14:textId="77777777" w:rsidR="004F51CC" w:rsidRPr="00021789" w:rsidRDefault="004F51CC" w:rsidP="00BD693A">
      <w:pPr>
        <w:pStyle w:val="Pro-Inwest"/>
        <w:spacing w:line="240" w:lineRule="auto"/>
        <w:jc w:val="both"/>
        <w:rPr>
          <w:rFonts w:asciiTheme="minorHAnsi" w:hAnsiTheme="minorHAnsi"/>
          <w:sz w:val="16"/>
          <w:szCs w:val="16"/>
        </w:rPr>
      </w:pPr>
    </w:p>
    <w:p w14:paraId="44450E50" w14:textId="77777777" w:rsidR="004F51CC" w:rsidRPr="00021789" w:rsidRDefault="004F51CC" w:rsidP="00BD693A">
      <w:pPr>
        <w:pStyle w:val="Pro-Inwest"/>
        <w:spacing w:line="240" w:lineRule="auto"/>
        <w:jc w:val="both"/>
        <w:rPr>
          <w:rFonts w:asciiTheme="minorHAnsi" w:hAnsiTheme="minorHAnsi"/>
          <w:sz w:val="16"/>
          <w:szCs w:val="16"/>
        </w:rPr>
      </w:pPr>
    </w:p>
    <w:p w14:paraId="2842DBE5" w14:textId="77777777" w:rsidR="004F51CC" w:rsidRPr="00021789" w:rsidRDefault="004F51CC" w:rsidP="00BD693A">
      <w:pPr>
        <w:pStyle w:val="Pro-Inwest"/>
        <w:spacing w:line="240" w:lineRule="auto"/>
        <w:jc w:val="both"/>
        <w:rPr>
          <w:rFonts w:asciiTheme="minorHAnsi" w:hAnsiTheme="minorHAnsi"/>
          <w:sz w:val="16"/>
          <w:szCs w:val="16"/>
        </w:rPr>
      </w:pPr>
    </w:p>
    <w:p w14:paraId="27FAA8F3" w14:textId="77777777" w:rsidR="004F51CC" w:rsidRPr="00021789" w:rsidRDefault="004F51CC" w:rsidP="00BD693A">
      <w:pPr>
        <w:pStyle w:val="Pro-Inwest"/>
        <w:spacing w:line="240" w:lineRule="auto"/>
        <w:jc w:val="both"/>
        <w:rPr>
          <w:rFonts w:asciiTheme="minorHAnsi" w:hAnsiTheme="minorHAnsi"/>
          <w:sz w:val="16"/>
          <w:szCs w:val="16"/>
        </w:rPr>
      </w:pPr>
    </w:p>
    <w:p w14:paraId="56303410" w14:textId="77777777" w:rsidR="004F51CC" w:rsidRPr="00021789" w:rsidRDefault="004F51CC" w:rsidP="00BD693A">
      <w:pPr>
        <w:pStyle w:val="Pro-Inwest"/>
        <w:spacing w:line="240" w:lineRule="auto"/>
        <w:jc w:val="both"/>
        <w:rPr>
          <w:rFonts w:asciiTheme="minorHAnsi" w:hAnsiTheme="minorHAnsi"/>
          <w:sz w:val="16"/>
          <w:szCs w:val="16"/>
        </w:rPr>
      </w:pPr>
    </w:p>
    <w:p w14:paraId="124A3616" w14:textId="77777777" w:rsidR="004F51CC" w:rsidRPr="00021789" w:rsidRDefault="004F51CC" w:rsidP="00BD693A">
      <w:pPr>
        <w:pStyle w:val="Pro-Inwest"/>
        <w:spacing w:line="240" w:lineRule="auto"/>
        <w:jc w:val="both"/>
        <w:rPr>
          <w:rFonts w:asciiTheme="minorHAnsi" w:hAnsiTheme="minorHAnsi"/>
          <w:sz w:val="16"/>
          <w:szCs w:val="16"/>
        </w:rPr>
      </w:pPr>
    </w:p>
    <w:p w14:paraId="4409AF87" w14:textId="77777777" w:rsidR="004F51CC" w:rsidRPr="00021789" w:rsidRDefault="004F51CC" w:rsidP="00BD693A">
      <w:pPr>
        <w:pStyle w:val="Pro-Inwest"/>
        <w:spacing w:line="240" w:lineRule="auto"/>
        <w:jc w:val="both"/>
        <w:rPr>
          <w:rFonts w:asciiTheme="minorHAnsi" w:hAnsiTheme="minorHAnsi"/>
          <w:sz w:val="16"/>
          <w:szCs w:val="16"/>
        </w:rPr>
      </w:pPr>
    </w:p>
    <w:p w14:paraId="429F9719" w14:textId="77777777" w:rsidR="004F51CC" w:rsidRPr="00021789" w:rsidRDefault="004F51CC" w:rsidP="00BD693A">
      <w:pPr>
        <w:pStyle w:val="Pro-Inwest"/>
        <w:spacing w:line="240" w:lineRule="auto"/>
        <w:jc w:val="both"/>
        <w:rPr>
          <w:rFonts w:asciiTheme="minorHAnsi" w:hAnsiTheme="minorHAnsi"/>
          <w:sz w:val="16"/>
          <w:szCs w:val="16"/>
        </w:rPr>
      </w:pPr>
    </w:p>
    <w:p w14:paraId="7F7477BD" w14:textId="77777777" w:rsidR="004F51CC" w:rsidRPr="00021789" w:rsidRDefault="004F51CC" w:rsidP="00BD693A">
      <w:pPr>
        <w:pStyle w:val="Pro-Inwest"/>
        <w:spacing w:line="240" w:lineRule="auto"/>
        <w:jc w:val="both"/>
        <w:rPr>
          <w:rFonts w:asciiTheme="minorHAnsi" w:hAnsiTheme="minorHAnsi"/>
          <w:sz w:val="16"/>
          <w:szCs w:val="16"/>
        </w:rPr>
      </w:pPr>
    </w:p>
    <w:p w14:paraId="32228FD0" w14:textId="77777777" w:rsidR="004F51CC" w:rsidRPr="00021789" w:rsidRDefault="004F51CC" w:rsidP="00BD693A">
      <w:pPr>
        <w:pStyle w:val="Pro-Inwest"/>
        <w:spacing w:line="240" w:lineRule="auto"/>
        <w:jc w:val="both"/>
        <w:rPr>
          <w:rFonts w:asciiTheme="minorHAnsi" w:hAnsiTheme="minorHAnsi"/>
          <w:sz w:val="16"/>
          <w:szCs w:val="16"/>
        </w:rPr>
      </w:pPr>
    </w:p>
    <w:p w14:paraId="72F3E5AB" w14:textId="77777777" w:rsidR="004F51CC" w:rsidRPr="00021789" w:rsidRDefault="004F51CC" w:rsidP="00BD693A">
      <w:pPr>
        <w:pStyle w:val="Pro-Inwest"/>
        <w:spacing w:line="240" w:lineRule="auto"/>
        <w:jc w:val="both"/>
        <w:rPr>
          <w:rFonts w:asciiTheme="minorHAnsi" w:hAnsiTheme="minorHAnsi"/>
          <w:sz w:val="16"/>
          <w:szCs w:val="16"/>
        </w:rPr>
      </w:pPr>
    </w:p>
    <w:p w14:paraId="11BEB96D" w14:textId="77777777" w:rsidR="004F51CC" w:rsidRPr="00021789" w:rsidRDefault="004F51CC" w:rsidP="00BD693A">
      <w:pPr>
        <w:pStyle w:val="Pro-Inwest"/>
        <w:spacing w:line="240" w:lineRule="auto"/>
        <w:jc w:val="both"/>
        <w:rPr>
          <w:rFonts w:asciiTheme="minorHAnsi" w:hAnsiTheme="minorHAnsi"/>
          <w:sz w:val="16"/>
          <w:szCs w:val="16"/>
        </w:rPr>
      </w:pPr>
    </w:p>
    <w:p w14:paraId="5CDC3814" w14:textId="77777777" w:rsidR="004F51CC" w:rsidRPr="00021789" w:rsidRDefault="004F51CC" w:rsidP="00BD693A">
      <w:pPr>
        <w:pStyle w:val="Pro-Inwest"/>
        <w:spacing w:line="240" w:lineRule="auto"/>
        <w:jc w:val="both"/>
        <w:rPr>
          <w:rFonts w:asciiTheme="minorHAnsi" w:hAnsiTheme="minorHAnsi"/>
          <w:color w:val="FF0000"/>
          <w:sz w:val="16"/>
          <w:szCs w:val="16"/>
        </w:rPr>
      </w:pPr>
    </w:p>
    <w:p w14:paraId="07603AED" w14:textId="77777777" w:rsidR="004F51CC" w:rsidRPr="00021789" w:rsidRDefault="004F51CC" w:rsidP="00BD693A">
      <w:pPr>
        <w:pStyle w:val="Pro-Inwest"/>
        <w:spacing w:line="240" w:lineRule="auto"/>
        <w:jc w:val="both"/>
        <w:rPr>
          <w:rFonts w:asciiTheme="minorHAnsi" w:hAnsiTheme="minorHAnsi"/>
          <w:color w:val="FF0000"/>
          <w:sz w:val="16"/>
          <w:szCs w:val="16"/>
        </w:rPr>
      </w:pPr>
    </w:p>
    <w:p w14:paraId="11C1398B" w14:textId="77777777" w:rsidR="00CD0E13" w:rsidRPr="00021789" w:rsidRDefault="00CD0E13" w:rsidP="00BD693A">
      <w:pPr>
        <w:pStyle w:val="Pro-Inwest"/>
        <w:spacing w:line="240" w:lineRule="auto"/>
        <w:jc w:val="both"/>
        <w:rPr>
          <w:rFonts w:asciiTheme="minorHAnsi" w:hAnsiTheme="minorHAnsi"/>
          <w:color w:val="FF0000"/>
          <w:sz w:val="16"/>
          <w:szCs w:val="16"/>
        </w:rPr>
      </w:pPr>
    </w:p>
    <w:p w14:paraId="3CC939C0" w14:textId="77777777" w:rsidR="00CD0E13" w:rsidRPr="00021789" w:rsidRDefault="00CD0E13" w:rsidP="00BD693A">
      <w:pPr>
        <w:pStyle w:val="Pro-Inwest"/>
        <w:spacing w:line="240" w:lineRule="auto"/>
        <w:jc w:val="both"/>
        <w:rPr>
          <w:rFonts w:asciiTheme="minorHAnsi" w:hAnsiTheme="minorHAnsi"/>
          <w:color w:val="FF0000"/>
          <w:sz w:val="16"/>
          <w:szCs w:val="16"/>
        </w:rPr>
      </w:pPr>
    </w:p>
    <w:p w14:paraId="0EB953B1" w14:textId="77777777" w:rsidR="00CD0E13" w:rsidRPr="00021789" w:rsidRDefault="00CD0E13" w:rsidP="00BD693A">
      <w:pPr>
        <w:pStyle w:val="Pro-Inwest"/>
        <w:spacing w:line="240" w:lineRule="auto"/>
        <w:jc w:val="both"/>
        <w:rPr>
          <w:rFonts w:asciiTheme="minorHAnsi" w:hAnsiTheme="minorHAnsi"/>
          <w:color w:val="FF0000"/>
          <w:sz w:val="16"/>
          <w:szCs w:val="16"/>
        </w:rPr>
      </w:pPr>
    </w:p>
    <w:p w14:paraId="76CC7814" w14:textId="77777777" w:rsidR="00CD0E13" w:rsidRPr="00021789" w:rsidRDefault="00CD0E13" w:rsidP="00BD693A">
      <w:pPr>
        <w:pStyle w:val="Pro-Inwest"/>
        <w:spacing w:line="240" w:lineRule="auto"/>
        <w:jc w:val="both"/>
        <w:rPr>
          <w:rFonts w:asciiTheme="minorHAnsi" w:hAnsiTheme="minorHAnsi"/>
          <w:color w:val="FF0000"/>
          <w:sz w:val="16"/>
          <w:szCs w:val="16"/>
        </w:rPr>
      </w:pPr>
    </w:p>
    <w:p w14:paraId="1D277BBF" w14:textId="77777777" w:rsidR="00CD0E13" w:rsidRPr="00021789" w:rsidRDefault="00CD0E13" w:rsidP="00BD693A">
      <w:pPr>
        <w:pStyle w:val="Pro-Inwest"/>
        <w:spacing w:line="240" w:lineRule="auto"/>
        <w:jc w:val="both"/>
        <w:rPr>
          <w:rFonts w:asciiTheme="minorHAnsi" w:hAnsiTheme="minorHAnsi"/>
          <w:color w:val="FF0000"/>
          <w:sz w:val="16"/>
          <w:szCs w:val="16"/>
        </w:rPr>
      </w:pPr>
    </w:p>
    <w:p w14:paraId="0EC31832" w14:textId="77777777" w:rsidR="00CD0E13" w:rsidRPr="00021789" w:rsidRDefault="00CD0E13" w:rsidP="00BD693A">
      <w:pPr>
        <w:pStyle w:val="Pro-Inwest"/>
        <w:spacing w:line="240" w:lineRule="auto"/>
        <w:jc w:val="both"/>
        <w:rPr>
          <w:rFonts w:asciiTheme="minorHAnsi" w:hAnsiTheme="minorHAnsi"/>
          <w:color w:val="FF0000"/>
          <w:sz w:val="16"/>
          <w:szCs w:val="16"/>
        </w:rPr>
      </w:pPr>
    </w:p>
    <w:p w14:paraId="6D83E66A" w14:textId="77777777" w:rsidR="00CD0E13" w:rsidRPr="00021789" w:rsidRDefault="00CD0E13" w:rsidP="00BD693A">
      <w:pPr>
        <w:pStyle w:val="Pro-Inwest"/>
        <w:spacing w:line="240" w:lineRule="auto"/>
        <w:jc w:val="both"/>
        <w:rPr>
          <w:rFonts w:asciiTheme="minorHAnsi" w:hAnsiTheme="minorHAnsi"/>
          <w:color w:val="FF0000"/>
          <w:sz w:val="16"/>
          <w:szCs w:val="16"/>
        </w:rPr>
      </w:pPr>
    </w:p>
    <w:p w14:paraId="782B6FCF" w14:textId="77777777" w:rsidR="000D56AD" w:rsidRPr="00021789" w:rsidRDefault="000D56AD" w:rsidP="000D56AD">
      <w:pPr>
        <w:pStyle w:val="Pro-Inwest"/>
        <w:spacing w:line="240" w:lineRule="auto"/>
        <w:jc w:val="both"/>
        <w:rPr>
          <w:rStyle w:val="Nagwek1Znak"/>
          <w:rFonts w:asciiTheme="minorHAnsi" w:hAnsiTheme="minorHAnsi"/>
          <w:sz w:val="18"/>
          <w:szCs w:val="18"/>
        </w:rPr>
      </w:pPr>
      <w:r w:rsidRPr="00021789">
        <w:rPr>
          <w:rFonts w:asciiTheme="minorHAnsi" w:hAnsiTheme="minorHAnsi"/>
          <w:b/>
          <w:sz w:val="18"/>
          <w:szCs w:val="18"/>
        </w:rPr>
        <w:lastRenderedPageBreak/>
        <w:t>D.01</w:t>
      </w:r>
      <w:r w:rsidR="006B6F24" w:rsidRPr="00021789">
        <w:rPr>
          <w:rFonts w:asciiTheme="minorHAnsi" w:hAnsiTheme="minorHAnsi"/>
          <w:b/>
          <w:sz w:val="18"/>
          <w:szCs w:val="18"/>
        </w:rPr>
        <w:t xml:space="preserve">.02.04 </w:t>
      </w:r>
      <w:r w:rsidR="006B6F24" w:rsidRPr="00021789">
        <w:rPr>
          <w:rStyle w:val="Nagwek1Znak"/>
          <w:rFonts w:asciiTheme="minorHAnsi" w:hAnsiTheme="minorHAnsi"/>
          <w:sz w:val="18"/>
          <w:szCs w:val="18"/>
        </w:rPr>
        <w:t>ROZBIÓRKA ELEMENTÓW DRÓG</w:t>
      </w:r>
    </w:p>
    <w:p w14:paraId="356D496B" w14:textId="77777777" w:rsidR="000D56AD" w:rsidRPr="00021789" w:rsidRDefault="000D56AD" w:rsidP="000D56AD">
      <w:pPr>
        <w:pStyle w:val="Pro-Inwest"/>
        <w:spacing w:line="240" w:lineRule="auto"/>
        <w:jc w:val="both"/>
        <w:rPr>
          <w:rFonts w:asciiTheme="minorHAnsi" w:hAnsiTheme="minorHAnsi"/>
          <w:b/>
          <w:sz w:val="16"/>
          <w:szCs w:val="16"/>
        </w:rPr>
      </w:pPr>
    </w:p>
    <w:p w14:paraId="3CA65308"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1. WSTĘP</w:t>
      </w:r>
    </w:p>
    <w:p w14:paraId="53CC267B"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b/>
          <w:sz w:val="16"/>
          <w:szCs w:val="16"/>
        </w:rPr>
        <w:t>1.1.Przedmiot</w:t>
      </w:r>
      <w:r w:rsidRPr="00021789">
        <w:rPr>
          <w:rFonts w:asciiTheme="minorHAnsi" w:hAnsiTheme="minorHAnsi"/>
          <w:sz w:val="16"/>
          <w:szCs w:val="16"/>
        </w:rPr>
        <w:t xml:space="preserve"> </w:t>
      </w:r>
      <w:proofErr w:type="spellStart"/>
      <w:r w:rsidRPr="00021789">
        <w:rPr>
          <w:rFonts w:asciiTheme="minorHAnsi" w:hAnsiTheme="minorHAnsi"/>
          <w:b/>
          <w:sz w:val="16"/>
          <w:szCs w:val="16"/>
        </w:rPr>
        <w:t>STWiORB</w:t>
      </w:r>
      <w:proofErr w:type="spellEnd"/>
    </w:p>
    <w:p w14:paraId="59ED2EF3"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Przedmiotem niniejszej specyfikacji technicznej wykonania i odbioru robót budowlanych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są wymagania dotyczące wykonania i odbioru robót związanych z rozbiórką elementów dróg i przepustów. </w:t>
      </w:r>
    </w:p>
    <w:p w14:paraId="7B2EFA30"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 xml:space="preserve">1.2. Zakres stosowania </w:t>
      </w:r>
      <w:proofErr w:type="spellStart"/>
      <w:r w:rsidRPr="00021789">
        <w:rPr>
          <w:rFonts w:asciiTheme="minorHAnsi" w:hAnsiTheme="minorHAnsi"/>
          <w:b/>
          <w:sz w:val="16"/>
          <w:szCs w:val="16"/>
        </w:rPr>
        <w:t>STWiORB</w:t>
      </w:r>
      <w:proofErr w:type="spellEnd"/>
    </w:p>
    <w:p w14:paraId="54410271"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Specyfikacja Techniczna Wykonania i Odbioru Robót Budowlanych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jest stosowana jako dokument przetargowy</w:t>
      </w:r>
      <w:r w:rsidRPr="00021789">
        <w:rPr>
          <w:rFonts w:asciiTheme="minorHAnsi" w:hAnsiTheme="minorHAnsi"/>
          <w:sz w:val="16"/>
          <w:szCs w:val="16"/>
        </w:rPr>
        <w:br/>
        <w:t>i kontraktowy przy zlecaniu i realizacji robót drogowych.</w:t>
      </w:r>
    </w:p>
    <w:p w14:paraId="5D077E65"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 xml:space="preserve">1.3. Zakres robót objętych </w:t>
      </w:r>
      <w:proofErr w:type="spellStart"/>
      <w:r w:rsidRPr="00021789">
        <w:rPr>
          <w:rFonts w:asciiTheme="minorHAnsi" w:hAnsiTheme="minorHAnsi"/>
          <w:b/>
          <w:sz w:val="16"/>
          <w:szCs w:val="16"/>
        </w:rPr>
        <w:t>STWiORB</w:t>
      </w:r>
      <w:proofErr w:type="spellEnd"/>
    </w:p>
    <w:p w14:paraId="0388BE43"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Ustalenia zawarte w niniejszej specyfikacji dotyczą zasad prowadzenia robót związanych z rozbiórką:</w:t>
      </w:r>
    </w:p>
    <w:p w14:paraId="2FF7D473" w14:textId="77777777" w:rsidR="0095337D" w:rsidRPr="00021789" w:rsidRDefault="0095337D" w:rsidP="00DE6499">
      <w:pPr>
        <w:pStyle w:val="Pro-Inwest"/>
        <w:numPr>
          <w:ilvl w:val="0"/>
          <w:numId w:val="25"/>
        </w:numPr>
        <w:spacing w:line="240" w:lineRule="auto"/>
        <w:jc w:val="both"/>
        <w:rPr>
          <w:rFonts w:asciiTheme="minorHAnsi" w:hAnsiTheme="minorHAnsi"/>
          <w:sz w:val="16"/>
          <w:szCs w:val="16"/>
        </w:rPr>
      </w:pPr>
      <w:r w:rsidRPr="00021789">
        <w:rPr>
          <w:rFonts w:asciiTheme="minorHAnsi" w:hAnsiTheme="minorHAnsi"/>
          <w:sz w:val="16"/>
          <w:szCs w:val="16"/>
        </w:rPr>
        <w:t>warstw nawierzchni,</w:t>
      </w:r>
    </w:p>
    <w:p w14:paraId="519E1DE3" w14:textId="77777777" w:rsidR="0095337D" w:rsidRPr="00021789" w:rsidRDefault="0095337D" w:rsidP="00DE6499">
      <w:pPr>
        <w:pStyle w:val="Pro-Inwest"/>
        <w:numPr>
          <w:ilvl w:val="0"/>
          <w:numId w:val="25"/>
        </w:numPr>
        <w:spacing w:line="240" w:lineRule="auto"/>
        <w:jc w:val="both"/>
        <w:rPr>
          <w:rFonts w:asciiTheme="minorHAnsi" w:hAnsiTheme="minorHAnsi"/>
          <w:sz w:val="16"/>
          <w:szCs w:val="16"/>
        </w:rPr>
      </w:pPr>
      <w:r w:rsidRPr="00021789">
        <w:rPr>
          <w:rFonts w:asciiTheme="minorHAnsi" w:hAnsiTheme="minorHAnsi"/>
          <w:sz w:val="16"/>
          <w:szCs w:val="16"/>
        </w:rPr>
        <w:t>krawężników, obrzeży i oporników,</w:t>
      </w:r>
    </w:p>
    <w:p w14:paraId="39ED6CB3" w14:textId="77777777" w:rsidR="0095337D" w:rsidRPr="00021789" w:rsidRDefault="0095337D" w:rsidP="00DE6499">
      <w:pPr>
        <w:pStyle w:val="Pro-Inwest"/>
        <w:numPr>
          <w:ilvl w:val="0"/>
          <w:numId w:val="25"/>
        </w:numPr>
        <w:spacing w:line="240" w:lineRule="auto"/>
        <w:jc w:val="both"/>
        <w:rPr>
          <w:rFonts w:asciiTheme="minorHAnsi" w:hAnsiTheme="minorHAnsi"/>
          <w:sz w:val="16"/>
          <w:szCs w:val="16"/>
        </w:rPr>
      </w:pPr>
      <w:r w:rsidRPr="00021789">
        <w:rPr>
          <w:rFonts w:asciiTheme="minorHAnsi" w:hAnsiTheme="minorHAnsi"/>
          <w:sz w:val="16"/>
          <w:szCs w:val="16"/>
        </w:rPr>
        <w:t>ścieków,</w:t>
      </w:r>
    </w:p>
    <w:p w14:paraId="646FE3B2" w14:textId="77777777" w:rsidR="0095337D" w:rsidRPr="00021789" w:rsidRDefault="00E60E10" w:rsidP="00DE6499">
      <w:pPr>
        <w:pStyle w:val="Pro-Inwest"/>
        <w:numPr>
          <w:ilvl w:val="0"/>
          <w:numId w:val="25"/>
        </w:numPr>
        <w:spacing w:line="240" w:lineRule="auto"/>
        <w:jc w:val="both"/>
        <w:rPr>
          <w:rFonts w:asciiTheme="minorHAnsi" w:hAnsiTheme="minorHAnsi"/>
          <w:sz w:val="16"/>
          <w:szCs w:val="16"/>
        </w:rPr>
      </w:pPr>
      <w:r w:rsidRPr="00021789">
        <w:rPr>
          <w:rFonts w:asciiTheme="minorHAnsi" w:hAnsiTheme="minorHAnsi"/>
          <w:sz w:val="16"/>
          <w:szCs w:val="16"/>
        </w:rPr>
        <w:t>chodników</w:t>
      </w:r>
    </w:p>
    <w:p w14:paraId="337F073F" w14:textId="77777777" w:rsidR="0049695B" w:rsidRPr="00021789" w:rsidRDefault="0049695B" w:rsidP="00DE6499">
      <w:pPr>
        <w:pStyle w:val="Pro-Inwest"/>
        <w:numPr>
          <w:ilvl w:val="0"/>
          <w:numId w:val="25"/>
        </w:numPr>
        <w:spacing w:line="240" w:lineRule="auto"/>
        <w:jc w:val="both"/>
        <w:rPr>
          <w:rFonts w:asciiTheme="minorHAnsi" w:hAnsiTheme="minorHAnsi"/>
          <w:sz w:val="16"/>
          <w:szCs w:val="16"/>
        </w:rPr>
      </w:pPr>
      <w:r w:rsidRPr="00021789">
        <w:rPr>
          <w:rFonts w:asciiTheme="minorHAnsi" w:hAnsiTheme="minorHAnsi"/>
          <w:sz w:val="16"/>
          <w:szCs w:val="16"/>
        </w:rPr>
        <w:t>ogrodzeń.</w:t>
      </w:r>
    </w:p>
    <w:p w14:paraId="2B45BEB9"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1.4. Określenia podstawowe</w:t>
      </w:r>
    </w:p>
    <w:p w14:paraId="2DB299F2"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Stosowane określenia podstawowe są zgodne z obowiązującymi, odpowiednimi polskimi normami oraz z definicjami podanymi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1.4.</w:t>
      </w:r>
    </w:p>
    <w:p w14:paraId="37C8B17B"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1.5. Ogólne wymagania dotyczące robót</w:t>
      </w:r>
    </w:p>
    <w:p w14:paraId="294D89FC"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wymagania dotyczące robót podano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1.5.</w:t>
      </w:r>
    </w:p>
    <w:p w14:paraId="1EB35B45" w14:textId="77777777" w:rsidR="00380258" w:rsidRPr="00021789" w:rsidRDefault="00380258" w:rsidP="0095337D">
      <w:pPr>
        <w:pStyle w:val="Pro-Inwest"/>
        <w:spacing w:line="240" w:lineRule="auto"/>
        <w:jc w:val="both"/>
        <w:rPr>
          <w:rFonts w:asciiTheme="minorHAnsi" w:hAnsiTheme="minorHAnsi"/>
          <w:sz w:val="16"/>
          <w:szCs w:val="16"/>
        </w:rPr>
      </w:pPr>
    </w:p>
    <w:p w14:paraId="61C12DEC"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2. MATERIAŁY</w:t>
      </w:r>
    </w:p>
    <w:p w14:paraId="4B0B97FE"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2.1. Ogólne wymagania dotyczące materiałów</w:t>
      </w:r>
    </w:p>
    <w:p w14:paraId="16D2BC46"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wymagania dotyczące materiałów, ich pozyskiwania i składowania, podano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2.</w:t>
      </w:r>
    </w:p>
    <w:p w14:paraId="2D8D8A78"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2.2. Rusztowania</w:t>
      </w:r>
    </w:p>
    <w:p w14:paraId="2A05EA8C"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Rusztowania robocze przestawne przy rozbiórce przepustów mogą być wykonane z drewna lub rur stalowych w postaci:</w:t>
      </w:r>
    </w:p>
    <w:p w14:paraId="4003C53E" w14:textId="77777777" w:rsidR="0095337D" w:rsidRPr="00021789" w:rsidRDefault="0095337D" w:rsidP="00DE6499">
      <w:pPr>
        <w:pStyle w:val="Pro-Inwest"/>
        <w:numPr>
          <w:ilvl w:val="0"/>
          <w:numId w:val="26"/>
        </w:numPr>
        <w:spacing w:line="240" w:lineRule="auto"/>
        <w:jc w:val="both"/>
        <w:rPr>
          <w:rFonts w:asciiTheme="minorHAnsi" w:hAnsiTheme="minorHAnsi"/>
          <w:sz w:val="16"/>
          <w:szCs w:val="16"/>
        </w:rPr>
      </w:pPr>
      <w:r w:rsidRPr="00021789">
        <w:rPr>
          <w:rFonts w:asciiTheme="minorHAnsi" w:hAnsiTheme="minorHAnsi"/>
          <w:sz w:val="16"/>
          <w:szCs w:val="16"/>
        </w:rPr>
        <w:t>rusztowań kozłowych, wysokości od 1,0 do 1,5 m, składających się z leżni z bali (np. 12,5 x 12,5 cm), nóg z krawędziaków (np. 7,6 x 7,6 cm), stężeń (np. 3,2 x 12,5 cm) i pomostu z desek,</w:t>
      </w:r>
    </w:p>
    <w:p w14:paraId="6BB2A0D4" w14:textId="77777777" w:rsidR="0095337D" w:rsidRPr="00021789" w:rsidRDefault="0095337D" w:rsidP="00DE6499">
      <w:pPr>
        <w:pStyle w:val="Pro-Inwest"/>
        <w:numPr>
          <w:ilvl w:val="0"/>
          <w:numId w:val="26"/>
        </w:numPr>
        <w:spacing w:line="240" w:lineRule="auto"/>
        <w:jc w:val="both"/>
        <w:rPr>
          <w:rFonts w:asciiTheme="minorHAnsi" w:hAnsiTheme="minorHAnsi"/>
          <w:sz w:val="16"/>
          <w:szCs w:val="16"/>
        </w:rPr>
      </w:pPr>
      <w:r w:rsidRPr="00021789">
        <w:rPr>
          <w:rFonts w:asciiTheme="minorHAnsi" w:hAnsiTheme="minorHAnsi"/>
          <w:sz w:val="16"/>
          <w:szCs w:val="16"/>
        </w:rPr>
        <w:t>rusztowań drabinowych, składających się z drabin (np. długości 6 m, szerokości 52 cm), usztywnionych stężeniami z desek (np. 3,2 x 12,5 cm), na których szczeblach (np. 3,2 x 6,3 cm) układa się pomosty z desek,</w:t>
      </w:r>
      <w:r w:rsidR="00380258" w:rsidRPr="00021789">
        <w:rPr>
          <w:rFonts w:asciiTheme="minorHAnsi" w:hAnsiTheme="minorHAnsi"/>
          <w:sz w:val="16"/>
          <w:szCs w:val="16"/>
        </w:rPr>
        <w:t xml:space="preserve"> </w:t>
      </w:r>
      <w:r w:rsidRPr="00021789">
        <w:rPr>
          <w:rFonts w:asciiTheme="minorHAnsi" w:hAnsiTheme="minorHAnsi"/>
          <w:sz w:val="16"/>
          <w:szCs w:val="16"/>
        </w:rPr>
        <w:t xml:space="preserve">przestawnych klatek </w:t>
      </w:r>
      <w:proofErr w:type="spellStart"/>
      <w:r w:rsidRPr="00021789">
        <w:rPr>
          <w:rFonts w:asciiTheme="minorHAnsi" w:hAnsiTheme="minorHAnsi"/>
          <w:sz w:val="16"/>
          <w:szCs w:val="16"/>
        </w:rPr>
        <w:t>rusztowaniowych</w:t>
      </w:r>
      <w:proofErr w:type="spellEnd"/>
      <w:r w:rsidRPr="00021789">
        <w:rPr>
          <w:rFonts w:asciiTheme="minorHAnsi" w:hAnsiTheme="minorHAnsi"/>
          <w:sz w:val="16"/>
          <w:szCs w:val="16"/>
        </w:rPr>
        <w:t xml:space="preserve"> z rur stalowych średnicy od 38 do 63,5 mm, o wymiarach klatek około 1,2 x 1,5 m lub płaskich klatek </w:t>
      </w:r>
      <w:proofErr w:type="spellStart"/>
      <w:r w:rsidRPr="00021789">
        <w:rPr>
          <w:rFonts w:asciiTheme="minorHAnsi" w:hAnsiTheme="minorHAnsi"/>
          <w:sz w:val="16"/>
          <w:szCs w:val="16"/>
        </w:rPr>
        <w:t>rusztowaniowych</w:t>
      </w:r>
      <w:proofErr w:type="spellEnd"/>
      <w:r w:rsidRPr="00021789">
        <w:rPr>
          <w:rFonts w:asciiTheme="minorHAnsi" w:hAnsiTheme="minorHAnsi"/>
          <w:sz w:val="16"/>
          <w:szCs w:val="16"/>
        </w:rPr>
        <w:t xml:space="preserve"> (np. z rur stalowych średnicy 108 mm i kątowników 45 x 45 x 5 mm i 70 x 70 x 7 mm), o wymiarach klatek około 1,1 x 1,5 m,</w:t>
      </w:r>
    </w:p>
    <w:p w14:paraId="3ED0E5E5" w14:textId="77777777" w:rsidR="0095337D" w:rsidRPr="00021789" w:rsidRDefault="0095337D" w:rsidP="00DE6499">
      <w:pPr>
        <w:pStyle w:val="Pro-Inwest"/>
        <w:numPr>
          <w:ilvl w:val="0"/>
          <w:numId w:val="26"/>
        </w:numPr>
        <w:spacing w:line="240" w:lineRule="auto"/>
        <w:jc w:val="both"/>
        <w:rPr>
          <w:rFonts w:asciiTheme="minorHAnsi" w:hAnsiTheme="minorHAnsi"/>
          <w:sz w:val="16"/>
          <w:szCs w:val="16"/>
        </w:rPr>
      </w:pPr>
      <w:r w:rsidRPr="00021789">
        <w:rPr>
          <w:rFonts w:asciiTheme="minorHAnsi" w:hAnsiTheme="minorHAnsi"/>
          <w:sz w:val="16"/>
          <w:szCs w:val="16"/>
        </w:rPr>
        <w:t>rusztowań z rur stalowych średnicy od 33,5 do 76,1 mm połączonych łącznikami w ramownice i kratownice.</w:t>
      </w:r>
    </w:p>
    <w:p w14:paraId="6F1045D9"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Rusztowanie należy wykonać z materiałów odpowiadających następującym normom:</w:t>
      </w:r>
    </w:p>
    <w:p w14:paraId="5E5496DB" w14:textId="77777777" w:rsidR="0095337D" w:rsidRPr="00021789" w:rsidRDefault="0095337D" w:rsidP="00DE6499">
      <w:pPr>
        <w:pStyle w:val="Pro-Inwest"/>
        <w:numPr>
          <w:ilvl w:val="0"/>
          <w:numId w:val="27"/>
        </w:numPr>
        <w:spacing w:line="240" w:lineRule="auto"/>
        <w:jc w:val="both"/>
        <w:rPr>
          <w:rFonts w:asciiTheme="minorHAnsi" w:hAnsiTheme="minorHAnsi"/>
          <w:sz w:val="16"/>
          <w:szCs w:val="16"/>
        </w:rPr>
      </w:pPr>
      <w:r w:rsidRPr="00021789">
        <w:rPr>
          <w:rFonts w:asciiTheme="minorHAnsi" w:hAnsiTheme="minorHAnsi"/>
          <w:sz w:val="16"/>
          <w:szCs w:val="16"/>
        </w:rPr>
        <w:t>drewno i tarcica wg PN-D-95017 [1], PN-D-96000 [2], PN-D-96002 [3] lub innej zaakceptowanej przez Inżyniera,</w:t>
      </w:r>
    </w:p>
    <w:p w14:paraId="6E2C47AB" w14:textId="77777777" w:rsidR="0095337D" w:rsidRPr="00021789" w:rsidRDefault="0095337D" w:rsidP="00DE6499">
      <w:pPr>
        <w:pStyle w:val="Pro-Inwest"/>
        <w:numPr>
          <w:ilvl w:val="0"/>
          <w:numId w:val="27"/>
        </w:numPr>
        <w:spacing w:line="240" w:lineRule="auto"/>
        <w:jc w:val="both"/>
        <w:rPr>
          <w:rFonts w:asciiTheme="minorHAnsi" w:hAnsiTheme="minorHAnsi"/>
          <w:sz w:val="16"/>
          <w:szCs w:val="16"/>
        </w:rPr>
      </w:pPr>
      <w:r w:rsidRPr="00021789">
        <w:rPr>
          <w:rFonts w:asciiTheme="minorHAnsi" w:hAnsiTheme="minorHAnsi"/>
          <w:sz w:val="16"/>
          <w:szCs w:val="16"/>
        </w:rPr>
        <w:t>gwoździe wg BN-87/5028-12 [8],</w:t>
      </w:r>
    </w:p>
    <w:p w14:paraId="33C64B7B" w14:textId="77777777" w:rsidR="0095337D" w:rsidRPr="00021789" w:rsidRDefault="0095337D" w:rsidP="00DE6499">
      <w:pPr>
        <w:pStyle w:val="Pro-Inwest"/>
        <w:numPr>
          <w:ilvl w:val="0"/>
          <w:numId w:val="27"/>
        </w:numPr>
        <w:spacing w:line="240" w:lineRule="auto"/>
        <w:jc w:val="both"/>
        <w:rPr>
          <w:rFonts w:asciiTheme="minorHAnsi" w:hAnsiTheme="minorHAnsi"/>
          <w:sz w:val="16"/>
          <w:szCs w:val="16"/>
        </w:rPr>
      </w:pPr>
      <w:r w:rsidRPr="00021789">
        <w:rPr>
          <w:rFonts w:asciiTheme="minorHAnsi" w:hAnsiTheme="minorHAnsi"/>
          <w:sz w:val="16"/>
          <w:szCs w:val="16"/>
        </w:rPr>
        <w:t>rury stalowe wg PN-H-74219 [4], PN-H-74220 [5] lub innej zaakceptowanej przez Inżyniera,</w:t>
      </w:r>
    </w:p>
    <w:p w14:paraId="594A77F0" w14:textId="77777777" w:rsidR="0095337D" w:rsidRPr="00021789" w:rsidRDefault="0095337D" w:rsidP="00DE6499">
      <w:pPr>
        <w:pStyle w:val="Pro-Inwest"/>
        <w:numPr>
          <w:ilvl w:val="0"/>
          <w:numId w:val="27"/>
        </w:numPr>
        <w:spacing w:line="240" w:lineRule="auto"/>
        <w:jc w:val="both"/>
        <w:rPr>
          <w:rFonts w:asciiTheme="minorHAnsi" w:hAnsiTheme="minorHAnsi"/>
          <w:sz w:val="16"/>
          <w:szCs w:val="16"/>
        </w:rPr>
      </w:pPr>
      <w:r w:rsidRPr="00021789">
        <w:rPr>
          <w:rFonts w:asciiTheme="minorHAnsi" w:hAnsiTheme="minorHAnsi"/>
          <w:sz w:val="16"/>
          <w:szCs w:val="16"/>
        </w:rPr>
        <w:t>kątowniki wg PN-H-93401[6], PN-H-93402 [7] lub innej zaakceptowanej przez Inżyniera.</w:t>
      </w:r>
    </w:p>
    <w:p w14:paraId="18E80C41" w14:textId="77777777" w:rsidR="00380258" w:rsidRPr="00021789" w:rsidRDefault="00380258" w:rsidP="0095337D">
      <w:pPr>
        <w:pStyle w:val="Pro-Inwest"/>
        <w:spacing w:line="240" w:lineRule="auto"/>
        <w:jc w:val="both"/>
        <w:rPr>
          <w:rFonts w:asciiTheme="minorHAnsi" w:hAnsiTheme="minorHAnsi"/>
          <w:sz w:val="16"/>
          <w:szCs w:val="16"/>
        </w:rPr>
      </w:pPr>
    </w:p>
    <w:p w14:paraId="192AD9D4"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3. SPRZĘT</w:t>
      </w:r>
    </w:p>
    <w:p w14:paraId="1BF3670B"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3.1. Ogólne wymagania dotyczące sprzętu</w:t>
      </w:r>
    </w:p>
    <w:p w14:paraId="63C4E058"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wymagania dotyczące sprzętu podano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3.</w:t>
      </w:r>
    </w:p>
    <w:p w14:paraId="12DF7786"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3.2. Sprzęt do rozbiórki</w:t>
      </w:r>
    </w:p>
    <w:p w14:paraId="21F90435"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Do wykonania robót związanych z rozbiórką elementów dróg, ogrodzeń i przepustów może być wykorzystany sprzęt podany poniżej, lub inny zaakceptowany przez Inżyniera:</w:t>
      </w:r>
    </w:p>
    <w:p w14:paraId="69232564" w14:textId="77777777" w:rsidR="0095337D" w:rsidRPr="00021789" w:rsidRDefault="0095337D" w:rsidP="00DE6499">
      <w:pPr>
        <w:pStyle w:val="Pro-Inwest"/>
        <w:numPr>
          <w:ilvl w:val="0"/>
          <w:numId w:val="28"/>
        </w:numPr>
        <w:spacing w:line="240" w:lineRule="auto"/>
        <w:jc w:val="both"/>
        <w:rPr>
          <w:rFonts w:asciiTheme="minorHAnsi" w:hAnsiTheme="minorHAnsi"/>
          <w:sz w:val="16"/>
          <w:szCs w:val="16"/>
        </w:rPr>
      </w:pPr>
      <w:r w:rsidRPr="00021789">
        <w:rPr>
          <w:rFonts w:asciiTheme="minorHAnsi" w:hAnsiTheme="minorHAnsi"/>
          <w:sz w:val="16"/>
          <w:szCs w:val="16"/>
        </w:rPr>
        <w:t>spycharki,</w:t>
      </w:r>
    </w:p>
    <w:p w14:paraId="045E59C1" w14:textId="77777777" w:rsidR="0095337D" w:rsidRPr="00021789" w:rsidRDefault="0095337D" w:rsidP="00DE6499">
      <w:pPr>
        <w:pStyle w:val="Pro-Inwest"/>
        <w:numPr>
          <w:ilvl w:val="0"/>
          <w:numId w:val="28"/>
        </w:numPr>
        <w:spacing w:line="240" w:lineRule="auto"/>
        <w:jc w:val="both"/>
        <w:rPr>
          <w:rFonts w:asciiTheme="minorHAnsi" w:hAnsiTheme="minorHAnsi"/>
          <w:sz w:val="16"/>
          <w:szCs w:val="16"/>
        </w:rPr>
      </w:pPr>
      <w:r w:rsidRPr="00021789">
        <w:rPr>
          <w:rFonts w:asciiTheme="minorHAnsi" w:hAnsiTheme="minorHAnsi"/>
          <w:sz w:val="16"/>
          <w:szCs w:val="16"/>
        </w:rPr>
        <w:t>ładowarki,</w:t>
      </w:r>
    </w:p>
    <w:p w14:paraId="32A5EE39" w14:textId="77777777" w:rsidR="0095337D" w:rsidRPr="00021789" w:rsidRDefault="0095337D" w:rsidP="00DE6499">
      <w:pPr>
        <w:pStyle w:val="Pro-Inwest"/>
        <w:numPr>
          <w:ilvl w:val="0"/>
          <w:numId w:val="28"/>
        </w:numPr>
        <w:spacing w:line="240" w:lineRule="auto"/>
        <w:jc w:val="both"/>
        <w:rPr>
          <w:rFonts w:asciiTheme="minorHAnsi" w:hAnsiTheme="minorHAnsi"/>
          <w:sz w:val="16"/>
          <w:szCs w:val="16"/>
        </w:rPr>
      </w:pPr>
      <w:r w:rsidRPr="00021789">
        <w:rPr>
          <w:rFonts w:asciiTheme="minorHAnsi" w:hAnsiTheme="minorHAnsi"/>
          <w:sz w:val="16"/>
          <w:szCs w:val="16"/>
        </w:rPr>
        <w:t>żurawie samochodowe,</w:t>
      </w:r>
    </w:p>
    <w:p w14:paraId="22B0C186" w14:textId="77777777" w:rsidR="0095337D" w:rsidRPr="00021789" w:rsidRDefault="0095337D" w:rsidP="00DE6499">
      <w:pPr>
        <w:pStyle w:val="Pro-Inwest"/>
        <w:numPr>
          <w:ilvl w:val="0"/>
          <w:numId w:val="28"/>
        </w:numPr>
        <w:spacing w:line="240" w:lineRule="auto"/>
        <w:jc w:val="both"/>
        <w:rPr>
          <w:rFonts w:asciiTheme="minorHAnsi" w:hAnsiTheme="minorHAnsi"/>
          <w:sz w:val="16"/>
          <w:szCs w:val="16"/>
        </w:rPr>
      </w:pPr>
      <w:r w:rsidRPr="00021789">
        <w:rPr>
          <w:rFonts w:asciiTheme="minorHAnsi" w:hAnsiTheme="minorHAnsi"/>
          <w:sz w:val="16"/>
          <w:szCs w:val="16"/>
        </w:rPr>
        <w:t>samochody ciężarowe,</w:t>
      </w:r>
    </w:p>
    <w:p w14:paraId="71FCE9B9" w14:textId="77777777" w:rsidR="0095337D" w:rsidRPr="00021789" w:rsidRDefault="0095337D" w:rsidP="00DE6499">
      <w:pPr>
        <w:pStyle w:val="Pro-Inwest"/>
        <w:numPr>
          <w:ilvl w:val="0"/>
          <w:numId w:val="28"/>
        </w:numPr>
        <w:spacing w:line="240" w:lineRule="auto"/>
        <w:jc w:val="both"/>
        <w:rPr>
          <w:rFonts w:asciiTheme="minorHAnsi" w:hAnsiTheme="minorHAnsi"/>
          <w:sz w:val="16"/>
          <w:szCs w:val="16"/>
        </w:rPr>
      </w:pPr>
      <w:r w:rsidRPr="00021789">
        <w:rPr>
          <w:rFonts w:asciiTheme="minorHAnsi" w:hAnsiTheme="minorHAnsi"/>
          <w:sz w:val="16"/>
          <w:szCs w:val="16"/>
        </w:rPr>
        <w:t>zrywarki,</w:t>
      </w:r>
    </w:p>
    <w:p w14:paraId="0E9F5951" w14:textId="77777777" w:rsidR="0095337D" w:rsidRPr="00021789" w:rsidRDefault="0095337D" w:rsidP="00DE6499">
      <w:pPr>
        <w:pStyle w:val="Pro-Inwest"/>
        <w:numPr>
          <w:ilvl w:val="0"/>
          <w:numId w:val="28"/>
        </w:numPr>
        <w:spacing w:line="240" w:lineRule="auto"/>
        <w:jc w:val="both"/>
        <w:rPr>
          <w:rFonts w:asciiTheme="minorHAnsi" w:hAnsiTheme="minorHAnsi"/>
          <w:sz w:val="16"/>
          <w:szCs w:val="16"/>
        </w:rPr>
      </w:pPr>
      <w:r w:rsidRPr="00021789">
        <w:rPr>
          <w:rFonts w:asciiTheme="minorHAnsi" w:hAnsiTheme="minorHAnsi"/>
          <w:sz w:val="16"/>
          <w:szCs w:val="16"/>
        </w:rPr>
        <w:t>młoty pneumatyczne,</w:t>
      </w:r>
    </w:p>
    <w:p w14:paraId="12323CB0" w14:textId="77777777" w:rsidR="0095337D" w:rsidRPr="00021789" w:rsidRDefault="0095337D" w:rsidP="00DE6499">
      <w:pPr>
        <w:pStyle w:val="Pro-Inwest"/>
        <w:numPr>
          <w:ilvl w:val="0"/>
          <w:numId w:val="28"/>
        </w:numPr>
        <w:spacing w:line="240" w:lineRule="auto"/>
        <w:jc w:val="both"/>
        <w:rPr>
          <w:rFonts w:asciiTheme="minorHAnsi" w:hAnsiTheme="minorHAnsi"/>
          <w:sz w:val="16"/>
          <w:szCs w:val="16"/>
        </w:rPr>
      </w:pPr>
      <w:r w:rsidRPr="00021789">
        <w:rPr>
          <w:rFonts w:asciiTheme="minorHAnsi" w:hAnsiTheme="minorHAnsi"/>
          <w:sz w:val="16"/>
          <w:szCs w:val="16"/>
        </w:rPr>
        <w:t>piły mechaniczne,</w:t>
      </w:r>
    </w:p>
    <w:p w14:paraId="2C4EF19F" w14:textId="77777777" w:rsidR="0095337D" w:rsidRPr="00021789" w:rsidRDefault="0095337D" w:rsidP="00DE6499">
      <w:pPr>
        <w:pStyle w:val="Pro-Inwest"/>
        <w:numPr>
          <w:ilvl w:val="0"/>
          <w:numId w:val="28"/>
        </w:numPr>
        <w:spacing w:line="240" w:lineRule="auto"/>
        <w:jc w:val="both"/>
        <w:rPr>
          <w:rFonts w:asciiTheme="minorHAnsi" w:hAnsiTheme="minorHAnsi"/>
          <w:sz w:val="16"/>
          <w:szCs w:val="16"/>
        </w:rPr>
      </w:pPr>
      <w:r w:rsidRPr="00021789">
        <w:rPr>
          <w:rFonts w:asciiTheme="minorHAnsi" w:hAnsiTheme="minorHAnsi"/>
          <w:sz w:val="16"/>
          <w:szCs w:val="16"/>
        </w:rPr>
        <w:t>frezarki nawierzchni,</w:t>
      </w:r>
    </w:p>
    <w:p w14:paraId="6B9837C0" w14:textId="77777777" w:rsidR="0095337D" w:rsidRPr="00021789" w:rsidRDefault="0095337D" w:rsidP="00DE6499">
      <w:pPr>
        <w:pStyle w:val="Pro-Inwest"/>
        <w:numPr>
          <w:ilvl w:val="0"/>
          <w:numId w:val="28"/>
        </w:numPr>
        <w:spacing w:line="240" w:lineRule="auto"/>
        <w:jc w:val="both"/>
        <w:rPr>
          <w:rFonts w:asciiTheme="minorHAnsi" w:hAnsiTheme="minorHAnsi"/>
          <w:sz w:val="16"/>
          <w:szCs w:val="16"/>
        </w:rPr>
      </w:pPr>
      <w:r w:rsidRPr="00021789">
        <w:rPr>
          <w:rFonts w:asciiTheme="minorHAnsi" w:hAnsiTheme="minorHAnsi"/>
          <w:sz w:val="16"/>
          <w:szCs w:val="16"/>
        </w:rPr>
        <w:t>koparki.</w:t>
      </w:r>
    </w:p>
    <w:p w14:paraId="499FBC88" w14:textId="77777777" w:rsidR="00380258" w:rsidRPr="00021789" w:rsidRDefault="00380258" w:rsidP="0095337D">
      <w:pPr>
        <w:pStyle w:val="Pro-Inwest"/>
        <w:spacing w:line="240" w:lineRule="auto"/>
        <w:jc w:val="both"/>
        <w:rPr>
          <w:rFonts w:asciiTheme="minorHAnsi" w:hAnsiTheme="minorHAnsi"/>
          <w:sz w:val="16"/>
          <w:szCs w:val="16"/>
        </w:rPr>
      </w:pPr>
    </w:p>
    <w:p w14:paraId="101089F2"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4. TRANSPORT</w:t>
      </w:r>
    </w:p>
    <w:p w14:paraId="6588C8E7"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4.1. Ogólne wymagania dotyczące transportu</w:t>
      </w:r>
    </w:p>
    <w:p w14:paraId="4B902467"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wymagania dotyczące transportu podano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4.</w:t>
      </w:r>
    </w:p>
    <w:p w14:paraId="73D15F21"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4.2. Transport materiałów z rozbiórki</w:t>
      </w:r>
    </w:p>
    <w:p w14:paraId="423B5B6A"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Materiał z rozbiórki można przewozić dowolnym środkiem transportu.</w:t>
      </w:r>
    </w:p>
    <w:p w14:paraId="7A2ED708" w14:textId="77777777" w:rsidR="00380258" w:rsidRPr="00021789" w:rsidRDefault="00380258" w:rsidP="0095337D">
      <w:pPr>
        <w:pStyle w:val="Pro-Inwest"/>
        <w:spacing w:line="240" w:lineRule="auto"/>
        <w:jc w:val="both"/>
        <w:rPr>
          <w:rFonts w:asciiTheme="minorHAnsi" w:hAnsiTheme="minorHAnsi"/>
          <w:sz w:val="16"/>
          <w:szCs w:val="16"/>
        </w:rPr>
      </w:pPr>
    </w:p>
    <w:p w14:paraId="71FC52D4"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5. WYKONANIE ROBÓT</w:t>
      </w:r>
    </w:p>
    <w:p w14:paraId="780271D8"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5.1. Ogólne zasady wykonania robót</w:t>
      </w:r>
    </w:p>
    <w:p w14:paraId="10D65BCA"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zasady wykonania robót podano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5.</w:t>
      </w:r>
    </w:p>
    <w:p w14:paraId="0A8C12A7"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5.2. Wykonanie robót rozbiórkowych</w:t>
      </w:r>
    </w:p>
    <w:p w14:paraId="3AB441F9"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Roboty rozbiórkowe elementów dróg, ogrodzeń i przepustów obejmują usunięcie z terenu budowy wszystkich elementów wymienionych w pkt 1.3, zgodnie z dokumentacją projektową,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lub wskazanych przez Inżyniera.</w:t>
      </w:r>
    </w:p>
    <w:p w14:paraId="3053B4DD"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Jeśli dokumentacja projektowa nie zawiera dokumentacji inwentaryzacyjnej lub/i rozbiórkowej, Inżynier może polecić Wykonawcy sporządzenie takiej dokumentacji, w której zostanie określony przewidziany odzysk materiałów.</w:t>
      </w:r>
    </w:p>
    <w:p w14:paraId="164E6019"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Roboty rozbiórkowe można wykonywać mechanicznie lub ręcznie w sposób określony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lub przez Inżyniera.</w:t>
      </w:r>
    </w:p>
    <w:p w14:paraId="57C96271"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lastRenderedPageBreak/>
        <w:tab/>
        <w:t xml:space="preserve">W przypadku usuwania warstw nawierzchni z zastosowaniem frezarek drogowych, należy spełnić warunki określone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D-05.03.11 „Recykling”.</w:t>
      </w:r>
    </w:p>
    <w:p w14:paraId="63D26E34"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Wszystkie elementy możliwe do powtórnego wykorzystania powinny być usuwane bez powodowania zbędnych uszkodzeń. O ile uzyskane elementy nie stają się własnością Wykonawcy, powinien on przewieźć je na miejsce określone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lub wskazane przez Inżyniera.</w:t>
      </w:r>
    </w:p>
    <w:p w14:paraId="1ADAA2F9"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Elementy i materiały, które zgodnie z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stają się własnością Wykonawcy, powinny być usunięte z terenu budowy.</w:t>
      </w:r>
    </w:p>
    <w:p w14:paraId="50AAFB61"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Doły (wykopy) powstałe po rozbiórce elementów dróg, ogrodzeń i przepustów znajdujące się w miejscach, gdzie zgodnie</w:t>
      </w:r>
      <w:r w:rsidR="00380258" w:rsidRPr="00021789">
        <w:rPr>
          <w:rFonts w:asciiTheme="minorHAnsi" w:hAnsiTheme="minorHAnsi"/>
          <w:sz w:val="16"/>
          <w:szCs w:val="16"/>
        </w:rPr>
        <w:br/>
      </w:r>
      <w:r w:rsidRPr="00021789">
        <w:rPr>
          <w:rFonts w:asciiTheme="minorHAnsi" w:hAnsiTheme="minorHAnsi"/>
          <w:sz w:val="16"/>
          <w:szCs w:val="16"/>
        </w:rPr>
        <w:t>z dokumentacją projektową będą wykonane wykopy drogowe, powinny być tymczasowo zabezpieczone. W szczególności należy zapobiec gromadzeniu się w nich wody opadowej.</w:t>
      </w:r>
    </w:p>
    <w:p w14:paraId="4A7A98AC"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Doły w miejscach, gdzie nie przewiduje się wykonania wykopów drogowych należy wypełnić, warstwami, odpowiednim gruntem do poziomu otaczającego terenu i zagęścić zgodnie z wymaganiami określonymi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D-02.00.00 „Roboty ziemne”.</w:t>
      </w:r>
    </w:p>
    <w:p w14:paraId="5C3FCF8E" w14:textId="77777777" w:rsidR="00380258" w:rsidRPr="00021789" w:rsidRDefault="00380258" w:rsidP="0095337D">
      <w:pPr>
        <w:pStyle w:val="Pro-Inwest"/>
        <w:spacing w:line="240" w:lineRule="auto"/>
        <w:jc w:val="both"/>
        <w:rPr>
          <w:rFonts w:asciiTheme="minorHAnsi" w:hAnsiTheme="minorHAnsi"/>
          <w:sz w:val="16"/>
          <w:szCs w:val="16"/>
        </w:rPr>
      </w:pPr>
    </w:p>
    <w:p w14:paraId="170A68F5"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6. KONTROLA JAKOŚCI ROBÓT</w:t>
      </w:r>
    </w:p>
    <w:p w14:paraId="056947D7"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6.1. Ogólne zasady kontroli jakości robót</w:t>
      </w:r>
    </w:p>
    <w:p w14:paraId="32F5A580"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zasady kontroli jakości robót podano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6.</w:t>
      </w:r>
    </w:p>
    <w:p w14:paraId="14DAE14A"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6.2. Kontrola jakości robót rozbiórkowych</w:t>
      </w:r>
    </w:p>
    <w:p w14:paraId="2C0199CB"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Kontrola jakości robót polega na wizualnej ocenie kompletności wykonanych robót rozbiórkowych oraz sprawdzeniu stopnia uszkodzenia elementów przewidzianych do powtórnego wykorzystania.</w:t>
      </w:r>
    </w:p>
    <w:p w14:paraId="5475C647"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Zagęszczenie gruntu wypełniającego ewentualne doły po usuniętych elementach nawierzchni, ogrodzeń i przepustów powinno spełniać odpowiednie wymagania określone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D-02.00.00 „Roboty ziemne”.</w:t>
      </w:r>
    </w:p>
    <w:p w14:paraId="45448136" w14:textId="77777777" w:rsidR="00380258" w:rsidRPr="00021789" w:rsidRDefault="00380258" w:rsidP="0095337D">
      <w:pPr>
        <w:pStyle w:val="Pro-Inwest"/>
        <w:spacing w:line="240" w:lineRule="auto"/>
        <w:jc w:val="both"/>
        <w:rPr>
          <w:rFonts w:asciiTheme="minorHAnsi" w:hAnsiTheme="minorHAnsi"/>
          <w:sz w:val="16"/>
          <w:szCs w:val="16"/>
        </w:rPr>
      </w:pPr>
    </w:p>
    <w:p w14:paraId="701DD246"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7. OBMIAR ROBÓT</w:t>
      </w:r>
    </w:p>
    <w:p w14:paraId="4318C995"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7.1. Ogólne zasady obmiaru robót</w:t>
      </w:r>
    </w:p>
    <w:p w14:paraId="28FA203D"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zasady obmiaru robót podano w </w:t>
      </w:r>
      <w:proofErr w:type="spellStart"/>
      <w:r w:rsidR="00380258"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7.</w:t>
      </w:r>
    </w:p>
    <w:p w14:paraId="1EB38619"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7.2. Jednostka obmiarowa</w:t>
      </w:r>
    </w:p>
    <w:p w14:paraId="682C40ED"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Jednostką obmiarową robót związanych z rozbiórką elementów dróg i ogrodzeń jest:</w:t>
      </w:r>
    </w:p>
    <w:p w14:paraId="04C3A7C2" w14:textId="77777777" w:rsidR="0095337D" w:rsidRPr="00021789" w:rsidRDefault="0095337D" w:rsidP="00DE6499">
      <w:pPr>
        <w:pStyle w:val="Pro-Inwest"/>
        <w:numPr>
          <w:ilvl w:val="0"/>
          <w:numId w:val="29"/>
        </w:numPr>
        <w:spacing w:line="240" w:lineRule="auto"/>
        <w:jc w:val="both"/>
        <w:rPr>
          <w:rFonts w:asciiTheme="minorHAnsi" w:hAnsiTheme="minorHAnsi"/>
          <w:sz w:val="16"/>
          <w:szCs w:val="16"/>
        </w:rPr>
      </w:pPr>
      <w:r w:rsidRPr="00021789">
        <w:rPr>
          <w:rFonts w:asciiTheme="minorHAnsi" w:hAnsiTheme="minorHAnsi"/>
          <w:sz w:val="16"/>
          <w:szCs w:val="16"/>
        </w:rPr>
        <w:t>dla nawierzchni</w:t>
      </w:r>
      <w:r w:rsidR="00380258" w:rsidRPr="00021789">
        <w:rPr>
          <w:rFonts w:asciiTheme="minorHAnsi" w:hAnsiTheme="minorHAnsi"/>
          <w:sz w:val="16"/>
          <w:szCs w:val="16"/>
        </w:rPr>
        <w:t>,</w:t>
      </w:r>
      <w:r w:rsidRPr="00021789">
        <w:rPr>
          <w:rFonts w:asciiTheme="minorHAnsi" w:hAnsiTheme="minorHAnsi"/>
          <w:sz w:val="16"/>
          <w:szCs w:val="16"/>
        </w:rPr>
        <w:t xml:space="preserve"> chodnika</w:t>
      </w:r>
      <w:r w:rsidR="00872106" w:rsidRPr="00021789">
        <w:rPr>
          <w:rFonts w:asciiTheme="minorHAnsi" w:hAnsiTheme="minorHAnsi"/>
          <w:sz w:val="16"/>
          <w:szCs w:val="16"/>
        </w:rPr>
        <w:t xml:space="preserve"> </w:t>
      </w:r>
      <w:r w:rsidRPr="00021789">
        <w:rPr>
          <w:rFonts w:asciiTheme="minorHAnsi" w:hAnsiTheme="minorHAnsi"/>
          <w:sz w:val="16"/>
          <w:szCs w:val="16"/>
        </w:rPr>
        <w:t>- m2 (metr kwadratowy),</w:t>
      </w:r>
    </w:p>
    <w:p w14:paraId="610760EA" w14:textId="77777777" w:rsidR="0095337D" w:rsidRPr="00021789" w:rsidRDefault="0095337D" w:rsidP="00DE6499">
      <w:pPr>
        <w:pStyle w:val="Pro-Inwest"/>
        <w:numPr>
          <w:ilvl w:val="0"/>
          <w:numId w:val="29"/>
        </w:numPr>
        <w:spacing w:line="240" w:lineRule="auto"/>
        <w:jc w:val="both"/>
        <w:rPr>
          <w:rFonts w:asciiTheme="minorHAnsi" w:hAnsiTheme="minorHAnsi"/>
          <w:sz w:val="16"/>
          <w:szCs w:val="16"/>
        </w:rPr>
      </w:pPr>
      <w:r w:rsidRPr="00021789">
        <w:rPr>
          <w:rFonts w:asciiTheme="minorHAnsi" w:hAnsiTheme="minorHAnsi"/>
          <w:sz w:val="16"/>
          <w:szCs w:val="16"/>
        </w:rPr>
        <w:t>dla krawężnika, opornika, obrzeża, ścieków</w:t>
      </w:r>
      <w:r w:rsidR="0087508A" w:rsidRPr="00021789">
        <w:rPr>
          <w:rFonts w:asciiTheme="minorHAnsi" w:hAnsiTheme="minorHAnsi"/>
          <w:sz w:val="16"/>
          <w:szCs w:val="16"/>
        </w:rPr>
        <w:t>, ogrodzeń</w:t>
      </w:r>
      <w:r w:rsidRPr="00021789">
        <w:rPr>
          <w:rFonts w:asciiTheme="minorHAnsi" w:hAnsiTheme="minorHAnsi"/>
          <w:sz w:val="16"/>
          <w:szCs w:val="16"/>
        </w:rPr>
        <w:t xml:space="preserve"> - m (metr),</w:t>
      </w:r>
    </w:p>
    <w:p w14:paraId="731DEDFC" w14:textId="77777777" w:rsidR="00E60E10" w:rsidRPr="00021789" w:rsidRDefault="00E60E10" w:rsidP="00DE6499">
      <w:pPr>
        <w:pStyle w:val="Pro-Inwest"/>
        <w:numPr>
          <w:ilvl w:val="0"/>
          <w:numId w:val="29"/>
        </w:numPr>
        <w:spacing w:line="240" w:lineRule="auto"/>
        <w:jc w:val="both"/>
        <w:rPr>
          <w:rFonts w:asciiTheme="minorHAnsi" w:hAnsiTheme="minorHAnsi"/>
          <w:sz w:val="16"/>
          <w:szCs w:val="16"/>
        </w:rPr>
      </w:pPr>
      <w:r w:rsidRPr="00021789">
        <w:rPr>
          <w:rFonts w:asciiTheme="minorHAnsi" w:hAnsiTheme="minorHAnsi"/>
          <w:sz w:val="16"/>
          <w:szCs w:val="16"/>
        </w:rPr>
        <w:t>dla ścieków – m (metr).</w:t>
      </w:r>
    </w:p>
    <w:p w14:paraId="5E3FDBD9" w14:textId="77777777" w:rsidR="00E60E10" w:rsidRPr="00021789" w:rsidRDefault="00E60E10" w:rsidP="0095337D">
      <w:pPr>
        <w:pStyle w:val="Pro-Inwest"/>
        <w:spacing w:line="240" w:lineRule="auto"/>
        <w:jc w:val="both"/>
        <w:rPr>
          <w:rFonts w:asciiTheme="minorHAnsi" w:hAnsiTheme="minorHAnsi"/>
          <w:b/>
          <w:sz w:val="16"/>
          <w:szCs w:val="16"/>
        </w:rPr>
      </w:pPr>
    </w:p>
    <w:p w14:paraId="52E2050C"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8. ODBIÓR ROBÓT</w:t>
      </w:r>
    </w:p>
    <w:p w14:paraId="43E888CE"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zasady odbioru robót podano w </w:t>
      </w:r>
      <w:proofErr w:type="spellStart"/>
      <w:r w:rsidR="00EA24EE"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8.</w:t>
      </w:r>
    </w:p>
    <w:p w14:paraId="4AD532CF" w14:textId="77777777" w:rsidR="00EA24EE" w:rsidRPr="00021789" w:rsidRDefault="00EA24EE" w:rsidP="0095337D">
      <w:pPr>
        <w:pStyle w:val="Pro-Inwest"/>
        <w:spacing w:line="240" w:lineRule="auto"/>
        <w:jc w:val="both"/>
        <w:rPr>
          <w:rFonts w:asciiTheme="minorHAnsi" w:hAnsiTheme="minorHAnsi"/>
          <w:sz w:val="16"/>
          <w:szCs w:val="16"/>
        </w:rPr>
      </w:pPr>
    </w:p>
    <w:p w14:paraId="700AFF38"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9. PODSTAWA PŁATNOŚCI</w:t>
      </w:r>
    </w:p>
    <w:p w14:paraId="70EE073E"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9.1. Ogólne ustalenia dotyczące podstawy płatności</w:t>
      </w:r>
    </w:p>
    <w:p w14:paraId="7698D81F"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 xml:space="preserve">Ogólne ustalenia dotyczące podstawy płatności podano w </w:t>
      </w:r>
      <w:proofErr w:type="spellStart"/>
      <w:r w:rsidR="00EA24EE"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9.</w:t>
      </w:r>
    </w:p>
    <w:p w14:paraId="60A80E2D"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9.2. Cena jednostki obmiarowej</w:t>
      </w:r>
    </w:p>
    <w:p w14:paraId="2A34CA5D"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b/>
        <w:t>Cena wykonania robót obejmuje:</w:t>
      </w:r>
    </w:p>
    <w:p w14:paraId="4644087C"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a) dla rozbiórki warstw nawierzchni:</w:t>
      </w:r>
    </w:p>
    <w:p w14:paraId="3B064774" w14:textId="77777777" w:rsidR="0095337D" w:rsidRPr="00021789" w:rsidRDefault="0095337D" w:rsidP="00DE6499">
      <w:pPr>
        <w:pStyle w:val="Pro-Inwest"/>
        <w:numPr>
          <w:ilvl w:val="0"/>
          <w:numId w:val="29"/>
        </w:numPr>
        <w:spacing w:line="240" w:lineRule="auto"/>
        <w:jc w:val="both"/>
        <w:rPr>
          <w:rFonts w:asciiTheme="minorHAnsi" w:hAnsiTheme="minorHAnsi"/>
          <w:sz w:val="16"/>
          <w:szCs w:val="16"/>
        </w:rPr>
      </w:pPr>
      <w:r w:rsidRPr="00021789">
        <w:rPr>
          <w:rFonts w:asciiTheme="minorHAnsi" w:hAnsiTheme="minorHAnsi"/>
          <w:sz w:val="16"/>
          <w:szCs w:val="16"/>
        </w:rPr>
        <w:t>wyznaczenie powierzchni przeznaczonej do rozbiórki,</w:t>
      </w:r>
    </w:p>
    <w:p w14:paraId="7AEFEEC6" w14:textId="77777777" w:rsidR="0095337D" w:rsidRPr="00021789" w:rsidRDefault="0095337D" w:rsidP="00DE6499">
      <w:pPr>
        <w:pStyle w:val="Pro-Inwest"/>
        <w:numPr>
          <w:ilvl w:val="0"/>
          <w:numId w:val="29"/>
        </w:numPr>
        <w:spacing w:line="240" w:lineRule="auto"/>
        <w:jc w:val="both"/>
        <w:rPr>
          <w:rFonts w:asciiTheme="minorHAnsi" w:hAnsiTheme="minorHAnsi"/>
          <w:sz w:val="16"/>
          <w:szCs w:val="16"/>
        </w:rPr>
      </w:pPr>
      <w:r w:rsidRPr="00021789">
        <w:rPr>
          <w:rFonts w:asciiTheme="minorHAnsi" w:hAnsiTheme="minorHAnsi"/>
          <w:sz w:val="16"/>
          <w:szCs w:val="16"/>
        </w:rPr>
        <w:t>rozkucie i zerwanie nawierzchni,</w:t>
      </w:r>
    </w:p>
    <w:p w14:paraId="61A826A0" w14:textId="77777777" w:rsidR="0095337D" w:rsidRPr="00021789" w:rsidRDefault="0095337D" w:rsidP="00DE6499">
      <w:pPr>
        <w:pStyle w:val="Pro-Inwest"/>
        <w:numPr>
          <w:ilvl w:val="0"/>
          <w:numId w:val="29"/>
        </w:numPr>
        <w:spacing w:line="240" w:lineRule="auto"/>
        <w:jc w:val="both"/>
        <w:rPr>
          <w:rFonts w:asciiTheme="minorHAnsi" w:hAnsiTheme="minorHAnsi"/>
          <w:sz w:val="16"/>
          <w:szCs w:val="16"/>
        </w:rPr>
      </w:pPr>
      <w:r w:rsidRPr="00021789">
        <w:rPr>
          <w:rFonts w:asciiTheme="minorHAnsi" w:hAnsiTheme="minorHAnsi"/>
          <w:sz w:val="16"/>
          <w:szCs w:val="16"/>
        </w:rPr>
        <w:t>ew. przesortowanie materiału uzyskanego z rozbiórki, w celu ponownego jej użycia, z ułożeniem na poboczu,</w:t>
      </w:r>
    </w:p>
    <w:p w14:paraId="0ADEBC58" w14:textId="77777777" w:rsidR="0095337D" w:rsidRPr="00021789" w:rsidRDefault="0095337D" w:rsidP="00DE6499">
      <w:pPr>
        <w:pStyle w:val="Pro-Inwest"/>
        <w:numPr>
          <w:ilvl w:val="0"/>
          <w:numId w:val="29"/>
        </w:numPr>
        <w:spacing w:line="240" w:lineRule="auto"/>
        <w:jc w:val="both"/>
        <w:rPr>
          <w:rFonts w:asciiTheme="minorHAnsi" w:hAnsiTheme="minorHAnsi"/>
          <w:sz w:val="16"/>
          <w:szCs w:val="16"/>
        </w:rPr>
      </w:pPr>
      <w:r w:rsidRPr="00021789">
        <w:rPr>
          <w:rFonts w:asciiTheme="minorHAnsi" w:hAnsiTheme="minorHAnsi"/>
          <w:sz w:val="16"/>
          <w:szCs w:val="16"/>
        </w:rPr>
        <w:t>załadunek i wywiezienie materiałów z rozbiórki,</w:t>
      </w:r>
    </w:p>
    <w:p w14:paraId="1DEC24E2" w14:textId="77777777" w:rsidR="0095337D" w:rsidRPr="00021789" w:rsidRDefault="0095337D" w:rsidP="00DE6499">
      <w:pPr>
        <w:pStyle w:val="Pro-Inwest"/>
        <w:numPr>
          <w:ilvl w:val="0"/>
          <w:numId w:val="29"/>
        </w:numPr>
        <w:spacing w:line="240" w:lineRule="auto"/>
        <w:jc w:val="both"/>
        <w:rPr>
          <w:rFonts w:asciiTheme="minorHAnsi" w:hAnsiTheme="minorHAnsi"/>
          <w:sz w:val="16"/>
          <w:szCs w:val="16"/>
        </w:rPr>
      </w:pPr>
      <w:r w:rsidRPr="00021789">
        <w:rPr>
          <w:rFonts w:asciiTheme="minorHAnsi" w:hAnsiTheme="minorHAnsi"/>
          <w:sz w:val="16"/>
          <w:szCs w:val="16"/>
        </w:rPr>
        <w:t>wyrównanie podłoża i uporządkowanie terenu rozbiórki;</w:t>
      </w:r>
    </w:p>
    <w:p w14:paraId="074FAC53"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b) dla rozbiórki krawężników, obrzeży i oporników:</w:t>
      </w:r>
    </w:p>
    <w:p w14:paraId="1692A4CD" w14:textId="77777777" w:rsidR="0095337D" w:rsidRPr="00021789" w:rsidRDefault="0095337D" w:rsidP="00DE6499">
      <w:pPr>
        <w:pStyle w:val="Pro-Inwest"/>
        <w:numPr>
          <w:ilvl w:val="0"/>
          <w:numId w:val="30"/>
        </w:numPr>
        <w:spacing w:line="240" w:lineRule="auto"/>
        <w:jc w:val="both"/>
        <w:rPr>
          <w:rFonts w:asciiTheme="minorHAnsi" w:hAnsiTheme="minorHAnsi"/>
          <w:sz w:val="16"/>
          <w:szCs w:val="16"/>
        </w:rPr>
      </w:pPr>
      <w:r w:rsidRPr="00021789">
        <w:rPr>
          <w:rFonts w:asciiTheme="minorHAnsi" w:hAnsiTheme="minorHAnsi"/>
          <w:sz w:val="16"/>
          <w:szCs w:val="16"/>
        </w:rPr>
        <w:t>odkopanie krawężników, obrzeży i oporników wraz z wyjęciem i oczyszczeniem,</w:t>
      </w:r>
    </w:p>
    <w:p w14:paraId="12C90C3D" w14:textId="77777777" w:rsidR="0095337D" w:rsidRPr="00021789" w:rsidRDefault="0095337D" w:rsidP="00DE6499">
      <w:pPr>
        <w:pStyle w:val="Pro-Inwest"/>
        <w:numPr>
          <w:ilvl w:val="0"/>
          <w:numId w:val="30"/>
        </w:numPr>
        <w:spacing w:line="240" w:lineRule="auto"/>
        <w:jc w:val="both"/>
        <w:rPr>
          <w:rFonts w:asciiTheme="minorHAnsi" w:hAnsiTheme="minorHAnsi"/>
          <w:sz w:val="16"/>
          <w:szCs w:val="16"/>
        </w:rPr>
      </w:pPr>
      <w:r w:rsidRPr="00021789">
        <w:rPr>
          <w:rFonts w:asciiTheme="minorHAnsi" w:hAnsiTheme="minorHAnsi"/>
          <w:sz w:val="16"/>
          <w:szCs w:val="16"/>
        </w:rPr>
        <w:t>zerwanie podsypki cementowo-piaskowej i ew. ław,</w:t>
      </w:r>
    </w:p>
    <w:p w14:paraId="45E749BD" w14:textId="77777777" w:rsidR="0095337D" w:rsidRPr="00021789" w:rsidRDefault="0095337D" w:rsidP="00DE6499">
      <w:pPr>
        <w:pStyle w:val="Pro-Inwest"/>
        <w:numPr>
          <w:ilvl w:val="0"/>
          <w:numId w:val="30"/>
        </w:numPr>
        <w:spacing w:line="240" w:lineRule="auto"/>
        <w:jc w:val="both"/>
        <w:rPr>
          <w:rFonts w:asciiTheme="minorHAnsi" w:hAnsiTheme="minorHAnsi"/>
          <w:sz w:val="16"/>
          <w:szCs w:val="16"/>
        </w:rPr>
      </w:pPr>
      <w:r w:rsidRPr="00021789">
        <w:rPr>
          <w:rFonts w:asciiTheme="minorHAnsi" w:hAnsiTheme="minorHAnsi"/>
          <w:sz w:val="16"/>
          <w:szCs w:val="16"/>
        </w:rPr>
        <w:t>załadunek i wywiezienie materiału z rozbiórki,</w:t>
      </w:r>
    </w:p>
    <w:p w14:paraId="5504BFBC" w14:textId="77777777" w:rsidR="0095337D" w:rsidRPr="00021789" w:rsidRDefault="0095337D" w:rsidP="00DE6499">
      <w:pPr>
        <w:pStyle w:val="Pro-Inwest"/>
        <w:numPr>
          <w:ilvl w:val="0"/>
          <w:numId w:val="30"/>
        </w:numPr>
        <w:spacing w:line="240" w:lineRule="auto"/>
        <w:jc w:val="both"/>
        <w:rPr>
          <w:rFonts w:asciiTheme="minorHAnsi" w:hAnsiTheme="minorHAnsi"/>
          <w:sz w:val="16"/>
          <w:szCs w:val="16"/>
        </w:rPr>
      </w:pPr>
      <w:r w:rsidRPr="00021789">
        <w:rPr>
          <w:rFonts w:asciiTheme="minorHAnsi" w:hAnsiTheme="minorHAnsi"/>
          <w:sz w:val="16"/>
          <w:szCs w:val="16"/>
        </w:rPr>
        <w:t>wyrównanie podłoża i uporządkowanie terenu rozbiórki;</w:t>
      </w:r>
    </w:p>
    <w:p w14:paraId="323C749A" w14:textId="77777777" w:rsidR="0095337D" w:rsidRPr="00021789" w:rsidRDefault="00E60E10"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c</w:t>
      </w:r>
      <w:r w:rsidR="0095337D" w:rsidRPr="00021789">
        <w:rPr>
          <w:rFonts w:asciiTheme="minorHAnsi" w:hAnsiTheme="minorHAnsi"/>
          <w:sz w:val="16"/>
          <w:szCs w:val="16"/>
        </w:rPr>
        <w:t>) dla rozbiórki chodników:</w:t>
      </w:r>
    </w:p>
    <w:p w14:paraId="54520199" w14:textId="77777777" w:rsidR="0095337D" w:rsidRPr="00021789" w:rsidRDefault="0095337D" w:rsidP="00DE6499">
      <w:pPr>
        <w:pStyle w:val="Pro-Inwest"/>
        <w:numPr>
          <w:ilvl w:val="0"/>
          <w:numId w:val="31"/>
        </w:numPr>
        <w:spacing w:line="240" w:lineRule="auto"/>
        <w:jc w:val="both"/>
        <w:rPr>
          <w:rFonts w:asciiTheme="minorHAnsi" w:hAnsiTheme="minorHAnsi"/>
          <w:sz w:val="16"/>
          <w:szCs w:val="16"/>
        </w:rPr>
      </w:pPr>
      <w:r w:rsidRPr="00021789">
        <w:rPr>
          <w:rFonts w:asciiTheme="minorHAnsi" w:hAnsiTheme="minorHAnsi"/>
          <w:sz w:val="16"/>
          <w:szCs w:val="16"/>
        </w:rPr>
        <w:t>ręczne wyjęcie płyt chodnikowych, lub rozkucie i zerwanie innych materiałów chodnikowych,</w:t>
      </w:r>
    </w:p>
    <w:p w14:paraId="691439A0" w14:textId="77777777" w:rsidR="0095337D" w:rsidRPr="00021789" w:rsidRDefault="0095337D" w:rsidP="00DE6499">
      <w:pPr>
        <w:pStyle w:val="Pro-Inwest"/>
        <w:numPr>
          <w:ilvl w:val="0"/>
          <w:numId w:val="31"/>
        </w:numPr>
        <w:spacing w:line="240" w:lineRule="auto"/>
        <w:jc w:val="both"/>
        <w:rPr>
          <w:rFonts w:asciiTheme="minorHAnsi" w:hAnsiTheme="minorHAnsi"/>
          <w:sz w:val="16"/>
          <w:szCs w:val="16"/>
        </w:rPr>
      </w:pPr>
      <w:r w:rsidRPr="00021789">
        <w:rPr>
          <w:rFonts w:asciiTheme="minorHAnsi" w:hAnsiTheme="minorHAnsi"/>
          <w:sz w:val="16"/>
          <w:szCs w:val="16"/>
        </w:rPr>
        <w:t>ew. przesortowanie materiału uzyskanego z rozbiórki w celu ponownego jego użycia, z ułożeniem na poboczu,</w:t>
      </w:r>
    </w:p>
    <w:p w14:paraId="47F3904F" w14:textId="77777777" w:rsidR="0095337D" w:rsidRPr="00021789" w:rsidRDefault="0095337D" w:rsidP="00DE6499">
      <w:pPr>
        <w:pStyle w:val="Pro-Inwest"/>
        <w:numPr>
          <w:ilvl w:val="0"/>
          <w:numId w:val="31"/>
        </w:numPr>
        <w:spacing w:line="240" w:lineRule="auto"/>
        <w:jc w:val="both"/>
        <w:rPr>
          <w:rFonts w:asciiTheme="minorHAnsi" w:hAnsiTheme="minorHAnsi"/>
          <w:sz w:val="16"/>
          <w:szCs w:val="16"/>
        </w:rPr>
      </w:pPr>
      <w:r w:rsidRPr="00021789">
        <w:rPr>
          <w:rFonts w:asciiTheme="minorHAnsi" w:hAnsiTheme="minorHAnsi"/>
          <w:sz w:val="16"/>
          <w:szCs w:val="16"/>
        </w:rPr>
        <w:t>zerwanie podsypki cementowo-piaskowej,</w:t>
      </w:r>
    </w:p>
    <w:p w14:paraId="65F3F0BA" w14:textId="77777777" w:rsidR="0095337D" w:rsidRPr="00021789" w:rsidRDefault="0095337D" w:rsidP="00DE6499">
      <w:pPr>
        <w:pStyle w:val="Pro-Inwest"/>
        <w:numPr>
          <w:ilvl w:val="0"/>
          <w:numId w:val="31"/>
        </w:numPr>
        <w:spacing w:line="240" w:lineRule="auto"/>
        <w:jc w:val="both"/>
        <w:rPr>
          <w:rFonts w:asciiTheme="minorHAnsi" w:hAnsiTheme="minorHAnsi"/>
          <w:sz w:val="16"/>
          <w:szCs w:val="16"/>
        </w:rPr>
      </w:pPr>
      <w:r w:rsidRPr="00021789">
        <w:rPr>
          <w:rFonts w:asciiTheme="minorHAnsi" w:hAnsiTheme="minorHAnsi"/>
          <w:sz w:val="16"/>
          <w:szCs w:val="16"/>
        </w:rPr>
        <w:t>załadunek i wywiezienie materiałów z rozbiórki,</w:t>
      </w:r>
    </w:p>
    <w:p w14:paraId="5A66FB17" w14:textId="77777777" w:rsidR="0095337D" w:rsidRPr="00021789" w:rsidRDefault="0095337D" w:rsidP="00DE6499">
      <w:pPr>
        <w:pStyle w:val="Pro-Inwest"/>
        <w:numPr>
          <w:ilvl w:val="0"/>
          <w:numId w:val="31"/>
        </w:numPr>
        <w:spacing w:line="240" w:lineRule="auto"/>
        <w:jc w:val="both"/>
        <w:rPr>
          <w:rFonts w:asciiTheme="minorHAnsi" w:hAnsiTheme="minorHAnsi"/>
          <w:sz w:val="16"/>
          <w:szCs w:val="16"/>
        </w:rPr>
      </w:pPr>
      <w:r w:rsidRPr="00021789">
        <w:rPr>
          <w:rFonts w:asciiTheme="minorHAnsi" w:hAnsiTheme="minorHAnsi"/>
          <w:sz w:val="16"/>
          <w:szCs w:val="16"/>
        </w:rPr>
        <w:t>wyrównanie podłoża i uporządkowanie terenu rozbiórki;</w:t>
      </w:r>
    </w:p>
    <w:p w14:paraId="3BBB944C" w14:textId="77777777" w:rsidR="0095337D" w:rsidRPr="00021789" w:rsidRDefault="0095337D" w:rsidP="00DE6499">
      <w:pPr>
        <w:pStyle w:val="Pro-Inwest"/>
        <w:numPr>
          <w:ilvl w:val="0"/>
          <w:numId w:val="31"/>
        </w:numPr>
        <w:spacing w:line="240" w:lineRule="auto"/>
        <w:jc w:val="both"/>
        <w:rPr>
          <w:rFonts w:asciiTheme="minorHAnsi" w:hAnsiTheme="minorHAnsi"/>
          <w:sz w:val="16"/>
          <w:szCs w:val="16"/>
        </w:rPr>
      </w:pPr>
      <w:r w:rsidRPr="00021789">
        <w:rPr>
          <w:rFonts w:asciiTheme="minorHAnsi" w:hAnsiTheme="minorHAnsi"/>
          <w:sz w:val="16"/>
          <w:szCs w:val="16"/>
        </w:rPr>
        <w:t>uporządkowanie terenu rozbiórki;</w:t>
      </w:r>
    </w:p>
    <w:p w14:paraId="2634F383" w14:textId="77777777" w:rsidR="0095337D" w:rsidRPr="00021789" w:rsidRDefault="00EA24EE"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e</w:t>
      </w:r>
      <w:r w:rsidR="0095337D" w:rsidRPr="00021789">
        <w:rPr>
          <w:rFonts w:asciiTheme="minorHAnsi" w:hAnsiTheme="minorHAnsi"/>
          <w:sz w:val="16"/>
          <w:szCs w:val="16"/>
        </w:rPr>
        <w:t xml:space="preserve">) dla rozbiórki </w:t>
      </w:r>
      <w:r w:rsidR="00E60E10" w:rsidRPr="00021789">
        <w:rPr>
          <w:rFonts w:asciiTheme="minorHAnsi" w:hAnsiTheme="minorHAnsi"/>
          <w:sz w:val="16"/>
          <w:szCs w:val="16"/>
        </w:rPr>
        <w:t>ścieków</w:t>
      </w:r>
      <w:r w:rsidR="0095337D" w:rsidRPr="00021789">
        <w:rPr>
          <w:rFonts w:asciiTheme="minorHAnsi" w:hAnsiTheme="minorHAnsi"/>
          <w:sz w:val="16"/>
          <w:szCs w:val="16"/>
        </w:rPr>
        <w:t>:</w:t>
      </w:r>
    </w:p>
    <w:p w14:paraId="586EC281" w14:textId="77777777" w:rsidR="0095337D" w:rsidRPr="00021789" w:rsidRDefault="0095337D" w:rsidP="00DE6499">
      <w:pPr>
        <w:pStyle w:val="Pro-Inwest"/>
        <w:numPr>
          <w:ilvl w:val="0"/>
          <w:numId w:val="32"/>
        </w:numPr>
        <w:spacing w:line="240" w:lineRule="auto"/>
        <w:jc w:val="both"/>
        <w:rPr>
          <w:rFonts w:asciiTheme="minorHAnsi" w:hAnsiTheme="minorHAnsi"/>
          <w:sz w:val="16"/>
          <w:szCs w:val="16"/>
        </w:rPr>
      </w:pPr>
      <w:r w:rsidRPr="00021789">
        <w:rPr>
          <w:rFonts w:asciiTheme="minorHAnsi" w:hAnsiTheme="minorHAnsi"/>
          <w:sz w:val="16"/>
          <w:szCs w:val="16"/>
        </w:rPr>
        <w:t xml:space="preserve">odkopanie </w:t>
      </w:r>
      <w:r w:rsidR="00E60E10" w:rsidRPr="00021789">
        <w:rPr>
          <w:rFonts w:asciiTheme="minorHAnsi" w:hAnsiTheme="minorHAnsi"/>
          <w:sz w:val="16"/>
          <w:szCs w:val="16"/>
        </w:rPr>
        <w:t>ścieku, ław</w:t>
      </w:r>
      <w:r w:rsidRPr="00021789">
        <w:rPr>
          <w:rFonts w:asciiTheme="minorHAnsi" w:hAnsiTheme="minorHAnsi"/>
          <w:sz w:val="16"/>
          <w:szCs w:val="16"/>
        </w:rPr>
        <w:t xml:space="preserve"> itp.,</w:t>
      </w:r>
    </w:p>
    <w:p w14:paraId="2C28A781" w14:textId="77777777" w:rsidR="0095337D" w:rsidRPr="00021789" w:rsidRDefault="0095337D" w:rsidP="00DE6499">
      <w:pPr>
        <w:pStyle w:val="Pro-Inwest"/>
        <w:numPr>
          <w:ilvl w:val="0"/>
          <w:numId w:val="32"/>
        </w:numPr>
        <w:spacing w:line="240" w:lineRule="auto"/>
        <w:jc w:val="both"/>
        <w:rPr>
          <w:rFonts w:asciiTheme="minorHAnsi" w:hAnsiTheme="minorHAnsi"/>
          <w:sz w:val="16"/>
          <w:szCs w:val="16"/>
        </w:rPr>
      </w:pPr>
      <w:r w:rsidRPr="00021789">
        <w:rPr>
          <w:rFonts w:asciiTheme="minorHAnsi" w:hAnsiTheme="minorHAnsi"/>
          <w:sz w:val="16"/>
          <w:szCs w:val="16"/>
        </w:rPr>
        <w:t xml:space="preserve">rozebranie elementów </w:t>
      </w:r>
      <w:r w:rsidR="00E60E10" w:rsidRPr="00021789">
        <w:rPr>
          <w:rFonts w:asciiTheme="minorHAnsi" w:hAnsiTheme="minorHAnsi"/>
          <w:sz w:val="16"/>
          <w:szCs w:val="16"/>
        </w:rPr>
        <w:t>ścieku</w:t>
      </w:r>
      <w:r w:rsidRPr="00021789">
        <w:rPr>
          <w:rFonts w:asciiTheme="minorHAnsi" w:hAnsiTheme="minorHAnsi"/>
          <w:sz w:val="16"/>
          <w:szCs w:val="16"/>
        </w:rPr>
        <w:t>,</w:t>
      </w:r>
    </w:p>
    <w:p w14:paraId="2EAED522" w14:textId="77777777" w:rsidR="0095337D" w:rsidRPr="00021789" w:rsidRDefault="0095337D" w:rsidP="00DE6499">
      <w:pPr>
        <w:pStyle w:val="Pro-Inwest"/>
        <w:numPr>
          <w:ilvl w:val="0"/>
          <w:numId w:val="32"/>
        </w:numPr>
        <w:spacing w:line="240" w:lineRule="auto"/>
        <w:jc w:val="both"/>
        <w:rPr>
          <w:rFonts w:asciiTheme="minorHAnsi" w:hAnsiTheme="minorHAnsi"/>
          <w:sz w:val="16"/>
          <w:szCs w:val="16"/>
        </w:rPr>
      </w:pPr>
      <w:r w:rsidRPr="00021789">
        <w:rPr>
          <w:rFonts w:asciiTheme="minorHAnsi" w:hAnsiTheme="minorHAnsi"/>
          <w:sz w:val="16"/>
          <w:szCs w:val="16"/>
        </w:rPr>
        <w:t>sortowanie i pryzmowanie odzyskanych materiałów,</w:t>
      </w:r>
    </w:p>
    <w:p w14:paraId="043347F5" w14:textId="77777777" w:rsidR="0095337D" w:rsidRPr="00021789" w:rsidRDefault="0095337D" w:rsidP="00DE6499">
      <w:pPr>
        <w:pStyle w:val="Pro-Inwest"/>
        <w:numPr>
          <w:ilvl w:val="0"/>
          <w:numId w:val="32"/>
        </w:numPr>
        <w:spacing w:line="240" w:lineRule="auto"/>
        <w:jc w:val="both"/>
        <w:rPr>
          <w:rFonts w:asciiTheme="minorHAnsi" w:hAnsiTheme="minorHAnsi"/>
          <w:sz w:val="16"/>
          <w:szCs w:val="16"/>
        </w:rPr>
      </w:pPr>
      <w:r w:rsidRPr="00021789">
        <w:rPr>
          <w:rFonts w:asciiTheme="minorHAnsi" w:hAnsiTheme="minorHAnsi"/>
          <w:sz w:val="16"/>
          <w:szCs w:val="16"/>
        </w:rPr>
        <w:t>załadunek i wywiezienie materiałów z rozbiórki,</w:t>
      </w:r>
    </w:p>
    <w:p w14:paraId="3E5C23DF" w14:textId="77777777" w:rsidR="0095337D" w:rsidRPr="00021789" w:rsidRDefault="0095337D" w:rsidP="00DE6499">
      <w:pPr>
        <w:pStyle w:val="Pro-Inwest"/>
        <w:numPr>
          <w:ilvl w:val="0"/>
          <w:numId w:val="32"/>
        </w:numPr>
        <w:spacing w:line="240" w:lineRule="auto"/>
        <w:jc w:val="both"/>
        <w:rPr>
          <w:rFonts w:asciiTheme="minorHAnsi" w:hAnsiTheme="minorHAnsi"/>
          <w:sz w:val="16"/>
          <w:szCs w:val="16"/>
        </w:rPr>
      </w:pPr>
      <w:r w:rsidRPr="00021789">
        <w:rPr>
          <w:rFonts w:asciiTheme="minorHAnsi" w:hAnsiTheme="minorHAnsi"/>
          <w:sz w:val="16"/>
          <w:szCs w:val="16"/>
        </w:rPr>
        <w:t xml:space="preserve">zasypanie dołów (wykopów) gruntem z zagęszczeniem do uzyskania </w:t>
      </w:r>
      <w:proofErr w:type="spellStart"/>
      <w:r w:rsidRPr="00021789">
        <w:rPr>
          <w:rFonts w:asciiTheme="minorHAnsi" w:hAnsiTheme="minorHAnsi"/>
          <w:sz w:val="16"/>
          <w:szCs w:val="16"/>
        </w:rPr>
        <w:t>Is</w:t>
      </w:r>
      <w:proofErr w:type="spellEnd"/>
      <w:r w:rsidRPr="00021789">
        <w:rPr>
          <w:rFonts w:asciiTheme="minorHAnsi" w:hAnsiTheme="minorHAnsi"/>
          <w:sz w:val="16"/>
          <w:szCs w:val="16"/>
        </w:rPr>
        <w:t xml:space="preserve"> </w:t>
      </w:r>
      <w:r w:rsidRPr="00021789">
        <w:rPr>
          <w:rFonts w:asciiTheme="minorHAnsi" w:hAnsiTheme="minorHAnsi"/>
          <w:sz w:val="16"/>
          <w:szCs w:val="16"/>
        </w:rPr>
        <w:t> 1,00 wg BN-77/8931-12 [9],</w:t>
      </w:r>
    </w:p>
    <w:p w14:paraId="6FD8FFBF" w14:textId="77777777" w:rsidR="0095337D" w:rsidRPr="00021789" w:rsidRDefault="0095337D" w:rsidP="00DE6499">
      <w:pPr>
        <w:pStyle w:val="Pro-Inwest"/>
        <w:numPr>
          <w:ilvl w:val="0"/>
          <w:numId w:val="32"/>
        </w:numPr>
        <w:spacing w:line="240" w:lineRule="auto"/>
        <w:jc w:val="both"/>
        <w:rPr>
          <w:rFonts w:asciiTheme="minorHAnsi" w:hAnsiTheme="minorHAnsi"/>
          <w:sz w:val="16"/>
          <w:szCs w:val="16"/>
        </w:rPr>
      </w:pPr>
      <w:r w:rsidRPr="00021789">
        <w:rPr>
          <w:rFonts w:asciiTheme="minorHAnsi" w:hAnsiTheme="minorHAnsi"/>
          <w:sz w:val="16"/>
          <w:szCs w:val="16"/>
        </w:rPr>
        <w:t>uporządkowanie terenu rozbiórki.</w:t>
      </w:r>
    </w:p>
    <w:p w14:paraId="72D82524" w14:textId="77777777" w:rsidR="0087508A" w:rsidRPr="00021789" w:rsidRDefault="0087508A" w:rsidP="0087508A">
      <w:pPr>
        <w:tabs>
          <w:tab w:val="right" w:leader="dot" w:pos="-1985"/>
          <w:tab w:val="left" w:pos="426"/>
          <w:tab w:val="right" w:leader="dot" w:pos="8505"/>
        </w:tabs>
        <w:rPr>
          <w:rFonts w:ascii="Arial" w:hAnsi="Arial" w:cs="Arial"/>
          <w:sz w:val="14"/>
          <w:szCs w:val="14"/>
        </w:rPr>
      </w:pPr>
      <w:r w:rsidRPr="00021789">
        <w:rPr>
          <w:rFonts w:ascii="Arial" w:hAnsi="Arial" w:cs="Arial"/>
          <w:sz w:val="14"/>
          <w:szCs w:val="14"/>
        </w:rPr>
        <w:t>f) dla rozbiórki ogrodzeń:</w:t>
      </w:r>
    </w:p>
    <w:p w14:paraId="6915BF80" w14:textId="77777777" w:rsidR="0087508A" w:rsidRPr="00021789" w:rsidRDefault="0087508A" w:rsidP="0087508A">
      <w:pPr>
        <w:widowControl w:val="0"/>
        <w:numPr>
          <w:ilvl w:val="0"/>
          <w:numId w:val="32"/>
        </w:numPr>
        <w:tabs>
          <w:tab w:val="right" w:leader="dot" w:pos="-853"/>
          <w:tab w:val="left" w:pos="1558"/>
          <w:tab w:val="right" w:leader="dot" w:pos="9637"/>
        </w:tabs>
        <w:suppressAutoHyphens/>
        <w:spacing w:after="0" w:line="240" w:lineRule="auto"/>
        <w:rPr>
          <w:rFonts w:ascii="Arial" w:hAnsi="Arial" w:cs="Arial"/>
          <w:sz w:val="14"/>
          <w:szCs w:val="14"/>
        </w:rPr>
      </w:pPr>
      <w:r w:rsidRPr="00021789">
        <w:rPr>
          <w:rFonts w:ascii="Arial" w:hAnsi="Arial" w:cs="Arial"/>
          <w:sz w:val="14"/>
          <w:szCs w:val="14"/>
        </w:rPr>
        <w:t>demontaż elementów ogrodzenia,</w:t>
      </w:r>
    </w:p>
    <w:p w14:paraId="02608139" w14:textId="77777777" w:rsidR="0087508A" w:rsidRPr="00021789" w:rsidRDefault="0087508A" w:rsidP="0087508A">
      <w:pPr>
        <w:widowControl w:val="0"/>
        <w:numPr>
          <w:ilvl w:val="0"/>
          <w:numId w:val="32"/>
        </w:numPr>
        <w:tabs>
          <w:tab w:val="right" w:leader="dot" w:pos="-853"/>
          <w:tab w:val="left" w:pos="1558"/>
          <w:tab w:val="right" w:leader="dot" w:pos="9637"/>
        </w:tabs>
        <w:suppressAutoHyphens/>
        <w:spacing w:after="0" w:line="240" w:lineRule="auto"/>
        <w:rPr>
          <w:rFonts w:ascii="Arial" w:hAnsi="Arial" w:cs="Arial"/>
          <w:sz w:val="14"/>
          <w:szCs w:val="14"/>
        </w:rPr>
      </w:pPr>
      <w:r w:rsidRPr="00021789">
        <w:rPr>
          <w:rFonts w:ascii="Arial" w:hAnsi="Arial" w:cs="Arial"/>
          <w:sz w:val="14"/>
          <w:szCs w:val="14"/>
        </w:rPr>
        <w:t>odkopanie i wydobycie słupków wraz z fundamentem,</w:t>
      </w:r>
    </w:p>
    <w:p w14:paraId="4B4A1484" w14:textId="77777777" w:rsidR="0087508A" w:rsidRPr="00021789" w:rsidRDefault="0087508A" w:rsidP="0087508A">
      <w:pPr>
        <w:widowControl w:val="0"/>
        <w:numPr>
          <w:ilvl w:val="0"/>
          <w:numId w:val="32"/>
        </w:numPr>
        <w:tabs>
          <w:tab w:val="right" w:leader="dot" w:pos="-853"/>
          <w:tab w:val="left" w:pos="1558"/>
          <w:tab w:val="right" w:leader="dot" w:pos="9637"/>
        </w:tabs>
        <w:suppressAutoHyphens/>
        <w:spacing w:after="0" w:line="240" w:lineRule="auto"/>
        <w:rPr>
          <w:rFonts w:ascii="Arial" w:hAnsi="Arial" w:cs="Arial"/>
          <w:sz w:val="14"/>
          <w:szCs w:val="14"/>
        </w:rPr>
      </w:pPr>
      <w:r w:rsidRPr="00021789">
        <w:rPr>
          <w:rFonts w:ascii="Arial" w:hAnsi="Arial" w:cs="Arial"/>
          <w:sz w:val="14"/>
          <w:szCs w:val="14"/>
        </w:rPr>
        <w:t xml:space="preserve">zasypanie dołów po słupkach z zagęszczeniem do uzyskania </w:t>
      </w:r>
      <w:proofErr w:type="spellStart"/>
      <w:r w:rsidRPr="00021789">
        <w:rPr>
          <w:rFonts w:ascii="Arial" w:hAnsi="Arial" w:cs="Arial"/>
          <w:sz w:val="14"/>
          <w:szCs w:val="14"/>
        </w:rPr>
        <w:t>Is</w:t>
      </w:r>
      <w:proofErr w:type="spellEnd"/>
      <w:r w:rsidRPr="00021789">
        <w:rPr>
          <w:rFonts w:ascii="Arial" w:hAnsi="Arial" w:cs="Arial"/>
          <w:sz w:val="14"/>
          <w:szCs w:val="14"/>
        </w:rPr>
        <w:t xml:space="preserve"> </w:t>
      </w:r>
      <w:r w:rsidRPr="00021789">
        <w:rPr>
          <w:rFonts w:ascii="Arial" w:hAnsi="Arial" w:cs="Arial"/>
          <w:sz w:val="14"/>
          <w:szCs w:val="14"/>
        </w:rPr>
        <w:t> 1,00 wg BN-77/8931-12 [9],</w:t>
      </w:r>
    </w:p>
    <w:p w14:paraId="7401D741" w14:textId="77777777" w:rsidR="0087508A" w:rsidRPr="00021789" w:rsidRDefault="0087508A" w:rsidP="0087508A">
      <w:pPr>
        <w:widowControl w:val="0"/>
        <w:numPr>
          <w:ilvl w:val="0"/>
          <w:numId w:val="32"/>
        </w:numPr>
        <w:tabs>
          <w:tab w:val="right" w:leader="dot" w:pos="-853"/>
          <w:tab w:val="left" w:pos="1558"/>
          <w:tab w:val="right" w:leader="dot" w:pos="9637"/>
        </w:tabs>
        <w:suppressAutoHyphens/>
        <w:spacing w:after="0" w:line="240" w:lineRule="auto"/>
        <w:rPr>
          <w:rFonts w:ascii="Arial" w:hAnsi="Arial" w:cs="Arial"/>
          <w:sz w:val="14"/>
          <w:szCs w:val="14"/>
        </w:rPr>
      </w:pPr>
      <w:r w:rsidRPr="00021789">
        <w:rPr>
          <w:rFonts w:ascii="Arial" w:hAnsi="Arial" w:cs="Arial"/>
          <w:sz w:val="14"/>
          <w:szCs w:val="14"/>
        </w:rPr>
        <w:t>ew. przesortowanie materiału uzyskanego z rozbiórki, w celu ponownego jego użycia, z ułożeniem w stosy na poboczu,</w:t>
      </w:r>
    </w:p>
    <w:p w14:paraId="05ABDE84" w14:textId="77777777" w:rsidR="0087508A" w:rsidRPr="00021789" w:rsidRDefault="0087508A" w:rsidP="0087508A">
      <w:pPr>
        <w:widowControl w:val="0"/>
        <w:numPr>
          <w:ilvl w:val="0"/>
          <w:numId w:val="32"/>
        </w:numPr>
        <w:tabs>
          <w:tab w:val="right" w:leader="dot" w:pos="-853"/>
          <w:tab w:val="left" w:pos="1558"/>
          <w:tab w:val="right" w:leader="dot" w:pos="9637"/>
        </w:tabs>
        <w:suppressAutoHyphens/>
        <w:spacing w:after="0" w:line="240" w:lineRule="auto"/>
        <w:rPr>
          <w:rFonts w:ascii="Arial" w:hAnsi="Arial" w:cs="Arial"/>
          <w:sz w:val="14"/>
          <w:szCs w:val="14"/>
        </w:rPr>
      </w:pPr>
      <w:r w:rsidRPr="00021789">
        <w:rPr>
          <w:rFonts w:ascii="Arial" w:hAnsi="Arial" w:cs="Arial"/>
          <w:sz w:val="14"/>
          <w:szCs w:val="14"/>
        </w:rPr>
        <w:t>załadunek i wywiezienie materiałów z rozbiórki,</w:t>
      </w:r>
    </w:p>
    <w:p w14:paraId="2D8411D8" w14:textId="77777777" w:rsidR="0087508A" w:rsidRPr="00021789" w:rsidRDefault="0087508A" w:rsidP="0087508A">
      <w:pPr>
        <w:widowControl w:val="0"/>
        <w:numPr>
          <w:ilvl w:val="0"/>
          <w:numId w:val="32"/>
        </w:numPr>
        <w:tabs>
          <w:tab w:val="right" w:leader="dot" w:pos="-853"/>
          <w:tab w:val="left" w:pos="1558"/>
          <w:tab w:val="right" w:leader="dot" w:pos="9637"/>
        </w:tabs>
        <w:suppressAutoHyphens/>
        <w:spacing w:after="0" w:line="240" w:lineRule="auto"/>
        <w:rPr>
          <w:rFonts w:ascii="Arial" w:hAnsi="Arial" w:cs="Arial"/>
          <w:sz w:val="14"/>
          <w:szCs w:val="14"/>
        </w:rPr>
      </w:pPr>
      <w:r w:rsidRPr="00021789">
        <w:rPr>
          <w:rFonts w:ascii="Arial" w:hAnsi="Arial" w:cs="Arial"/>
          <w:sz w:val="14"/>
          <w:szCs w:val="14"/>
        </w:rPr>
        <w:t>uporządkowanie terenu rozbiórki;</w:t>
      </w:r>
    </w:p>
    <w:p w14:paraId="3EAD6588" w14:textId="77777777" w:rsidR="0087508A" w:rsidRPr="00021789" w:rsidRDefault="0087508A" w:rsidP="0087508A">
      <w:pPr>
        <w:pStyle w:val="Pro-Inwest"/>
        <w:spacing w:line="240" w:lineRule="auto"/>
        <w:ind w:left="720"/>
        <w:jc w:val="both"/>
        <w:rPr>
          <w:rFonts w:asciiTheme="minorHAnsi" w:hAnsiTheme="minorHAnsi"/>
          <w:sz w:val="16"/>
          <w:szCs w:val="16"/>
        </w:rPr>
      </w:pPr>
    </w:p>
    <w:p w14:paraId="1D1CF8FC"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lastRenderedPageBreak/>
        <w:t>10. PRZEPISY ZWIĄZANE</w:t>
      </w:r>
    </w:p>
    <w:p w14:paraId="7B88A892" w14:textId="77777777" w:rsidR="0095337D" w:rsidRPr="00021789" w:rsidRDefault="0095337D" w:rsidP="0095337D">
      <w:pPr>
        <w:pStyle w:val="Pro-Inwest"/>
        <w:spacing w:line="240" w:lineRule="auto"/>
        <w:jc w:val="both"/>
        <w:rPr>
          <w:rFonts w:asciiTheme="minorHAnsi" w:hAnsiTheme="minorHAnsi"/>
          <w:b/>
          <w:sz w:val="16"/>
          <w:szCs w:val="16"/>
        </w:rPr>
      </w:pPr>
      <w:r w:rsidRPr="00021789">
        <w:rPr>
          <w:rFonts w:asciiTheme="minorHAnsi" w:hAnsiTheme="minorHAnsi"/>
          <w:b/>
          <w:sz w:val="16"/>
          <w:szCs w:val="16"/>
        </w:rPr>
        <w:t>Normy</w:t>
      </w:r>
    </w:p>
    <w:tbl>
      <w:tblPr>
        <w:tblW w:w="0" w:type="auto"/>
        <w:tblLayout w:type="fixed"/>
        <w:tblCellMar>
          <w:left w:w="70" w:type="dxa"/>
          <w:right w:w="70" w:type="dxa"/>
        </w:tblCellMar>
        <w:tblLook w:val="0000" w:firstRow="0" w:lastRow="0" w:firstColumn="0" w:lastColumn="0" w:noHBand="0" w:noVBand="0"/>
      </w:tblPr>
      <w:tblGrid>
        <w:gridCol w:w="496"/>
        <w:gridCol w:w="2551"/>
        <w:gridCol w:w="4394"/>
      </w:tblGrid>
      <w:tr w:rsidR="00021789" w:rsidRPr="00021789" w14:paraId="22A1C751" w14:textId="77777777" w:rsidTr="00857387">
        <w:tc>
          <w:tcPr>
            <w:tcW w:w="496" w:type="dxa"/>
          </w:tcPr>
          <w:p w14:paraId="44B7DEC0"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1.</w:t>
            </w:r>
          </w:p>
        </w:tc>
        <w:tc>
          <w:tcPr>
            <w:tcW w:w="2551" w:type="dxa"/>
          </w:tcPr>
          <w:p w14:paraId="5CE95360"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PN-D-95017</w:t>
            </w:r>
          </w:p>
        </w:tc>
        <w:tc>
          <w:tcPr>
            <w:tcW w:w="4394" w:type="dxa"/>
          </w:tcPr>
          <w:p w14:paraId="7E306BBA"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Surowiec drzewny. Drewno tartaczne iglaste.</w:t>
            </w:r>
          </w:p>
        </w:tc>
      </w:tr>
      <w:tr w:rsidR="00021789" w:rsidRPr="00021789" w14:paraId="3CCEF09D" w14:textId="77777777" w:rsidTr="00857387">
        <w:tc>
          <w:tcPr>
            <w:tcW w:w="496" w:type="dxa"/>
          </w:tcPr>
          <w:p w14:paraId="336834EF"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2.</w:t>
            </w:r>
          </w:p>
        </w:tc>
        <w:tc>
          <w:tcPr>
            <w:tcW w:w="2551" w:type="dxa"/>
          </w:tcPr>
          <w:p w14:paraId="3FC38BBE"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PN-D-96000</w:t>
            </w:r>
          </w:p>
        </w:tc>
        <w:tc>
          <w:tcPr>
            <w:tcW w:w="4394" w:type="dxa"/>
          </w:tcPr>
          <w:p w14:paraId="4BD4C679"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Tarcica iglasta ogólnego przeznaczenia</w:t>
            </w:r>
          </w:p>
        </w:tc>
      </w:tr>
      <w:tr w:rsidR="00021789" w:rsidRPr="00021789" w14:paraId="1FFED0E7" w14:textId="77777777" w:rsidTr="00857387">
        <w:tc>
          <w:tcPr>
            <w:tcW w:w="496" w:type="dxa"/>
          </w:tcPr>
          <w:p w14:paraId="69F19D03"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3.</w:t>
            </w:r>
          </w:p>
        </w:tc>
        <w:tc>
          <w:tcPr>
            <w:tcW w:w="2551" w:type="dxa"/>
          </w:tcPr>
          <w:p w14:paraId="75215E18"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PN-D-96002</w:t>
            </w:r>
          </w:p>
        </w:tc>
        <w:tc>
          <w:tcPr>
            <w:tcW w:w="4394" w:type="dxa"/>
          </w:tcPr>
          <w:p w14:paraId="1C23AF0A"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Tarcica liściasta ogólnego przeznaczenia</w:t>
            </w:r>
          </w:p>
        </w:tc>
      </w:tr>
      <w:tr w:rsidR="00021789" w:rsidRPr="00021789" w14:paraId="6D0274B1" w14:textId="77777777" w:rsidTr="00857387">
        <w:tc>
          <w:tcPr>
            <w:tcW w:w="496" w:type="dxa"/>
          </w:tcPr>
          <w:p w14:paraId="0DA0DF39"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4.</w:t>
            </w:r>
          </w:p>
        </w:tc>
        <w:tc>
          <w:tcPr>
            <w:tcW w:w="2551" w:type="dxa"/>
          </w:tcPr>
          <w:p w14:paraId="6FA0551C"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PN-H-74219</w:t>
            </w:r>
          </w:p>
        </w:tc>
        <w:tc>
          <w:tcPr>
            <w:tcW w:w="4394" w:type="dxa"/>
          </w:tcPr>
          <w:p w14:paraId="74EE1758"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Rury stalowe bez szwu walcowane na gorąco ogólnego stosowania</w:t>
            </w:r>
          </w:p>
        </w:tc>
      </w:tr>
      <w:tr w:rsidR="00021789" w:rsidRPr="00021789" w14:paraId="6DFCF903" w14:textId="77777777" w:rsidTr="00857387">
        <w:tc>
          <w:tcPr>
            <w:tcW w:w="496" w:type="dxa"/>
          </w:tcPr>
          <w:p w14:paraId="12438F88"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5.</w:t>
            </w:r>
          </w:p>
        </w:tc>
        <w:tc>
          <w:tcPr>
            <w:tcW w:w="2551" w:type="dxa"/>
          </w:tcPr>
          <w:p w14:paraId="44E6172B"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PN-H-74220</w:t>
            </w:r>
          </w:p>
        </w:tc>
        <w:tc>
          <w:tcPr>
            <w:tcW w:w="4394" w:type="dxa"/>
          </w:tcPr>
          <w:p w14:paraId="4A13A064"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Rury stalowe bez szwu ciągnione i walcowane na zimno ogólnego przeznaczenia</w:t>
            </w:r>
          </w:p>
        </w:tc>
      </w:tr>
      <w:tr w:rsidR="00021789" w:rsidRPr="00021789" w14:paraId="11A48CD4" w14:textId="77777777" w:rsidTr="00857387">
        <w:tc>
          <w:tcPr>
            <w:tcW w:w="496" w:type="dxa"/>
          </w:tcPr>
          <w:p w14:paraId="1CE9DC62"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6.</w:t>
            </w:r>
          </w:p>
        </w:tc>
        <w:tc>
          <w:tcPr>
            <w:tcW w:w="2551" w:type="dxa"/>
          </w:tcPr>
          <w:p w14:paraId="52B84B7B"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PN-H-93401</w:t>
            </w:r>
          </w:p>
        </w:tc>
        <w:tc>
          <w:tcPr>
            <w:tcW w:w="4394" w:type="dxa"/>
          </w:tcPr>
          <w:p w14:paraId="03348A26"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Stal walcowana. Kątowniki równoramienne</w:t>
            </w:r>
          </w:p>
        </w:tc>
      </w:tr>
      <w:tr w:rsidR="00021789" w:rsidRPr="00021789" w14:paraId="3009B5F6" w14:textId="77777777" w:rsidTr="00857387">
        <w:tc>
          <w:tcPr>
            <w:tcW w:w="496" w:type="dxa"/>
          </w:tcPr>
          <w:p w14:paraId="70BB5D42"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7.</w:t>
            </w:r>
          </w:p>
        </w:tc>
        <w:tc>
          <w:tcPr>
            <w:tcW w:w="2551" w:type="dxa"/>
          </w:tcPr>
          <w:p w14:paraId="5EF59F51"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PN-H-93402</w:t>
            </w:r>
          </w:p>
        </w:tc>
        <w:tc>
          <w:tcPr>
            <w:tcW w:w="4394" w:type="dxa"/>
          </w:tcPr>
          <w:p w14:paraId="0FEDC776"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Kątowniki nierównoramienne stalowe walcowane na gorąco</w:t>
            </w:r>
          </w:p>
        </w:tc>
      </w:tr>
      <w:tr w:rsidR="00021789" w:rsidRPr="00021789" w14:paraId="4E39FAFA" w14:textId="77777777" w:rsidTr="00857387">
        <w:tc>
          <w:tcPr>
            <w:tcW w:w="496" w:type="dxa"/>
          </w:tcPr>
          <w:p w14:paraId="7F966BC4"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8.</w:t>
            </w:r>
          </w:p>
        </w:tc>
        <w:tc>
          <w:tcPr>
            <w:tcW w:w="2551" w:type="dxa"/>
          </w:tcPr>
          <w:p w14:paraId="48B13065"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BN-87/5028-12</w:t>
            </w:r>
          </w:p>
        </w:tc>
        <w:tc>
          <w:tcPr>
            <w:tcW w:w="4394" w:type="dxa"/>
          </w:tcPr>
          <w:p w14:paraId="509A65A3"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Gwoździe budowlane. Gwoździe z trzpieniem gładkim, okrągłym i kwadratowym</w:t>
            </w:r>
          </w:p>
        </w:tc>
      </w:tr>
      <w:tr w:rsidR="00EA24EE" w:rsidRPr="00021789" w14:paraId="2BB64385" w14:textId="77777777" w:rsidTr="00857387">
        <w:tc>
          <w:tcPr>
            <w:tcW w:w="496" w:type="dxa"/>
          </w:tcPr>
          <w:p w14:paraId="215E1DB7"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9.</w:t>
            </w:r>
          </w:p>
        </w:tc>
        <w:tc>
          <w:tcPr>
            <w:tcW w:w="2551" w:type="dxa"/>
          </w:tcPr>
          <w:p w14:paraId="32A6C79A"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BN-77/8931-12</w:t>
            </w:r>
          </w:p>
        </w:tc>
        <w:tc>
          <w:tcPr>
            <w:tcW w:w="4394" w:type="dxa"/>
          </w:tcPr>
          <w:p w14:paraId="43443BC8" w14:textId="77777777" w:rsidR="0095337D" w:rsidRPr="00021789" w:rsidRDefault="0095337D" w:rsidP="0095337D">
            <w:pPr>
              <w:pStyle w:val="Pro-Inwest"/>
              <w:spacing w:line="240" w:lineRule="auto"/>
              <w:jc w:val="both"/>
              <w:rPr>
                <w:rFonts w:asciiTheme="minorHAnsi" w:hAnsiTheme="minorHAnsi"/>
                <w:sz w:val="16"/>
                <w:szCs w:val="16"/>
              </w:rPr>
            </w:pPr>
            <w:r w:rsidRPr="00021789">
              <w:rPr>
                <w:rFonts w:asciiTheme="minorHAnsi" w:hAnsiTheme="minorHAnsi"/>
                <w:sz w:val="16"/>
                <w:szCs w:val="16"/>
              </w:rPr>
              <w:t>Oznaczenie wskaźnika zagęszczenia gruntu.</w:t>
            </w:r>
          </w:p>
        </w:tc>
      </w:tr>
    </w:tbl>
    <w:p w14:paraId="0A491352" w14:textId="77777777" w:rsidR="000D56AD" w:rsidRPr="00021789" w:rsidRDefault="000D56AD" w:rsidP="00B7555B">
      <w:pPr>
        <w:pStyle w:val="Pro-Inwest"/>
        <w:spacing w:line="240" w:lineRule="auto"/>
        <w:jc w:val="both"/>
        <w:rPr>
          <w:rFonts w:asciiTheme="minorHAnsi" w:hAnsiTheme="minorHAnsi"/>
          <w:b/>
          <w:sz w:val="16"/>
          <w:szCs w:val="16"/>
        </w:rPr>
      </w:pPr>
    </w:p>
    <w:p w14:paraId="3076E7A3" w14:textId="77777777" w:rsidR="000D56AD" w:rsidRPr="00021789" w:rsidRDefault="000D56AD" w:rsidP="00B7555B">
      <w:pPr>
        <w:pStyle w:val="Pro-Inwest"/>
        <w:spacing w:line="240" w:lineRule="auto"/>
        <w:jc w:val="both"/>
        <w:rPr>
          <w:rFonts w:asciiTheme="minorHAnsi" w:hAnsiTheme="minorHAnsi"/>
          <w:b/>
          <w:sz w:val="16"/>
          <w:szCs w:val="16"/>
        </w:rPr>
      </w:pPr>
    </w:p>
    <w:p w14:paraId="5CA1308E" w14:textId="77777777" w:rsidR="000D56AD" w:rsidRPr="00021789" w:rsidRDefault="000D56AD" w:rsidP="00B7555B">
      <w:pPr>
        <w:pStyle w:val="Pro-Inwest"/>
        <w:spacing w:line="240" w:lineRule="auto"/>
        <w:jc w:val="both"/>
        <w:rPr>
          <w:rFonts w:asciiTheme="minorHAnsi" w:hAnsiTheme="minorHAnsi"/>
          <w:b/>
          <w:sz w:val="16"/>
          <w:szCs w:val="16"/>
        </w:rPr>
      </w:pPr>
    </w:p>
    <w:p w14:paraId="2ED09758" w14:textId="77777777" w:rsidR="000D56AD" w:rsidRPr="00021789" w:rsidRDefault="000D56AD" w:rsidP="00B7555B">
      <w:pPr>
        <w:pStyle w:val="Pro-Inwest"/>
        <w:spacing w:line="240" w:lineRule="auto"/>
        <w:jc w:val="both"/>
        <w:rPr>
          <w:rFonts w:asciiTheme="minorHAnsi" w:hAnsiTheme="minorHAnsi"/>
          <w:b/>
          <w:sz w:val="16"/>
          <w:szCs w:val="16"/>
        </w:rPr>
      </w:pPr>
    </w:p>
    <w:p w14:paraId="134AEA0E" w14:textId="77777777" w:rsidR="000D56AD" w:rsidRPr="00021789" w:rsidRDefault="000D56AD" w:rsidP="00B7555B">
      <w:pPr>
        <w:pStyle w:val="Pro-Inwest"/>
        <w:spacing w:line="240" w:lineRule="auto"/>
        <w:jc w:val="both"/>
        <w:rPr>
          <w:rFonts w:asciiTheme="minorHAnsi" w:hAnsiTheme="minorHAnsi"/>
          <w:b/>
          <w:sz w:val="16"/>
          <w:szCs w:val="16"/>
        </w:rPr>
      </w:pPr>
    </w:p>
    <w:p w14:paraId="3C01E1D2" w14:textId="77777777" w:rsidR="000D56AD" w:rsidRPr="00021789" w:rsidRDefault="000D56AD" w:rsidP="00B7555B">
      <w:pPr>
        <w:pStyle w:val="Pro-Inwest"/>
        <w:spacing w:line="240" w:lineRule="auto"/>
        <w:jc w:val="both"/>
        <w:rPr>
          <w:rFonts w:asciiTheme="minorHAnsi" w:hAnsiTheme="minorHAnsi"/>
          <w:b/>
          <w:sz w:val="16"/>
          <w:szCs w:val="16"/>
        </w:rPr>
      </w:pPr>
    </w:p>
    <w:p w14:paraId="2F40FAC0" w14:textId="77777777" w:rsidR="000D56AD" w:rsidRPr="00021789" w:rsidRDefault="000D56AD" w:rsidP="00B7555B">
      <w:pPr>
        <w:pStyle w:val="Pro-Inwest"/>
        <w:spacing w:line="240" w:lineRule="auto"/>
        <w:jc w:val="both"/>
        <w:rPr>
          <w:rFonts w:asciiTheme="minorHAnsi" w:hAnsiTheme="minorHAnsi"/>
          <w:b/>
          <w:sz w:val="16"/>
          <w:szCs w:val="16"/>
        </w:rPr>
      </w:pPr>
    </w:p>
    <w:p w14:paraId="6AE059D6" w14:textId="77777777" w:rsidR="000D56AD" w:rsidRPr="00021789" w:rsidRDefault="000D56AD" w:rsidP="00B7555B">
      <w:pPr>
        <w:pStyle w:val="Pro-Inwest"/>
        <w:spacing w:line="240" w:lineRule="auto"/>
        <w:jc w:val="both"/>
        <w:rPr>
          <w:rFonts w:asciiTheme="minorHAnsi" w:hAnsiTheme="minorHAnsi"/>
          <w:b/>
          <w:sz w:val="16"/>
          <w:szCs w:val="16"/>
        </w:rPr>
      </w:pPr>
    </w:p>
    <w:p w14:paraId="3BE34886" w14:textId="77777777" w:rsidR="000D56AD" w:rsidRPr="00021789" w:rsidRDefault="000D56AD" w:rsidP="00B7555B">
      <w:pPr>
        <w:pStyle w:val="Pro-Inwest"/>
        <w:spacing w:line="240" w:lineRule="auto"/>
        <w:jc w:val="both"/>
        <w:rPr>
          <w:rFonts w:asciiTheme="minorHAnsi" w:hAnsiTheme="minorHAnsi"/>
          <w:b/>
          <w:sz w:val="16"/>
          <w:szCs w:val="16"/>
        </w:rPr>
      </w:pPr>
    </w:p>
    <w:p w14:paraId="1962182B" w14:textId="77777777" w:rsidR="000D56AD" w:rsidRPr="00021789" w:rsidRDefault="000D56AD" w:rsidP="00B7555B">
      <w:pPr>
        <w:pStyle w:val="Pro-Inwest"/>
        <w:spacing w:line="240" w:lineRule="auto"/>
        <w:jc w:val="both"/>
        <w:rPr>
          <w:rFonts w:asciiTheme="minorHAnsi" w:hAnsiTheme="minorHAnsi"/>
          <w:b/>
          <w:sz w:val="16"/>
          <w:szCs w:val="16"/>
        </w:rPr>
      </w:pPr>
    </w:p>
    <w:p w14:paraId="6345FB24" w14:textId="77777777" w:rsidR="000D56AD" w:rsidRPr="00021789" w:rsidRDefault="000D56AD" w:rsidP="00B7555B">
      <w:pPr>
        <w:pStyle w:val="Pro-Inwest"/>
        <w:spacing w:line="240" w:lineRule="auto"/>
        <w:jc w:val="both"/>
        <w:rPr>
          <w:rFonts w:asciiTheme="minorHAnsi" w:hAnsiTheme="minorHAnsi"/>
          <w:b/>
          <w:sz w:val="16"/>
          <w:szCs w:val="16"/>
        </w:rPr>
      </w:pPr>
    </w:p>
    <w:p w14:paraId="0EC085E6" w14:textId="77777777" w:rsidR="000D56AD" w:rsidRPr="00021789" w:rsidRDefault="000D56AD" w:rsidP="00B7555B">
      <w:pPr>
        <w:pStyle w:val="Pro-Inwest"/>
        <w:spacing w:line="240" w:lineRule="auto"/>
        <w:jc w:val="both"/>
        <w:rPr>
          <w:rFonts w:asciiTheme="minorHAnsi" w:hAnsiTheme="minorHAnsi"/>
          <w:b/>
          <w:sz w:val="16"/>
          <w:szCs w:val="16"/>
        </w:rPr>
      </w:pPr>
    </w:p>
    <w:p w14:paraId="0ADD78AA" w14:textId="77777777" w:rsidR="000D56AD" w:rsidRPr="00021789" w:rsidRDefault="000D56AD" w:rsidP="00B7555B">
      <w:pPr>
        <w:pStyle w:val="Pro-Inwest"/>
        <w:spacing w:line="240" w:lineRule="auto"/>
        <w:jc w:val="both"/>
        <w:rPr>
          <w:rFonts w:asciiTheme="minorHAnsi" w:hAnsiTheme="minorHAnsi"/>
          <w:b/>
          <w:sz w:val="16"/>
          <w:szCs w:val="16"/>
        </w:rPr>
      </w:pPr>
    </w:p>
    <w:p w14:paraId="6D6AB665" w14:textId="77777777" w:rsidR="000D56AD" w:rsidRPr="00021789" w:rsidRDefault="000D56AD" w:rsidP="00B7555B">
      <w:pPr>
        <w:pStyle w:val="Pro-Inwest"/>
        <w:spacing w:line="240" w:lineRule="auto"/>
        <w:jc w:val="both"/>
        <w:rPr>
          <w:rFonts w:asciiTheme="minorHAnsi" w:hAnsiTheme="minorHAnsi"/>
          <w:b/>
          <w:sz w:val="16"/>
          <w:szCs w:val="16"/>
        </w:rPr>
      </w:pPr>
    </w:p>
    <w:p w14:paraId="31E43A14" w14:textId="77777777" w:rsidR="000D56AD" w:rsidRPr="00021789" w:rsidRDefault="000D56AD" w:rsidP="00B7555B">
      <w:pPr>
        <w:pStyle w:val="Pro-Inwest"/>
        <w:spacing w:line="240" w:lineRule="auto"/>
        <w:jc w:val="both"/>
        <w:rPr>
          <w:rFonts w:asciiTheme="minorHAnsi" w:hAnsiTheme="minorHAnsi"/>
          <w:b/>
          <w:sz w:val="16"/>
          <w:szCs w:val="16"/>
        </w:rPr>
      </w:pPr>
    </w:p>
    <w:p w14:paraId="1B94CEA2" w14:textId="77777777" w:rsidR="000D56AD" w:rsidRPr="00021789" w:rsidRDefault="000D56AD" w:rsidP="00B7555B">
      <w:pPr>
        <w:pStyle w:val="Pro-Inwest"/>
        <w:spacing w:line="240" w:lineRule="auto"/>
        <w:jc w:val="both"/>
        <w:rPr>
          <w:rFonts w:asciiTheme="minorHAnsi" w:hAnsiTheme="minorHAnsi"/>
          <w:b/>
          <w:sz w:val="16"/>
          <w:szCs w:val="16"/>
        </w:rPr>
      </w:pPr>
    </w:p>
    <w:p w14:paraId="36C7EDA0" w14:textId="77777777" w:rsidR="000D56AD" w:rsidRPr="00021789" w:rsidRDefault="000D56AD" w:rsidP="00B7555B">
      <w:pPr>
        <w:pStyle w:val="Pro-Inwest"/>
        <w:spacing w:line="240" w:lineRule="auto"/>
        <w:jc w:val="both"/>
        <w:rPr>
          <w:rFonts w:asciiTheme="minorHAnsi" w:hAnsiTheme="minorHAnsi"/>
          <w:b/>
          <w:sz w:val="16"/>
          <w:szCs w:val="16"/>
        </w:rPr>
      </w:pPr>
    </w:p>
    <w:p w14:paraId="2EF3E59F"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5DBCDE13"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31A06C86"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7270208D"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529DB330"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06F01CEC"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44922D1A"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36D90E18"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3FFE8BC8"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23454210"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33042173"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4084171D"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26778150" w14:textId="77777777" w:rsidR="000D56AD" w:rsidRPr="00021789" w:rsidRDefault="000D56AD" w:rsidP="00B7555B">
      <w:pPr>
        <w:pStyle w:val="Pro-Inwest"/>
        <w:spacing w:line="240" w:lineRule="auto"/>
        <w:jc w:val="both"/>
        <w:rPr>
          <w:rFonts w:asciiTheme="minorHAnsi" w:hAnsiTheme="minorHAnsi"/>
          <w:b/>
          <w:color w:val="FF0000"/>
          <w:sz w:val="16"/>
          <w:szCs w:val="16"/>
        </w:rPr>
      </w:pPr>
    </w:p>
    <w:p w14:paraId="51A8A25E"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4D69D4DA"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70178DD4"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52A8E7AA"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34CC4318"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1B36BD7F"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1E107972"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790FC8C0"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6D9572BF"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195FF31D"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10FE5E67"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0978581C"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68D8D09C" w14:textId="77777777" w:rsidR="00EA24EE" w:rsidRPr="00021789" w:rsidRDefault="00EA24EE" w:rsidP="00B7555B">
      <w:pPr>
        <w:pStyle w:val="Pro-Inwest"/>
        <w:spacing w:line="240" w:lineRule="auto"/>
        <w:jc w:val="both"/>
        <w:rPr>
          <w:rFonts w:asciiTheme="minorHAnsi" w:hAnsiTheme="minorHAnsi"/>
          <w:b/>
          <w:color w:val="FF0000"/>
          <w:sz w:val="16"/>
          <w:szCs w:val="16"/>
        </w:rPr>
      </w:pPr>
    </w:p>
    <w:p w14:paraId="60C7D17A" w14:textId="77777777" w:rsidR="00E706C2" w:rsidRPr="00021789" w:rsidRDefault="00E706C2" w:rsidP="00E706C2">
      <w:pPr>
        <w:pStyle w:val="Bezodstpw"/>
        <w:spacing w:line="276" w:lineRule="auto"/>
        <w:jc w:val="both"/>
        <w:rPr>
          <w:color w:val="FF0000"/>
          <w:sz w:val="16"/>
          <w:szCs w:val="16"/>
        </w:rPr>
      </w:pPr>
      <w:r w:rsidRPr="00021789">
        <w:rPr>
          <w:color w:val="FF0000"/>
          <w:sz w:val="16"/>
          <w:szCs w:val="16"/>
        </w:rPr>
        <w:t xml:space="preserve">  </w:t>
      </w:r>
    </w:p>
    <w:p w14:paraId="6CBC293B" w14:textId="77777777" w:rsidR="009D5399" w:rsidRPr="00021789" w:rsidRDefault="009D5399" w:rsidP="002F1879">
      <w:pPr>
        <w:pStyle w:val="Pro-Inwest"/>
        <w:jc w:val="both"/>
        <w:rPr>
          <w:rFonts w:asciiTheme="minorHAnsi" w:hAnsiTheme="minorHAnsi"/>
          <w:b/>
          <w:color w:val="FF0000"/>
          <w:sz w:val="16"/>
          <w:szCs w:val="16"/>
        </w:rPr>
      </w:pPr>
    </w:p>
    <w:p w14:paraId="0986BC91" w14:textId="77777777" w:rsidR="009D5399" w:rsidRPr="00021789" w:rsidRDefault="009D5399" w:rsidP="002F1879">
      <w:pPr>
        <w:pStyle w:val="Pro-Inwest"/>
        <w:jc w:val="both"/>
        <w:rPr>
          <w:rFonts w:asciiTheme="minorHAnsi" w:hAnsiTheme="minorHAnsi"/>
          <w:b/>
          <w:color w:val="FF0000"/>
          <w:sz w:val="16"/>
          <w:szCs w:val="16"/>
        </w:rPr>
      </w:pPr>
    </w:p>
    <w:p w14:paraId="10FCAB2B" w14:textId="77777777" w:rsidR="009D5399" w:rsidRPr="00021789" w:rsidRDefault="009D5399" w:rsidP="002F1879">
      <w:pPr>
        <w:pStyle w:val="Pro-Inwest"/>
        <w:jc w:val="both"/>
        <w:rPr>
          <w:rFonts w:asciiTheme="minorHAnsi" w:hAnsiTheme="minorHAnsi"/>
          <w:b/>
          <w:color w:val="FF0000"/>
          <w:sz w:val="16"/>
          <w:szCs w:val="16"/>
        </w:rPr>
      </w:pPr>
    </w:p>
    <w:p w14:paraId="483F55B4" w14:textId="77777777" w:rsidR="009D5399" w:rsidRPr="00021789" w:rsidRDefault="009D5399" w:rsidP="002F1879">
      <w:pPr>
        <w:pStyle w:val="Pro-Inwest"/>
        <w:jc w:val="both"/>
        <w:rPr>
          <w:rFonts w:asciiTheme="minorHAnsi" w:hAnsiTheme="minorHAnsi"/>
          <w:b/>
          <w:color w:val="FF0000"/>
          <w:sz w:val="16"/>
          <w:szCs w:val="16"/>
        </w:rPr>
      </w:pPr>
    </w:p>
    <w:p w14:paraId="40C7C65D" w14:textId="77777777" w:rsidR="009D5399" w:rsidRPr="00021789" w:rsidRDefault="009D5399" w:rsidP="002F1879">
      <w:pPr>
        <w:pStyle w:val="Pro-Inwest"/>
        <w:jc w:val="both"/>
        <w:rPr>
          <w:rFonts w:asciiTheme="minorHAnsi" w:hAnsiTheme="minorHAnsi"/>
          <w:b/>
          <w:color w:val="FF0000"/>
          <w:sz w:val="16"/>
          <w:szCs w:val="16"/>
        </w:rPr>
      </w:pPr>
    </w:p>
    <w:p w14:paraId="4B11ADCF" w14:textId="77777777" w:rsidR="009D5399" w:rsidRPr="00021789" w:rsidRDefault="009D5399" w:rsidP="002F1879">
      <w:pPr>
        <w:pStyle w:val="Pro-Inwest"/>
        <w:jc w:val="both"/>
        <w:rPr>
          <w:rFonts w:asciiTheme="minorHAnsi" w:hAnsiTheme="minorHAnsi"/>
          <w:b/>
          <w:color w:val="FF0000"/>
          <w:sz w:val="16"/>
          <w:szCs w:val="16"/>
        </w:rPr>
      </w:pPr>
    </w:p>
    <w:p w14:paraId="0045B7BE" w14:textId="77777777" w:rsidR="009D5399" w:rsidRPr="00021789" w:rsidRDefault="009D5399" w:rsidP="002F1879">
      <w:pPr>
        <w:pStyle w:val="Pro-Inwest"/>
        <w:jc w:val="both"/>
        <w:rPr>
          <w:rFonts w:asciiTheme="minorHAnsi" w:hAnsiTheme="minorHAnsi"/>
          <w:b/>
          <w:color w:val="FF0000"/>
          <w:sz w:val="16"/>
          <w:szCs w:val="16"/>
        </w:rPr>
      </w:pPr>
    </w:p>
    <w:p w14:paraId="0DA6A9D3" w14:textId="77777777" w:rsidR="009D5399" w:rsidRPr="00021789" w:rsidRDefault="009D5399" w:rsidP="002F1879">
      <w:pPr>
        <w:pStyle w:val="Pro-Inwest"/>
        <w:jc w:val="both"/>
        <w:rPr>
          <w:rFonts w:asciiTheme="minorHAnsi" w:hAnsiTheme="minorHAnsi"/>
          <w:b/>
          <w:color w:val="FF0000"/>
          <w:sz w:val="16"/>
          <w:szCs w:val="16"/>
        </w:rPr>
      </w:pPr>
    </w:p>
    <w:p w14:paraId="4DCDC72A" w14:textId="77777777" w:rsidR="009D5399" w:rsidRPr="00021789" w:rsidRDefault="009D5399" w:rsidP="002F1879">
      <w:pPr>
        <w:pStyle w:val="Pro-Inwest"/>
        <w:jc w:val="both"/>
        <w:rPr>
          <w:rFonts w:asciiTheme="minorHAnsi" w:hAnsiTheme="minorHAnsi"/>
          <w:b/>
          <w:color w:val="FF0000"/>
          <w:sz w:val="16"/>
          <w:szCs w:val="16"/>
        </w:rPr>
      </w:pPr>
    </w:p>
    <w:p w14:paraId="6A5E715A" w14:textId="77777777" w:rsidR="009D5399" w:rsidRPr="00021789" w:rsidRDefault="009D5399" w:rsidP="002F1879">
      <w:pPr>
        <w:pStyle w:val="Pro-Inwest"/>
        <w:jc w:val="both"/>
        <w:rPr>
          <w:rFonts w:asciiTheme="minorHAnsi" w:hAnsiTheme="minorHAnsi"/>
          <w:b/>
          <w:color w:val="FF0000"/>
          <w:sz w:val="16"/>
          <w:szCs w:val="16"/>
        </w:rPr>
      </w:pPr>
    </w:p>
    <w:p w14:paraId="442F669B" w14:textId="77777777" w:rsidR="009D5399" w:rsidRPr="00021789" w:rsidRDefault="009D5399" w:rsidP="002F1879">
      <w:pPr>
        <w:pStyle w:val="Pro-Inwest"/>
        <w:jc w:val="both"/>
        <w:rPr>
          <w:rFonts w:asciiTheme="minorHAnsi" w:hAnsiTheme="minorHAnsi"/>
          <w:b/>
          <w:color w:val="FF0000"/>
          <w:sz w:val="16"/>
          <w:szCs w:val="16"/>
        </w:rPr>
      </w:pPr>
    </w:p>
    <w:p w14:paraId="69802B23" w14:textId="77777777" w:rsidR="009D5399" w:rsidRPr="00021789" w:rsidRDefault="009D5399" w:rsidP="002F1879">
      <w:pPr>
        <w:pStyle w:val="Pro-Inwest"/>
        <w:jc w:val="both"/>
        <w:rPr>
          <w:rFonts w:asciiTheme="minorHAnsi" w:hAnsiTheme="minorHAnsi"/>
          <w:b/>
          <w:color w:val="FF0000"/>
          <w:sz w:val="16"/>
          <w:szCs w:val="16"/>
        </w:rPr>
      </w:pPr>
    </w:p>
    <w:p w14:paraId="7503CDF4" w14:textId="77777777" w:rsidR="009D5399" w:rsidRPr="00021789" w:rsidRDefault="009D5399" w:rsidP="002F1879">
      <w:pPr>
        <w:pStyle w:val="Pro-Inwest"/>
        <w:jc w:val="both"/>
        <w:rPr>
          <w:rFonts w:asciiTheme="minorHAnsi" w:hAnsiTheme="minorHAnsi"/>
          <w:b/>
          <w:color w:val="FF0000"/>
          <w:sz w:val="16"/>
          <w:szCs w:val="16"/>
        </w:rPr>
      </w:pPr>
    </w:p>
    <w:p w14:paraId="2E010D97" w14:textId="77777777" w:rsidR="00924392" w:rsidRPr="00021789" w:rsidRDefault="00924392" w:rsidP="00924392">
      <w:pPr>
        <w:pStyle w:val="Pro-Inwest"/>
        <w:spacing w:line="240" w:lineRule="auto"/>
        <w:jc w:val="both"/>
        <w:rPr>
          <w:rFonts w:asciiTheme="minorHAnsi" w:hAnsiTheme="minorHAnsi"/>
          <w:b/>
          <w:sz w:val="18"/>
          <w:szCs w:val="18"/>
        </w:rPr>
      </w:pPr>
      <w:r w:rsidRPr="00021789">
        <w:rPr>
          <w:rFonts w:asciiTheme="minorHAnsi" w:hAnsiTheme="minorHAnsi"/>
          <w:b/>
          <w:sz w:val="18"/>
          <w:szCs w:val="18"/>
        </w:rPr>
        <w:lastRenderedPageBreak/>
        <w:t>D.02.00.00 ROBOTY ZIEMNE – WYMAGANIA OGÓLNE</w:t>
      </w:r>
    </w:p>
    <w:p w14:paraId="79732EBF" w14:textId="77777777" w:rsidR="00924392" w:rsidRPr="00021789" w:rsidRDefault="00924392" w:rsidP="00924392">
      <w:pPr>
        <w:pStyle w:val="Pro-Inwest"/>
        <w:rPr>
          <w:rFonts w:asciiTheme="minorHAnsi" w:hAnsiTheme="minorHAnsi"/>
          <w:b/>
          <w:sz w:val="16"/>
          <w:szCs w:val="16"/>
        </w:rPr>
      </w:pPr>
    </w:p>
    <w:p w14:paraId="5E5721E8"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1.  WSTĘP </w:t>
      </w:r>
    </w:p>
    <w:p w14:paraId="4FBC99D9"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1.1.  Nazwa zadania </w:t>
      </w:r>
    </w:p>
    <w:p w14:paraId="68B20A12" w14:textId="6EED6E4B" w:rsidR="002B232E" w:rsidRPr="00021789" w:rsidRDefault="00105AB9" w:rsidP="002B232E">
      <w:pPr>
        <w:spacing w:after="0"/>
        <w:ind w:firstLine="708"/>
        <w:jc w:val="both"/>
        <w:rPr>
          <w:sz w:val="16"/>
          <w:szCs w:val="16"/>
        </w:rPr>
      </w:pPr>
      <w:r w:rsidRPr="00021789">
        <w:rPr>
          <w:sz w:val="16"/>
          <w:szCs w:val="16"/>
        </w:rPr>
        <w:t>Dotyczy zadania o nazwie „</w:t>
      </w:r>
      <w:r w:rsidR="002B232E" w:rsidRPr="00021789">
        <w:rPr>
          <w:sz w:val="16"/>
          <w:szCs w:val="16"/>
        </w:rPr>
        <w:t>Przebudowa, rozbudowa i remont budynku Uniwersytetu Łódzkiego przy ul. Sienkiewicza 21 w Łodzi, wraz ze zmianą jego sposobu użytkowania z funkcji dydaktycznej  na budynek usługowy o funkcji nauki i kultury z częścią o funkcji zamieszkania zbiorowego(centrum kultury z pokojami gościnnymi) rozbiórką balkonów i schodów zewnętrznych wraz z zadaszeniem, oraz wykonaniem ocieplenia elewacji północnej oraz zachodniej, budową szklanego świetlika nad dziedzińcem wewnętrznym oraz realizacją niezbędnej infrastruktury technicznej i zagospodarowania terenu”. Inwestorem przedsięwzięcia jest Uniwersytet Łódzki, ul. Narutowicza 68, 90-136 Łódź.</w:t>
      </w:r>
    </w:p>
    <w:p w14:paraId="3756AB5F" w14:textId="77777777" w:rsidR="00105AB9" w:rsidRPr="00021789" w:rsidRDefault="00105AB9" w:rsidP="00105AB9">
      <w:pPr>
        <w:snapToGrid w:val="0"/>
        <w:spacing w:after="0"/>
        <w:jc w:val="both"/>
        <w:rPr>
          <w:b/>
          <w:bCs/>
          <w:sz w:val="16"/>
          <w:szCs w:val="16"/>
        </w:rPr>
      </w:pPr>
      <w:r w:rsidRPr="00021789">
        <w:rPr>
          <w:b/>
          <w:bCs/>
          <w:sz w:val="16"/>
          <w:szCs w:val="16"/>
        </w:rPr>
        <w:t xml:space="preserve">1.2.  Przedmiot </w:t>
      </w:r>
      <w:proofErr w:type="spellStart"/>
      <w:r w:rsidRPr="00021789">
        <w:rPr>
          <w:b/>
          <w:bCs/>
          <w:sz w:val="16"/>
          <w:szCs w:val="16"/>
        </w:rPr>
        <w:t>STWiORB</w:t>
      </w:r>
      <w:proofErr w:type="spellEnd"/>
      <w:r w:rsidRPr="00021789">
        <w:rPr>
          <w:b/>
          <w:bCs/>
          <w:sz w:val="16"/>
          <w:szCs w:val="16"/>
        </w:rPr>
        <w:t xml:space="preserve"> </w:t>
      </w:r>
    </w:p>
    <w:p w14:paraId="12F92432" w14:textId="77777777" w:rsidR="00105AB9" w:rsidRPr="00021789" w:rsidRDefault="00105AB9" w:rsidP="00105AB9">
      <w:pPr>
        <w:pStyle w:val="Pro-Inwest"/>
        <w:ind w:firstLine="708"/>
        <w:jc w:val="both"/>
        <w:rPr>
          <w:rFonts w:asciiTheme="minorHAnsi" w:hAnsiTheme="minorHAnsi"/>
          <w:sz w:val="16"/>
          <w:szCs w:val="16"/>
        </w:rPr>
      </w:pPr>
      <w:r w:rsidRPr="00021789">
        <w:rPr>
          <w:rFonts w:asciiTheme="minorHAnsi" w:hAnsiTheme="minorHAnsi"/>
          <w:sz w:val="16"/>
          <w:szCs w:val="16"/>
        </w:rPr>
        <w:t>Przedmiotem  niniejszej Specyfikacji Technicznej Wykonania  i  Odbioru  Robót  Budowlanych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są wymagania dotyczące wykonania i odbioru robót ziemnych. </w:t>
      </w:r>
    </w:p>
    <w:p w14:paraId="7AEE4CFB"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1.3.  Zakres stosowania </w:t>
      </w:r>
      <w:proofErr w:type="spellStart"/>
      <w:r w:rsidRPr="00021789">
        <w:rPr>
          <w:rFonts w:asciiTheme="minorHAnsi" w:hAnsiTheme="minorHAnsi"/>
          <w:b/>
          <w:bCs/>
          <w:sz w:val="16"/>
          <w:szCs w:val="16"/>
        </w:rPr>
        <w:t>STWiORB</w:t>
      </w:r>
      <w:proofErr w:type="spellEnd"/>
    </w:p>
    <w:p w14:paraId="230C2994" w14:textId="77777777" w:rsidR="00105AB9" w:rsidRPr="00021789" w:rsidRDefault="00105AB9" w:rsidP="00105AB9">
      <w:pPr>
        <w:pStyle w:val="Pro-Inwest"/>
        <w:jc w:val="both"/>
        <w:rPr>
          <w:rFonts w:asciiTheme="minorHAnsi" w:hAnsiTheme="minorHAnsi"/>
          <w:sz w:val="16"/>
          <w:szCs w:val="16"/>
        </w:rPr>
      </w:pP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są  stosowane  jako  dokument  przetargowy  i kontraktowy  przy  zlecaniu  i  realizacji robót  drogowych.  </w:t>
      </w:r>
    </w:p>
    <w:p w14:paraId="24A3D7ED"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1.4.  Informacje ogólne o terenie budowy </w:t>
      </w:r>
    </w:p>
    <w:p w14:paraId="3C9F6BAD" w14:textId="06290690" w:rsidR="00105AB9" w:rsidRPr="00021789" w:rsidRDefault="00105AB9" w:rsidP="002B232E">
      <w:pPr>
        <w:spacing w:after="0"/>
        <w:jc w:val="both"/>
        <w:rPr>
          <w:sz w:val="16"/>
          <w:szCs w:val="16"/>
        </w:rPr>
      </w:pPr>
      <w:r w:rsidRPr="00021789">
        <w:rPr>
          <w:sz w:val="16"/>
          <w:szCs w:val="16"/>
        </w:rPr>
        <w:t>„</w:t>
      </w:r>
      <w:r w:rsidR="002B232E" w:rsidRPr="00021789">
        <w:rPr>
          <w:sz w:val="16"/>
          <w:szCs w:val="16"/>
        </w:rPr>
        <w:t>Przebudowa, rozbudowa i remont budynku Uniwersytetu Łódzkiego przy ul. Sienkiewicza 21 w Łodzi, wraz ze zmianą jego sposobu użytkowania z funkcji dydaktycznej  na budynek usługowy o funkcji nauki i kultury z częścią o funkcji zamieszkania zbiorowego(centrum kultury z pokojami gościnnymi) rozbiórką balkonów i schodów zewnętrznych wraz z zadaszeniem, oraz wykonaniem ocieplenia elewacji północnej oraz zachodniej, budową szklanego świetlika nad dziedzińcem wewnętrznym oraz realizacją niezbędnej infrastruktury technicznej i zagospodarowania terenu”.</w:t>
      </w:r>
    </w:p>
    <w:p w14:paraId="4AF297C0"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1.5.  Nazwy i kody </w:t>
      </w:r>
    </w:p>
    <w:p w14:paraId="57B47AA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Nazwy i kody robót objętych wspólnym słownikiem zamówień CPV są następujące: </w:t>
      </w:r>
    </w:p>
    <w:p w14:paraId="41D2A46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Grupa robót:    45100000-8  Przygotowanie terenu pod budowę. </w:t>
      </w:r>
    </w:p>
    <w:p w14:paraId="48F9B25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Klasa robót:    45110000-1  Roboty w zakresie burzenia i rozbiórki obiektów  budowlanych, roboty ziemne. </w:t>
      </w:r>
    </w:p>
    <w:p w14:paraId="2E3AE8C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Kategoria robót:  45111000-8  Roboty w zakresie burzenia, roboty ziemne. </w:t>
      </w:r>
    </w:p>
    <w:p w14:paraId="24FFFC59"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1.6.  Określenia podstawowe </w:t>
      </w:r>
    </w:p>
    <w:p w14:paraId="0B8099B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1.6.1.  Budowla  ziemna  –  budowla  wykonana  w  gruncie  lub  materiale  antropogenicznym  albo  z  gruntu  lub  z  materiału  antropogenicznego,  powstała  w  następstwie przeprowadzenia  robót  ziemnych,  spełniająca  warunki  stateczności  i  odwodnienia, zapewniająca przejęcie obciążenia od środków transportowych i urządzeń inżynierskich obciążających korpus drogowy.  </w:t>
      </w:r>
    </w:p>
    <w:p w14:paraId="5F95712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1.6.2.  Ciągły  pomiar  zagęszczenia  –  (ang.  </w:t>
      </w:r>
      <w:proofErr w:type="spellStart"/>
      <w:r w:rsidRPr="00021789">
        <w:rPr>
          <w:rFonts w:asciiTheme="minorHAnsi" w:hAnsiTheme="minorHAnsi"/>
          <w:sz w:val="16"/>
          <w:szCs w:val="16"/>
        </w:rPr>
        <w:t>Continuous</w:t>
      </w:r>
      <w:proofErr w:type="spellEnd"/>
      <w:r w:rsidRPr="00021789">
        <w:rPr>
          <w:rFonts w:asciiTheme="minorHAnsi" w:hAnsiTheme="minorHAnsi"/>
          <w:sz w:val="16"/>
          <w:szCs w:val="16"/>
        </w:rPr>
        <w:t xml:space="preserve">  </w:t>
      </w:r>
      <w:proofErr w:type="spellStart"/>
      <w:r w:rsidRPr="00021789">
        <w:rPr>
          <w:rFonts w:asciiTheme="minorHAnsi" w:hAnsiTheme="minorHAnsi"/>
          <w:sz w:val="16"/>
          <w:szCs w:val="16"/>
        </w:rPr>
        <w:t>Compaction</w:t>
      </w:r>
      <w:proofErr w:type="spellEnd"/>
      <w:r w:rsidRPr="00021789">
        <w:rPr>
          <w:rFonts w:asciiTheme="minorHAnsi" w:hAnsiTheme="minorHAnsi"/>
          <w:sz w:val="16"/>
          <w:szCs w:val="16"/>
        </w:rPr>
        <w:t xml:space="preserve">  Control  –  CCC) wykorzystanie  do  kontroli  stanu  zagęszczenia  warstwy  walców  wibracyjnych wyposażonych  w  system  umożliwiający  pomiar  i  dokumentowanie,  dynamicznego parametru,  charakteryzującego  zagęszczenie  warstwy  ze  wskazaniem  lokalizacji miejsca. </w:t>
      </w:r>
    </w:p>
    <w:p w14:paraId="032281B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1.6.3.  Deklaracja  Właściwości  Użytkowych  (DWU)  –  dokument  wyrażający  właściwości  użytkowe wyrobów budowlanych w odniesieniu do zasadniczych charakterystyk tych  wyrobów zgodnie z odpowiednimi zharmonizowanymi specyfikacjami technicznymi. </w:t>
      </w:r>
    </w:p>
    <w:p w14:paraId="5DD72B2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1.6.4.  Dokop  -  miejsce  pozyskania  gruntu  do  wykonania  nasypów,  położone  poza  pasem robót drogowych. </w:t>
      </w:r>
    </w:p>
    <w:p w14:paraId="22A0A4E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1.6.5.  </w:t>
      </w:r>
      <w:proofErr w:type="spellStart"/>
      <w:r w:rsidRPr="00021789">
        <w:rPr>
          <w:rFonts w:asciiTheme="minorHAnsi" w:hAnsiTheme="minorHAnsi"/>
          <w:sz w:val="16"/>
          <w:szCs w:val="16"/>
        </w:rPr>
        <w:t>Geosyntetyk</w:t>
      </w:r>
      <w:proofErr w:type="spellEnd"/>
      <w:r w:rsidRPr="00021789">
        <w:rPr>
          <w:rFonts w:asciiTheme="minorHAnsi" w:hAnsiTheme="minorHAnsi"/>
          <w:sz w:val="16"/>
          <w:szCs w:val="16"/>
        </w:rPr>
        <w:t xml:space="preserve">  –  wyrób,  którego  przynajmniej  jeden  składnik  wytworzony  został  z polimeru (poliestru, polipropylenu, polietylenu lub poliamidu), mający postać arkusza, paska  lub  formy  przestrzennej,  stosowany  w  kontakcie  z  gruntem  (lub  innym materiałem)</w:t>
      </w:r>
      <w:r w:rsidRPr="00021789">
        <w:rPr>
          <w:rFonts w:asciiTheme="minorHAnsi" w:hAnsiTheme="minorHAnsi"/>
          <w:sz w:val="16"/>
          <w:szCs w:val="16"/>
        </w:rPr>
        <w:br/>
        <w:t xml:space="preserve">w geotechnice, fundamentowaniu i budownictwie lądowym i wodnym. </w:t>
      </w:r>
    </w:p>
    <w:p w14:paraId="07E257C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1.6.6.  Gęstość  objętościowa  szkieletu  –  stosunek  masy  suchego  szkieletu  gruntu  lub materiału antropogenicznego do objętości próbki. </w:t>
      </w:r>
    </w:p>
    <w:p w14:paraId="114E59C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1.6.7.  Górna  warstwa  nasypu  –  nasyp  znajdujący  się  w  obrębie  obliczeniowej  głębokości  przemarzania,  na  którym  wykonano  warstwy  konstrukcji  nawierzchni.  Wykonany  z gruntów </w:t>
      </w:r>
      <w:proofErr w:type="spellStart"/>
      <w:r w:rsidRPr="00021789">
        <w:rPr>
          <w:rFonts w:asciiTheme="minorHAnsi" w:hAnsiTheme="minorHAnsi"/>
          <w:sz w:val="16"/>
          <w:szCs w:val="16"/>
        </w:rPr>
        <w:t>niewysadzinowych</w:t>
      </w:r>
      <w:proofErr w:type="spellEnd"/>
      <w:r w:rsidRPr="00021789">
        <w:rPr>
          <w:rFonts w:asciiTheme="minorHAnsi" w:hAnsiTheme="minorHAnsi"/>
          <w:sz w:val="16"/>
          <w:szCs w:val="16"/>
        </w:rPr>
        <w:t xml:space="preserve"> lub stabilizowanych hydraulicznie.  </w:t>
      </w:r>
    </w:p>
    <w:p w14:paraId="05D774D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1.6.8.  Grunt  –  materiał  powstały  w  wyniku  procesów  geologicznych  (naturalnych)  lub antropogenicznych, składający się z 3 faz: stałej, ciekłej i gazowej. </w:t>
      </w:r>
    </w:p>
    <w:p w14:paraId="35A97F5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1.6.9.  Grunt organiczny – grunt z zawartością  substancji organicznej większą od 2,0 %. </w:t>
      </w:r>
    </w:p>
    <w:p w14:paraId="428731C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1.6.10.  Grupa  nośności  podłoża  gruntowego  nawierzchni  –  klasyfikuje  nośność  podłoża  gruntowego nawierzchni w zależności</w:t>
      </w:r>
      <w:r w:rsidRPr="00021789">
        <w:rPr>
          <w:rFonts w:asciiTheme="minorHAnsi" w:hAnsiTheme="minorHAnsi"/>
          <w:sz w:val="16"/>
          <w:szCs w:val="16"/>
        </w:rPr>
        <w:br/>
        <w:t xml:space="preserve">od rodzaju i stanu gruntu podłoża, warunków  wodnych  w  podłożu,  </w:t>
      </w:r>
      <w:proofErr w:type="spellStart"/>
      <w:r w:rsidRPr="00021789">
        <w:rPr>
          <w:rFonts w:asciiTheme="minorHAnsi" w:hAnsiTheme="minorHAnsi"/>
          <w:sz w:val="16"/>
          <w:szCs w:val="16"/>
        </w:rPr>
        <w:t>wysadzinowości</w:t>
      </w:r>
      <w:proofErr w:type="spellEnd"/>
      <w:r w:rsidRPr="00021789">
        <w:rPr>
          <w:rFonts w:asciiTheme="minorHAnsi" w:hAnsiTheme="minorHAnsi"/>
          <w:sz w:val="16"/>
          <w:szCs w:val="16"/>
        </w:rPr>
        <w:t xml:space="preserve">  gruntu  oraz  od  charakterystyki  korpusu drogowego.  Występują  cztery  grupy  nośności  podłoża  gruntowego  oznaczone symbolami: G1, G2, G3, G4. Mogą wystąpić warunki nieodpowiadające żadnej grupie nośności podłoża.  </w:t>
      </w:r>
    </w:p>
    <w:p w14:paraId="578C8A5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1.6.11.  Humus (gleba) – przypowierzchniowa strefa gruntu (zwietrzałej skały) przeobrażona działalnością  roślin,  drobnoustrojów,  zwierząt,  stanowiąca  grunt  organiczny  o właściwościach zapewniających prawidłowy rozwój roślinom. </w:t>
      </w:r>
    </w:p>
    <w:p w14:paraId="45A3DB2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1.6.12.  Konstrukcja nawierzchni – zespół odpowiednio dobranych warstw, którego celem jest  rozłożenie  </w:t>
      </w:r>
      <w:proofErr w:type="spellStart"/>
      <w:r w:rsidRPr="00021789">
        <w:rPr>
          <w:rFonts w:asciiTheme="minorHAnsi" w:hAnsiTheme="minorHAnsi"/>
          <w:sz w:val="16"/>
          <w:szCs w:val="16"/>
        </w:rPr>
        <w:t>naprężeń</w:t>
      </w:r>
      <w:proofErr w:type="spellEnd"/>
      <w:r w:rsidRPr="00021789">
        <w:rPr>
          <w:rFonts w:asciiTheme="minorHAnsi" w:hAnsiTheme="minorHAnsi"/>
          <w:sz w:val="16"/>
          <w:szCs w:val="16"/>
        </w:rPr>
        <w:t xml:space="preserve">  od  kół  pojazdów</w:t>
      </w:r>
      <w:r w:rsidRPr="00021789">
        <w:rPr>
          <w:rFonts w:asciiTheme="minorHAnsi" w:hAnsiTheme="minorHAnsi"/>
          <w:sz w:val="16"/>
          <w:szCs w:val="16"/>
        </w:rPr>
        <w:br/>
        <w:t xml:space="preserve">na  podłoże  gruntowe  nawierzchni  oraz zapewnienie  bezpieczeństwa  i  komfortu  jazdy  pojazdów.  Konstrukcja  nawierzchni spoczywa na podłożu gruntowym lub warstwie ulepszonego podłoża. </w:t>
      </w:r>
    </w:p>
    <w:p w14:paraId="3A1C810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1.6.13.  Korona drogi – część przekroju poprzecznego drogi, obejmująca jezdnie z poboczami  i pasem dzielącym, pasy awaryjnego postoju, chodniki,  zatoki oraz ewentualne inne  elementy, położona pomiędzy górnymi krawędziami skarp. </w:t>
      </w:r>
    </w:p>
    <w:p w14:paraId="728EB30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1.6.14.  Korpus drogowy  –  cały  nasyp  oraz  ta  część wykopu,  która  jest  ograniczona  koroną drogi i wewnętrznymi skarpami rowów. </w:t>
      </w:r>
    </w:p>
    <w:p w14:paraId="6777B47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1.6.15.  Materiał antropogeniczny – materiał powstały w wyniku bezpośredniej lub pośredniej  działalności człowieka (na przykład grunt ulepszony, odpad przemysłowy, materiał z recyklingu). </w:t>
      </w:r>
    </w:p>
    <w:p w14:paraId="765322A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1.6.16.  Materiał nasypowy – grunt lub materiał antropogeniczny użyty do budowy nasypu. </w:t>
      </w:r>
    </w:p>
    <w:p w14:paraId="6E65504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1.6.17.  Materiał  nieprzydatny  –  grunt  lub  materiał  antropogeniczny,  którego  właściwości  uniemożliwiają wykorzystanie go jako materiał nasypowy. Nieprzydatność może być trwała, związana z niezmiennymi cechami materiału lub czasowa, związana ze stanem materiału lub innymi właściwościami, które wymagają poprawienia. </w:t>
      </w:r>
    </w:p>
    <w:p w14:paraId="3FC6D96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lastRenderedPageBreak/>
        <w:t xml:space="preserve">1.6.18.  Materiał  przydatny  –  grunt  lub  materiał  antropogeniczny,  którego  właściwości umożliwiają wykorzystanie go jako materiał nasypowy bez stosowania dodatkowych zabiegów. </w:t>
      </w:r>
    </w:p>
    <w:p w14:paraId="4A8F94F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1.6.19.  Materiał ulepszony – grunt lub materiał antropogeniczny, którego właściwości zostały  zmienione,  w  efekcie  czego  spełnia  on  wymagania  wynikające  z  przewidzianego  zastosowania. </w:t>
      </w:r>
    </w:p>
    <w:p w14:paraId="0151CEC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1.6.20.  Miejsce zerowe robót ziemnych (przekrój zerowy robót ziemnych) - granica pomiędzy nasypem i wykopem. Przekrój przejściowy,</w:t>
      </w:r>
      <w:r w:rsidRPr="00021789">
        <w:rPr>
          <w:rFonts w:asciiTheme="minorHAnsi" w:hAnsiTheme="minorHAnsi"/>
          <w:sz w:val="16"/>
          <w:szCs w:val="16"/>
        </w:rPr>
        <w:br/>
        <w:t xml:space="preserve">w którym powierzchnie nasypu i wykopu  w przekroju poprzecznym są równe (charakter robót ziemnych zmienia się z wykopu  na nasyp lub odwrotnie). </w:t>
      </w:r>
    </w:p>
    <w:p w14:paraId="3A773B8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1.6.21.  Moduł  odkształcenia  gruntu  –  wielkość  charakteryzująca  nośność  na  powierzchni warstwy gruntu lub materiału antropogenicznego, badana zgodnie z Załącznikiem 2 (procedura według PN-S-02205, załącznik B), określana według wzoru: </w:t>
      </w:r>
    </w:p>
    <w:p w14:paraId="0B32A413" w14:textId="77777777" w:rsidR="00105AB9" w:rsidRPr="00021789" w:rsidRDefault="00105AB9" w:rsidP="00105AB9">
      <w:pPr>
        <w:pStyle w:val="Pro-Inwest"/>
        <w:jc w:val="both"/>
        <w:rPr>
          <w:rFonts w:asciiTheme="minorHAnsi" w:hAnsiTheme="minorHAnsi"/>
          <w:sz w:val="16"/>
          <w:szCs w:val="16"/>
        </w:rPr>
      </w:pPr>
    </w:p>
    <w:p w14:paraId="30CD3489"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7A899116" wp14:editId="0A8FEF02">
            <wp:extent cx="961901" cy="389546"/>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79167" cy="396538"/>
                    </a:xfrm>
                    <a:prstGeom prst="rect">
                      <a:avLst/>
                    </a:prstGeom>
                    <a:noFill/>
                    <a:ln>
                      <a:noFill/>
                    </a:ln>
                  </pic:spPr>
                </pic:pic>
              </a:graphicData>
            </a:graphic>
          </wp:inline>
        </w:drawing>
      </w:r>
    </w:p>
    <w:p w14:paraId="4B65381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gdzie: </w:t>
      </w:r>
    </w:p>
    <w:p w14:paraId="0526DAA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E i   moduł odkształcenia gruntu [</w:t>
      </w:r>
      <w:proofErr w:type="spellStart"/>
      <w:r w:rsidRPr="00021789">
        <w:rPr>
          <w:rFonts w:asciiTheme="minorHAnsi" w:hAnsiTheme="minorHAnsi"/>
          <w:sz w:val="16"/>
          <w:szCs w:val="16"/>
        </w:rPr>
        <w:t>MPa</w:t>
      </w:r>
      <w:proofErr w:type="spellEnd"/>
      <w:r w:rsidRPr="00021789">
        <w:rPr>
          <w:rFonts w:asciiTheme="minorHAnsi" w:hAnsiTheme="minorHAnsi"/>
          <w:sz w:val="16"/>
          <w:szCs w:val="16"/>
        </w:rPr>
        <w:t xml:space="preserve">] </w:t>
      </w:r>
    </w:p>
    <w:p w14:paraId="3E9DEC0A" w14:textId="77777777" w:rsidR="00105AB9" w:rsidRPr="00021789" w:rsidRDefault="00105AB9" w:rsidP="00105AB9">
      <w:pPr>
        <w:pStyle w:val="Pro-Inwest"/>
        <w:jc w:val="both"/>
        <w:rPr>
          <w:rFonts w:asciiTheme="minorHAnsi" w:hAnsiTheme="minorHAnsi"/>
          <w:sz w:val="16"/>
          <w:szCs w:val="16"/>
        </w:rPr>
      </w:pPr>
      <w:proofErr w:type="spellStart"/>
      <w:r w:rsidRPr="00021789">
        <w:rPr>
          <w:rFonts w:asciiTheme="minorHAnsi" w:hAnsiTheme="minorHAnsi"/>
          <w:sz w:val="16"/>
          <w:szCs w:val="16"/>
        </w:rPr>
        <w:t>Δp</w:t>
      </w:r>
      <w:proofErr w:type="spellEnd"/>
      <w:r w:rsidRPr="00021789">
        <w:rPr>
          <w:rFonts w:asciiTheme="minorHAnsi" w:hAnsiTheme="minorHAnsi"/>
          <w:sz w:val="16"/>
          <w:szCs w:val="16"/>
        </w:rPr>
        <w:t xml:space="preserve">    przyrost obciążenia jednostkowego [</w:t>
      </w:r>
      <w:proofErr w:type="spellStart"/>
      <w:r w:rsidRPr="00021789">
        <w:rPr>
          <w:rFonts w:asciiTheme="minorHAnsi" w:hAnsiTheme="minorHAnsi"/>
          <w:sz w:val="16"/>
          <w:szCs w:val="16"/>
        </w:rPr>
        <w:t>MPa</w:t>
      </w:r>
      <w:proofErr w:type="spellEnd"/>
      <w:r w:rsidRPr="00021789">
        <w:rPr>
          <w:rFonts w:asciiTheme="minorHAnsi" w:hAnsiTheme="minorHAnsi"/>
          <w:sz w:val="16"/>
          <w:szCs w:val="16"/>
        </w:rPr>
        <w:t xml:space="preserve">], </w:t>
      </w:r>
    </w:p>
    <w:p w14:paraId="4B751326" w14:textId="77777777" w:rsidR="00105AB9" w:rsidRPr="00021789" w:rsidRDefault="00105AB9" w:rsidP="00105AB9">
      <w:pPr>
        <w:pStyle w:val="Pro-Inwest"/>
        <w:jc w:val="both"/>
        <w:rPr>
          <w:rFonts w:asciiTheme="minorHAnsi" w:hAnsiTheme="minorHAnsi"/>
          <w:sz w:val="16"/>
          <w:szCs w:val="16"/>
        </w:rPr>
      </w:pPr>
      <w:proofErr w:type="spellStart"/>
      <w:r w:rsidRPr="00021789">
        <w:rPr>
          <w:rFonts w:asciiTheme="minorHAnsi" w:hAnsiTheme="minorHAnsi"/>
          <w:sz w:val="16"/>
          <w:szCs w:val="16"/>
        </w:rPr>
        <w:t>Δs</w:t>
      </w:r>
      <w:proofErr w:type="spellEnd"/>
      <w:r w:rsidRPr="00021789">
        <w:rPr>
          <w:rFonts w:asciiTheme="minorHAnsi" w:hAnsiTheme="minorHAnsi"/>
          <w:sz w:val="16"/>
          <w:szCs w:val="16"/>
        </w:rPr>
        <w:t xml:space="preserve">    przyrost osiadania odpowiadający przyrostowi obciążenia jednostkowego [mm] </w:t>
      </w:r>
    </w:p>
    <w:p w14:paraId="656C78A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    średnica płyty [mm] </w:t>
      </w:r>
    </w:p>
    <w:p w14:paraId="0D5CEB4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1.6.22.  Nasyp – budowla ziemna wykonana w obrębie pasa drogowego poprzez wbudowanie  materiału nasypowego w kontrolowany sposób polegający na układaniu i zagęszczaniu kolejnych warstw powyżej powierzchni terenu.  </w:t>
      </w:r>
    </w:p>
    <w:p w14:paraId="40BA78A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1.6.23.  Niweleta robót ziemnych (spód konstrukcji nawierzchni) - poziom górnej powierzchni  materiału  nasypowego  w  nasypie</w:t>
      </w:r>
      <w:r w:rsidRPr="00021789">
        <w:rPr>
          <w:rFonts w:asciiTheme="minorHAnsi" w:hAnsiTheme="minorHAnsi"/>
          <w:sz w:val="16"/>
          <w:szCs w:val="16"/>
        </w:rPr>
        <w:br/>
        <w:t xml:space="preserve">lub  poziom  górnej  powierzchni  gruntu  rodzimego  w wykopie lub poziom górnej powierzchni warstwy ulepszonego podłoża nawierzchni,  o  ile  taka  warstwa  występuje.  Lokalizację  powierzchni  robót  zimnych  pokazano  na rysunku 1.1. </w:t>
      </w:r>
    </w:p>
    <w:p w14:paraId="4CB4710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416197ED"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4ED0D680" wp14:editId="3CC1BDDF">
            <wp:extent cx="4886696" cy="2074135"/>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16178" cy="2086648"/>
                    </a:xfrm>
                    <a:prstGeom prst="rect">
                      <a:avLst/>
                    </a:prstGeom>
                    <a:noFill/>
                    <a:ln>
                      <a:noFill/>
                    </a:ln>
                  </pic:spPr>
                </pic:pic>
              </a:graphicData>
            </a:graphic>
          </wp:inline>
        </w:drawing>
      </w:r>
    </w:p>
    <w:p w14:paraId="580E2C46"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sz w:val="16"/>
          <w:szCs w:val="16"/>
        </w:rPr>
        <w:t>Rysunek 1.1. Lokalizacja niwelety robót ziemnych</w:t>
      </w:r>
    </w:p>
    <w:p w14:paraId="32C556B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579C89C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1.6.24.  Obliczeniowa  głębokość  przemarzania  -  umowna  głębokość  przemarzania  w  danym rejonie,  będąca  głębokością  przemarzania  zredukowaną  w  zależności  od  obciążenia ruchem samochodowym i warunków gruntowo-wodnych.  </w:t>
      </w:r>
    </w:p>
    <w:p w14:paraId="2B5EE60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1.6.25.  Odkład  –  miejsce  wbudowania  lub  składowania  gruntów  pozyskanych  w  czasie  wykonywania wykopów,</w:t>
      </w:r>
      <w:r w:rsidRPr="00021789">
        <w:rPr>
          <w:rFonts w:asciiTheme="minorHAnsi" w:hAnsiTheme="minorHAnsi"/>
          <w:sz w:val="16"/>
          <w:szCs w:val="16"/>
        </w:rPr>
        <w:br/>
        <w:t xml:space="preserve">a nie wykorzystywanych do budowy nasypów lub innych robót. </w:t>
      </w:r>
    </w:p>
    <w:p w14:paraId="72AB2D4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1.6.26.  Pas drogowy - wydzielony teren, przeznaczony pod drogę oraz urządzenia związane  z obsługą i ochroną drogi, obsługą ruchu</w:t>
      </w:r>
      <w:r w:rsidRPr="00021789">
        <w:rPr>
          <w:rFonts w:asciiTheme="minorHAnsi" w:hAnsiTheme="minorHAnsi"/>
          <w:sz w:val="16"/>
          <w:szCs w:val="16"/>
        </w:rPr>
        <w:br/>
        <w:t xml:space="preserve">i ochroną środowiska, a także zawierający rezerwę pod przyszłą rozbudowę drogi. </w:t>
      </w:r>
    </w:p>
    <w:p w14:paraId="2BF4C00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1.6.27.  Pochylenie  skarpy  lub  zbocza  -  kąt  nachylenia  powierzchni  skarpy  lub  zbocza do rzutu poziomego skarpy lub zbocza. </w:t>
      </w:r>
    </w:p>
    <w:p w14:paraId="6776BDA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1.6.28.  Podłoże gruntowe budowli ziemnej (nasypu lub wykopu)  – strefa gruntu rodzimego poniżej  spodu  budowli  ziemnej,  której  właściwości  mają  wpływ  na  projektowanie,  wykonanie i eksploatację budowli ziemnej.  </w:t>
      </w:r>
    </w:p>
    <w:p w14:paraId="5156A0F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1.6.29.  Podłoże  gruntowe  nawierzchni  -  strefa  gruntu  rodzimego  lub  nasypowego  poniżej spodu  konstrukcji  nawierzchni,  której  właściwości  mają  wpływ  na  projektowanie,  wykonanie i eksploatację nawierzchni. </w:t>
      </w:r>
    </w:p>
    <w:p w14:paraId="0369C96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1.6.30.  Projekt  Geotechniczny  –  projekt  wykonany  zgodnie  z  zasadami  określonymi  w Rozporządzeniu  Ministra  Transportu,  Budownictwa  i  Gospodarki  Morskiej  z  dnia  25 kwietnia  2012  r.  w  sprawie  ustalania  geotechnicznych  warunków  </w:t>
      </w:r>
      <w:proofErr w:type="spellStart"/>
      <w:r w:rsidRPr="00021789">
        <w:rPr>
          <w:rFonts w:asciiTheme="minorHAnsi" w:hAnsiTheme="minorHAnsi"/>
          <w:sz w:val="16"/>
          <w:szCs w:val="16"/>
        </w:rPr>
        <w:t>posadawiania</w:t>
      </w:r>
      <w:proofErr w:type="spellEnd"/>
      <w:r w:rsidRPr="00021789">
        <w:rPr>
          <w:rFonts w:asciiTheme="minorHAnsi" w:hAnsiTheme="minorHAnsi"/>
          <w:sz w:val="16"/>
          <w:szCs w:val="16"/>
        </w:rPr>
        <w:t xml:space="preserve"> </w:t>
      </w:r>
    </w:p>
    <w:p w14:paraId="0C60F5B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obiektów  budowlanych,  zapewniający  spełnienie  wymagań  funkcjonalnych, wynikających z przeznaczenia budowli ziemnej. </w:t>
      </w:r>
    </w:p>
    <w:p w14:paraId="7EBF8A9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1.6.31.  Projekt robót ziemnych – projekt określający proces technologiczny wykonania budowli ziemnej,  spełniającej  wymagania  wynikające  z  projektu  geotechnicznego  (jeżeli  był opracowany) i ustaleń Kontraktu.  </w:t>
      </w:r>
    </w:p>
    <w:p w14:paraId="1535325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1.6.32.  Roboty  ziemne  –  termin  oznaczający  wszystkie  czynności  związane  z  odspajaniem,  selekcjonowaniem,  przemieszczaniem,  profilowaniem,  ulepszaniem  oraz zagęszczaniem gruntów lub materiałów antropogenicznych. </w:t>
      </w:r>
    </w:p>
    <w:p w14:paraId="34D8881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1.6.33.  Rów  przydrożny  (boczny)  –  rów  biegnący  wzdłuż  drogi,  służący  do  odprowadzenia wody z korony drogi, skarp lub przyległego terenu. </w:t>
      </w:r>
    </w:p>
    <w:p w14:paraId="71E9064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1.6.34.  Rów stokowy – rów służący do zbierania i odprowadzania wody spływającej ze zbocza, wykonany ponad skarpą wykopu. </w:t>
      </w:r>
    </w:p>
    <w:p w14:paraId="13A3000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1.6.35.  Skała – występujący w warunkach naturalnych zespół minerałów, skonsolidowanych,  scementowanych  lub w inny sposób powiązanych ze sobą, nie dających się rozdrobnić ręcznie po namoczeniu w wodzie.  </w:t>
      </w:r>
    </w:p>
    <w:p w14:paraId="6F43E5F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lastRenderedPageBreak/>
        <w:t xml:space="preserve">1.6.36.  Skarpa – zewnętrzna boczna powierzchnia nasypu lub wykopu o kształcie i nachyleniu określonym  w  Dokumentacji  Projektowej,  spełniająca  warunki  stateczności  i odwodnienia, zabezpieczona przed erozją. </w:t>
      </w:r>
    </w:p>
    <w:p w14:paraId="1ADA89D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1.6.37.  Warunki Wykonania i Odbioru Robót Budowlanych (</w:t>
      </w:r>
      <w:proofErr w:type="spellStart"/>
      <w:r w:rsidRPr="00021789">
        <w:rPr>
          <w:rFonts w:asciiTheme="minorHAnsi" w:hAnsiTheme="minorHAnsi"/>
          <w:sz w:val="16"/>
          <w:szCs w:val="16"/>
        </w:rPr>
        <w:t>WWiORB</w:t>
      </w:r>
      <w:proofErr w:type="spellEnd"/>
      <w:r w:rsidRPr="00021789">
        <w:rPr>
          <w:rFonts w:asciiTheme="minorHAnsi" w:hAnsiTheme="minorHAnsi"/>
          <w:sz w:val="16"/>
          <w:szCs w:val="16"/>
        </w:rPr>
        <w:t xml:space="preserve">) – dokument opisujący zasady  doboru  materiałów,  wykonania,  odbioru,  obmiaru  oraz  zasady  płatności  za wykonane roboty.  </w:t>
      </w:r>
    </w:p>
    <w:p w14:paraId="4CE653F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1.6.38.  Spoiwo  –  pojedynczy  materiał  wiążący  lub  połączone  materiały  wiążące,  których wymieszanie z gruntem lub materiałem antropogenicznym zapewnia krótkoterminową  lub długoterminową poprawę właściwości.  </w:t>
      </w:r>
    </w:p>
    <w:p w14:paraId="3B3035A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1.6.39.  Strefa  nasypu  –  wydzielona  część  nasypu,  na  przykład  podstawa  lub  górna  część korpusu  ziemnego,  w  odniesieniu</w:t>
      </w:r>
      <w:r w:rsidRPr="00021789">
        <w:rPr>
          <w:rFonts w:asciiTheme="minorHAnsi" w:hAnsiTheme="minorHAnsi"/>
          <w:sz w:val="16"/>
          <w:szCs w:val="16"/>
        </w:rPr>
        <w:br/>
        <w:t xml:space="preserve"> do  której  zostały  określone  indywidualne wymagania. </w:t>
      </w:r>
    </w:p>
    <w:p w14:paraId="4386F20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1.6.40.  Tymczasowa powierzchnia robót ziemnych - powierzchnia korony drogi, skarp i rowów w czasie wykonywania robót ziemnych. </w:t>
      </w:r>
    </w:p>
    <w:p w14:paraId="2AFEDBE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1.6.41.  Ukop – miejsce pozyskania gruntu do wykonania nasypów, położone w obrębie pasa robót drogowych </w:t>
      </w:r>
    </w:p>
    <w:p w14:paraId="0E46974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1.6.42.  Ulepszone podłoże nawierzchni - wierzchnia warstwa podłoża gruntowego nawierzchni ulepszona  w  celu  zwiększenia  nośności  gruntu  rodzimego  w  wykopie  lub  materiału  nasypowego albo zwiększenia odporności nawierzchni na powstawanie wysadzin. </w:t>
      </w:r>
    </w:p>
    <w:p w14:paraId="4525D29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1.6.43.  Urządzenia  odwadniające  -  urządzenia  i  konstrukcje  umożliwiające  odprowadzenie  wód powierzchniowych i gruntowych z pasa drogowego. </w:t>
      </w:r>
    </w:p>
    <w:p w14:paraId="570C97E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1.6.44.  Wilgotność  –  stosunek  masy  wody  zawartej  w  próbce  do  masy  szkieletu  gruntu  lub materiału antropogenicznego. </w:t>
      </w:r>
    </w:p>
    <w:p w14:paraId="192BBFA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1.6.45.  Wilgotność optymalna – wilgotność gruntu lub materiału antropogenicznego, w której użycie  konkretnej  energii  zagęszczania  powoduje  uzyskanie  maksymalnej  gęstości objętościowej szkieletu. </w:t>
      </w:r>
    </w:p>
    <w:p w14:paraId="3E650C0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1.6.46.  Wskaźnik  jednorodności  uziarnienia  –  wielkość  charakteryzująca  </w:t>
      </w:r>
      <w:proofErr w:type="spellStart"/>
      <w:r w:rsidRPr="00021789">
        <w:rPr>
          <w:rFonts w:asciiTheme="minorHAnsi" w:hAnsiTheme="minorHAnsi"/>
          <w:sz w:val="16"/>
          <w:szCs w:val="16"/>
        </w:rPr>
        <w:t>zagęszczalność</w:t>
      </w:r>
      <w:proofErr w:type="spellEnd"/>
      <w:r w:rsidRPr="00021789">
        <w:rPr>
          <w:rFonts w:asciiTheme="minorHAnsi" w:hAnsiTheme="minorHAnsi"/>
          <w:sz w:val="16"/>
          <w:szCs w:val="16"/>
        </w:rPr>
        <w:t xml:space="preserve"> gruntów niespoistych, określona według wzoru: </w:t>
      </w:r>
    </w:p>
    <w:p w14:paraId="458AC9D3" w14:textId="77777777" w:rsidR="00105AB9" w:rsidRPr="00021789" w:rsidRDefault="00105AB9" w:rsidP="00105AB9">
      <w:pPr>
        <w:pStyle w:val="Pro-Inwest"/>
        <w:jc w:val="center"/>
        <w:rPr>
          <w:rFonts w:asciiTheme="minorHAnsi" w:hAnsiTheme="minorHAnsi"/>
          <w:sz w:val="16"/>
          <w:szCs w:val="16"/>
        </w:rPr>
      </w:pPr>
      <w:r w:rsidRPr="00021789">
        <w:rPr>
          <w:rFonts w:ascii="Cambria Math" w:hAnsi="Cambria Math" w:cs="Cambria Math"/>
          <w:noProof/>
          <w:sz w:val="16"/>
          <w:szCs w:val="16"/>
        </w:rPr>
        <w:drawing>
          <wp:inline distT="0" distB="0" distL="0" distR="0" wp14:anchorId="6F9DF7E3" wp14:editId="1A3BC48A">
            <wp:extent cx="540327" cy="405486"/>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6049" cy="417284"/>
                    </a:xfrm>
                    <a:prstGeom prst="rect">
                      <a:avLst/>
                    </a:prstGeom>
                    <a:noFill/>
                    <a:ln>
                      <a:noFill/>
                    </a:ln>
                  </pic:spPr>
                </pic:pic>
              </a:graphicData>
            </a:graphic>
          </wp:inline>
        </w:drawing>
      </w:r>
    </w:p>
    <w:p w14:paraId="786D6B5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 którym: </w:t>
      </w:r>
    </w:p>
    <w:p w14:paraId="18BC7BB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 60     wymiar cząstek, których masa wraz z mniejszymi stanowi 60% masy próbki wysuszonej [mm], </w:t>
      </w:r>
    </w:p>
    <w:p w14:paraId="11E4014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 10     wymiar cząstek, których masa wraz z mniejszymi stanowi 10% masy próbki wysuszonej [mm]. </w:t>
      </w:r>
    </w:p>
    <w:p w14:paraId="73114DF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1.6.47.  Wskaźnik odkształcenia gruntu - wielkość charakteryzująca stan zagęszczenia gruntu, </w:t>
      </w:r>
    </w:p>
    <w:p w14:paraId="79E9DD4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określona według wzoru: </w:t>
      </w:r>
    </w:p>
    <w:p w14:paraId="1BDA6B5F"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01EFAC64" wp14:editId="62B52C07">
            <wp:extent cx="519054" cy="403761"/>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565" cy="410382"/>
                    </a:xfrm>
                    <a:prstGeom prst="rect">
                      <a:avLst/>
                    </a:prstGeom>
                    <a:noFill/>
                    <a:ln>
                      <a:noFill/>
                    </a:ln>
                  </pic:spPr>
                </pic:pic>
              </a:graphicData>
            </a:graphic>
          </wp:inline>
        </w:drawing>
      </w:r>
    </w:p>
    <w:p w14:paraId="2555E41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gdzie: </w:t>
      </w:r>
    </w:p>
    <w:p w14:paraId="6B1D2D1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E 1    pierwotny moduł odkształcenia [</w:t>
      </w:r>
      <w:proofErr w:type="spellStart"/>
      <w:r w:rsidRPr="00021789">
        <w:rPr>
          <w:rFonts w:asciiTheme="minorHAnsi" w:hAnsiTheme="minorHAnsi"/>
          <w:sz w:val="16"/>
          <w:szCs w:val="16"/>
        </w:rPr>
        <w:t>MPa</w:t>
      </w:r>
      <w:proofErr w:type="spellEnd"/>
      <w:r w:rsidRPr="00021789">
        <w:rPr>
          <w:rFonts w:asciiTheme="minorHAnsi" w:hAnsiTheme="minorHAnsi"/>
          <w:sz w:val="16"/>
          <w:szCs w:val="16"/>
        </w:rPr>
        <w:t xml:space="preserve">], </w:t>
      </w:r>
    </w:p>
    <w:p w14:paraId="59587FA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E 2    wtórny moduł odkształcenia [</w:t>
      </w:r>
      <w:proofErr w:type="spellStart"/>
      <w:r w:rsidRPr="00021789">
        <w:rPr>
          <w:rFonts w:asciiTheme="minorHAnsi" w:hAnsiTheme="minorHAnsi"/>
          <w:sz w:val="16"/>
          <w:szCs w:val="16"/>
        </w:rPr>
        <w:t>MPa</w:t>
      </w:r>
      <w:proofErr w:type="spellEnd"/>
      <w:r w:rsidRPr="00021789">
        <w:rPr>
          <w:rFonts w:asciiTheme="minorHAnsi" w:hAnsiTheme="minorHAnsi"/>
          <w:sz w:val="16"/>
          <w:szCs w:val="16"/>
        </w:rPr>
        <w:t xml:space="preserve">]. </w:t>
      </w:r>
    </w:p>
    <w:p w14:paraId="332747C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1.6.48.  Wskaźnik zagęszczenia gruntu – wielkość charakteryzująca stan zagęszczenia gruntu  lub materiału antropogenicznego, badana zgodnie z Załącznikiem 2 (procedura według normy BN-77/8931-12), określona według wzoru: </w:t>
      </w:r>
    </w:p>
    <w:p w14:paraId="04FA342E"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5B66EF1F" wp14:editId="16F05C4B">
            <wp:extent cx="510639" cy="35950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1580" cy="367203"/>
                    </a:xfrm>
                    <a:prstGeom prst="rect">
                      <a:avLst/>
                    </a:prstGeom>
                    <a:noFill/>
                    <a:ln>
                      <a:noFill/>
                    </a:ln>
                  </pic:spPr>
                </pic:pic>
              </a:graphicData>
            </a:graphic>
          </wp:inline>
        </w:drawing>
      </w:r>
    </w:p>
    <w:p w14:paraId="0DB07EB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 którym:  </w:t>
      </w:r>
    </w:p>
    <w:p w14:paraId="46FACAB6" w14:textId="77777777" w:rsidR="00105AB9" w:rsidRPr="00021789" w:rsidRDefault="00105AB9" w:rsidP="00105AB9">
      <w:pPr>
        <w:pStyle w:val="Pro-Inwest"/>
        <w:jc w:val="both"/>
        <w:rPr>
          <w:rFonts w:asciiTheme="minorHAnsi" w:hAnsiTheme="minorHAnsi"/>
          <w:sz w:val="16"/>
          <w:szCs w:val="16"/>
        </w:rPr>
      </w:pPr>
      <w:proofErr w:type="spellStart"/>
      <w:r w:rsidRPr="00021789">
        <w:rPr>
          <w:rFonts w:asciiTheme="minorHAnsi" w:hAnsiTheme="minorHAnsi"/>
          <w:sz w:val="16"/>
          <w:szCs w:val="16"/>
        </w:rPr>
        <w:t>ρ</w:t>
      </w:r>
      <w:r w:rsidRPr="00021789">
        <w:rPr>
          <w:rFonts w:asciiTheme="minorHAnsi" w:hAnsiTheme="minorHAnsi"/>
          <w:sz w:val="16"/>
          <w:szCs w:val="16"/>
          <w:vertAlign w:val="subscript"/>
        </w:rPr>
        <w:t>d</w:t>
      </w:r>
      <w:proofErr w:type="spellEnd"/>
      <w:r w:rsidRPr="00021789">
        <w:rPr>
          <w:rFonts w:asciiTheme="minorHAnsi" w:hAnsiTheme="minorHAnsi"/>
          <w:sz w:val="16"/>
          <w:szCs w:val="16"/>
        </w:rPr>
        <w:t xml:space="preserve">   gęstość objętościowa szkieletu gruntu w nasypie [kg/m 3 ], </w:t>
      </w:r>
    </w:p>
    <w:p w14:paraId="1E3F8ED9" w14:textId="77777777" w:rsidR="00105AB9" w:rsidRPr="00021789" w:rsidRDefault="00105AB9" w:rsidP="00105AB9">
      <w:pPr>
        <w:pStyle w:val="Pro-Inwest"/>
        <w:jc w:val="both"/>
        <w:rPr>
          <w:rFonts w:asciiTheme="minorHAnsi" w:hAnsiTheme="minorHAnsi"/>
          <w:sz w:val="16"/>
          <w:szCs w:val="16"/>
        </w:rPr>
      </w:pPr>
      <w:proofErr w:type="spellStart"/>
      <w:r w:rsidRPr="00021789">
        <w:rPr>
          <w:rFonts w:asciiTheme="minorHAnsi" w:hAnsiTheme="minorHAnsi"/>
          <w:sz w:val="16"/>
          <w:szCs w:val="16"/>
        </w:rPr>
        <w:t>ρ</w:t>
      </w:r>
      <w:r w:rsidRPr="00021789">
        <w:rPr>
          <w:rFonts w:asciiTheme="minorHAnsi" w:hAnsiTheme="minorHAnsi"/>
          <w:sz w:val="16"/>
          <w:szCs w:val="16"/>
          <w:vertAlign w:val="subscript"/>
        </w:rPr>
        <w:t>ds</w:t>
      </w:r>
      <w:proofErr w:type="spellEnd"/>
      <w:r w:rsidRPr="00021789">
        <w:rPr>
          <w:rFonts w:asciiTheme="minorHAnsi" w:hAnsiTheme="minorHAnsi"/>
          <w:sz w:val="16"/>
          <w:szCs w:val="16"/>
          <w:vertAlign w:val="subscript"/>
        </w:rPr>
        <w:t xml:space="preserve"> </w:t>
      </w:r>
      <w:r w:rsidRPr="00021789">
        <w:rPr>
          <w:rFonts w:asciiTheme="minorHAnsi" w:hAnsiTheme="minorHAnsi"/>
          <w:sz w:val="16"/>
          <w:szCs w:val="16"/>
        </w:rPr>
        <w:t xml:space="preserve">   maksymalna gęstość objętościowa szkieletu gruntu zagęszczonego wg normalnej próby </w:t>
      </w:r>
      <w:proofErr w:type="spellStart"/>
      <w:r w:rsidRPr="00021789">
        <w:rPr>
          <w:rFonts w:asciiTheme="minorHAnsi" w:hAnsiTheme="minorHAnsi"/>
          <w:sz w:val="16"/>
          <w:szCs w:val="16"/>
        </w:rPr>
        <w:t>Proctora</w:t>
      </w:r>
      <w:proofErr w:type="spellEnd"/>
      <w:r w:rsidRPr="00021789">
        <w:rPr>
          <w:rFonts w:asciiTheme="minorHAnsi" w:hAnsiTheme="minorHAnsi"/>
          <w:sz w:val="16"/>
          <w:szCs w:val="16"/>
        </w:rPr>
        <w:t xml:space="preserve"> [kg/m 3 ]. </w:t>
      </w:r>
    </w:p>
    <w:p w14:paraId="0757CF6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1.6.49.  Wykop  -  budowla  ziemna    wykonana  w  obrębie  pasa  drogowego,  w  postaci odpowiednio ukształtowanej przestrzeni powstałej w wyniku usunięcia z niej gruntu. </w:t>
      </w:r>
    </w:p>
    <w:p w14:paraId="4EBD9C6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1.6.50.  Wysokość nasypu lub głębokość wykopu – różnica rzędnej terenu i rzędnej niwelety robót ziemnych wyznaczona w osi drogi. </w:t>
      </w:r>
    </w:p>
    <w:p w14:paraId="5B27104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1.6.51.  Wzmocnione  podłoże  nasypu  -  warstwa  gruntu  rodzimego,  lub  materiału antropogenicznego,  ulepszonego  przez  działanie  mechaniczne,  chemiczne  lub wykonanie  elementów  wzmacniających,  w  celu  poprawienia  jego  stateczności, zmniejszenia </w:t>
      </w:r>
      <w:proofErr w:type="spellStart"/>
      <w:r w:rsidRPr="00021789">
        <w:rPr>
          <w:rFonts w:asciiTheme="minorHAnsi" w:hAnsiTheme="minorHAnsi"/>
          <w:sz w:val="16"/>
          <w:szCs w:val="16"/>
        </w:rPr>
        <w:t>osiadań</w:t>
      </w:r>
      <w:proofErr w:type="spellEnd"/>
      <w:r w:rsidRPr="00021789">
        <w:rPr>
          <w:rFonts w:asciiTheme="minorHAnsi" w:hAnsiTheme="minorHAnsi"/>
          <w:sz w:val="16"/>
          <w:szCs w:val="16"/>
        </w:rPr>
        <w:br/>
        <w:t xml:space="preserve">lub ujednolicenia podłoża gruntowego. </w:t>
      </w:r>
    </w:p>
    <w:p w14:paraId="04A7AE3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1.6.52.  Zagęszczanie  –  zwiększanie  gęstości  objętościowej  szkieletu  gruntu  lub  materiału antropogenicznego  z  zastosowaniem  procesu  mechanicznego,  w  celu  uzyskania  wymaganych właściwości korpusu ziemnego lub pojedynczej warstwy. </w:t>
      </w:r>
    </w:p>
    <w:p w14:paraId="2FD224B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1.6.53.  Zbocze  (stok)  -  naturalna  pochyła  powierzchnia  terenu  w  obrębie  pasa  drogowego  lub  przyległego do drogi. </w:t>
      </w:r>
    </w:p>
    <w:p w14:paraId="2BD7E3B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Pozostałe  określenia podstawowe podane w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są zgodne z odpowiednimi polskimi  normami  i z definicjami  podanymi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  00.00.00  "Wymagania  Ogólne" oraz w przepisach związanych wyszczególnionych w pkt. 10 niniejszego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w:t>
      </w:r>
    </w:p>
    <w:p w14:paraId="1448A048"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1.7.  Ogólne wymagania dotyczące robót </w:t>
      </w:r>
    </w:p>
    <w:p w14:paraId="41399CB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Ogólne wymagania dotyczące robót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 00.00.00 "Wymagania Ogólne". </w:t>
      </w:r>
    </w:p>
    <w:p w14:paraId="5A3EA31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3002F462"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2.  MATERIAŁY </w:t>
      </w:r>
    </w:p>
    <w:p w14:paraId="7C661D54"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2.1.  Ogólne wymagania dotyczące materiałów </w:t>
      </w:r>
    </w:p>
    <w:p w14:paraId="7480158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2.1.1.  Ogólne  wymagania  dotyczące  materiałów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  00.00.00, Wymagania ogólne" punkt 2. </w:t>
      </w:r>
    </w:p>
    <w:p w14:paraId="70C6B92D"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2.2.  Podział gruntów i materiałów nasypowych </w:t>
      </w:r>
    </w:p>
    <w:p w14:paraId="12BAEB2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2.2.1.  W  robotach  ziemnych  wykorzystuje  się  grunty  i  materiały  antropogeniczne.  Grunty  i materiały antropogeniczne wymagają oceny ze względu na wymagania wynikające  z Dokumentacji Projektowej. </w:t>
      </w:r>
    </w:p>
    <w:p w14:paraId="27DC487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2.2.2.  Stosuje  się  klasyfikacje  gruntów  i  materiałów  antropogenicznych,  uwzględniające podstawowe kryteria istotne w robotach ziemnych. W robotach ziemnych podstawowe klasyfikacje  dotyczą:  uziarnienia,  </w:t>
      </w:r>
      <w:proofErr w:type="spellStart"/>
      <w:r w:rsidRPr="00021789">
        <w:rPr>
          <w:rFonts w:asciiTheme="minorHAnsi" w:hAnsiTheme="minorHAnsi"/>
          <w:sz w:val="16"/>
          <w:szCs w:val="16"/>
        </w:rPr>
        <w:t>wysadzinowości</w:t>
      </w:r>
      <w:proofErr w:type="spellEnd"/>
      <w:r w:rsidRPr="00021789">
        <w:rPr>
          <w:rFonts w:asciiTheme="minorHAnsi" w:hAnsiTheme="minorHAnsi"/>
          <w:sz w:val="16"/>
          <w:szCs w:val="16"/>
        </w:rPr>
        <w:t xml:space="preserve">  oraz  przydatności  do  budowy nasypów lub poszczególnych stref nasypów. </w:t>
      </w:r>
    </w:p>
    <w:p w14:paraId="48D46BB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lastRenderedPageBreak/>
        <w:t xml:space="preserve">2.2.3.  Podziału gruntów ze względu na uziarnienie dokonuje się zgodnie z normą PN-86/B-02480 „Grunty budowlane. Określenia, symbole, podział i opis gruntów. </w:t>
      </w:r>
    </w:p>
    <w:p w14:paraId="1834788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2.2.4.  W  Tablicy  2.1.  określono  podział  gruntów  ze  względu  na  ich  </w:t>
      </w:r>
      <w:proofErr w:type="spellStart"/>
      <w:r w:rsidRPr="00021789">
        <w:rPr>
          <w:rFonts w:asciiTheme="minorHAnsi" w:hAnsiTheme="minorHAnsi"/>
          <w:sz w:val="16"/>
          <w:szCs w:val="16"/>
        </w:rPr>
        <w:t>wysadzinowość</w:t>
      </w:r>
      <w:proofErr w:type="spellEnd"/>
      <w:r w:rsidRPr="00021789">
        <w:rPr>
          <w:rFonts w:asciiTheme="minorHAnsi" w:hAnsiTheme="minorHAnsi"/>
          <w:sz w:val="16"/>
          <w:szCs w:val="16"/>
        </w:rPr>
        <w:t xml:space="preserve">. Podstawowym  kryterium  oceny  </w:t>
      </w:r>
      <w:proofErr w:type="spellStart"/>
      <w:r w:rsidRPr="00021789">
        <w:rPr>
          <w:rFonts w:asciiTheme="minorHAnsi" w:hAnsiTheme="minorHAnsi"/>
          <w:sz w:val="16"/>
          <w:szCs w:val="16"/>
        </w:rPr>
        <w:t>wysadzinowości</w:t>
      </w:r>
      <w:proofErr w:type="spellEnd"/>
      <w:r w:rsidRPr="00021789">
        <w:rPr>
          <w:rFonts w:asciiTheme="minorHAnsi" w:hAnsiTheme="minorHAnsi"/>
          <w:sz w:val="16"/>
          <w:szCs w:val="16"/>
        </w:rPr>
        <w:t xml:space="preserve">  gruntów  jest  zawartość  drobnych cząstek, a dodatkowym, stosowanym w przypadkach wątpliwych, wskaźnik piaskowy. </w:t>
      </w:r>
    </w:p>
    <w:p w14:paraId="3000F6B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Wskaźnik piaskowy stanowi kryterium oceny gruntów o zawartości ziaren ≤ 0,063 mm powyżej 6 %, zbliżonych do mało spoistych.  Jako informację uzupełniającą w Tablicy 2.1. podano nazwy typowych gruntów </w:t>
      </w:r>
      <w:proofErr w:type="spellStart"/>
      <w:r w:rsidRPr="00021789">
        <w:rPr>
          <w:rFonts w:asciiTheme="minorHAnsi" w:hAnsiTheme="minorHAnsi"/>
          <w:sz w:val="16"/>
          <w:szCs w:val="16"/>
        </w:rPr>
        <w:t>niewysadzinowych</w:t>
      </w:r>
      <w:proofErr w:type="spellEnd"/>
      <w:r w:rsidRPr="00021789">
        <w:rPr>
          <w:rFonts w:asciiTheme="minorHAnsi" w:hAnsiTheme="minorHAnsi"/>
          <w:sz w:val="16"/>
          <w:szCs w:val="16"/>
        </w:rPr>
        <w:t xml:space="preserve">, wątpliwych i </w:t>
      </w:r>
      <w:proofErr w:type="spellStart"/>
      <w:r w:rsidRPr="00021789">
        <w:rPr>
          <w:rFonts w:asciiTheme="minorHAnsi" w:hAnsiTheme="minorHAnsi"/>
          <w:sz w:val="16"/>
          <w:szCs w:val="16"/>
        </w:rPr>
        <w:t>wysadzinowych</w:t>
      </w:r>
      <w:proofErr w:type="spellEnd"/>
      <w:r w:rsidRPr="00021789">
        <w:rPr>
          <w:rFonts w:asciiTheme="minorHAnsi" w:hAnsiTheme="minorHAnsi"/>
          <w:sz w:val="16"/>
          <w:szCs w:val="16"/>
        </w:rPr>
        <w:t xml:space="preserve"> według normy PN-88/B-04481. </w:t>
      </w:r>
      <w:proofErr w:type="spellStart"/>
      <w:r w:rsidRPr="00021789">
        <w:rPr>
          <w:rFonts w:asciiTheme="minorHAnsi" w:hAnsiTheme="minorHAnsi"/>
          <w:sz w:val="16"/>
          <w:szCs w:val="16"/>
        </w:rPr>
        <w:t>Wysadzinowość</w:t>
      </w:r>
      <w:proofErr w:type="spellEnd"/>
      <w:r w:rsidRPr="00021789">
        <w:rPr>
          <w:rFonts w:asciiTheme="minorHAnsi" w:hAnsiTheme="minorHAnsi"/>
          <w:sz w:val="16"/>
          <w:szCs w:val="16"/>
        </w:rPr>
        <w:t xml:space="preserve">  materiałów  antropogenicznych  należy  oceniać  na  podstawie  indywidualnych badań, z uwzględnieniem pochodzenia materiału i jego właściwości. </w:t>
      </w:r>
    </w:p>
    <w:p w14:paraId="30048C6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2.2.5.  W Tablicy 2.2. określono podział gruntów i materiałów antropogenicznych ze względu  na ich przydatność do budowy nasypów.  </w:t>
      </w:r>
    </w:p>
    <w:p w14:paraId="398A92A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2.2.6.  Do  budowy nasypów  nieprzydatne  są materiały nie  spełniające  wymagań  podanych  w Tablicy 2.2, z uwzględnieniem zapisów punktu 2.2.8. W szczególności nieprzydatne są następujące grunty i materiały antropogeniczne, przy czym nieprzydatność może mieć charakter trwały lub czasowy: </w:t>
      </w:r>
    </w:p>
    <w:p w14:paraId="1427C3B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a)  organiczne (tj. o zawartości substancji organicznych ponad 2 %) </w:t>
      </w:r>
    </w:p>
    <w:p w14:paraId="548D0BA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b)  równoziarniste (o wskaźniku jednorodności uziarnienia C u &lt;2,5), </w:t>
      </w:r>
    </w:p>
    <w:p w14:paraId="4205691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c)  spoiste granicy płynności w L  większej od 60 %, </w:t>
      </w:r>
    </w:p>
    <w:p w14:paraId="649CE27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  zasolone (o zawartość soli powyżej 2 %), </w:t>
      </w:r>
    </w:p>
    <w:p w14:paraId="71A8733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e)  zawierające  substancje  szkodliwe  dla  środowiska  naturalnego  w  ilościach większych niż dopuszczono w obowiązujących przepisach,  </w:t>
      </w:r>
    </w:p>
    <w:p w14:paraId="66585D6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f)  w stanie zamarzniętym, </w:t>
      </w:r>
    </w:p>
    <w:p w14:paraId="6704AF4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g)  </w:t>
      </w:r>
      <w:proofErr w:type="spellStart"/>
      <w:r w:rsidRPr="00021789">
        <w:rPr>
          <w:rFonts w:asciiTheme="minorHAnsi" w:hAnsiTheme="minorHAnsi"/>
          <w:sz w:val="16"/>
          <w:szCs w:val="16"/>
        </w:rPr>
        <w:t>przewilgocone</w:t>
      </w:r>
      <w:proofErr w:type="spellEnd"/>
      <w:r w:rsidRPr="00021789">
        <w:rPr>
          <w:rFonts w:asciiTheme="minorHAnsi" w:hAnsiTheme="minorHAnsi"/>
          <w:sz w:val="16"/>
          <w:szCs w:val="16"/>
        </w:rPr>
        <w:t xml:space="preserve"> i nawodnione, </w:t>
      </w:r>
    </w:p>
    <w:p w14:paraId="39C6309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h)  podatne na </w:t>
      </w:r>
      <w:proofErr w:type="spellStart"/>
      <w:r w:rsidRPr="00021789">
        <w:rPr>
          <w:rFonts w:asciiTheme="minorHAnsi" w:hAnsiTheme="minorHAnsi"/>
          <w:sz w:val="16"/>
          <w:szCs w:val="16"/>
        </w:rPr>
        <w:t>samozapalenie</w:t>
      </w:r>
      <w:proofErr w:type="spellEnd"/>
      <w:r w:rsidRPr="00021789">
        <w:rPr>
          <w:rFonts w:asciiTheme="minorHAnsi" w:hAnsiTheme="minorHAnsi"/>
          <w:sz w:val="16"/>
          <w:szCs w:val="16"/>
        </w:rPr>
        <w:t xml:space="preserve"> (tj. nieodwęglone – zawierające powyżej 20% części palnych), z wyjątkiem przepalonych odpadów z węgla kamiennego, </w:t>
      </w:r>
    </w:p>
    <w:p w14:paraId="0342978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i)  antropogeniczne podatne na przeobrażenia fizyko-chemiczne, w wyniku których  dochodzi do zmian objętościowych. </w:t>
      </w:r>
    </w:p>
    <w:p w14:paraId="2CBBCFE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2.2.7.  Można  rozważyć  czy  zastosowanie  gruntów  i  materiałów  antropogenicznych, ocenionych  jako  nieprzydatne,  byłoby  możliwe  po  ich  ulepszeniu,  o  ile  jest  to uzasadnione względami ekonomicznymi lub środowiskowymi. Ulepszenie, zależnie od przyczyny powodującej nieprzydatność gruntu lub materiału antropogenicznego, może obejmować  </w:t>
      </w:r>
      <w:proofErr w:type="spellStart"/>
      <w:r w:rsidRPr="00021789">
        <w:rPr>
          <w:rFonts w:asciiTheme="minorHAnsi" w:hAnsiTheme="minorHAnsi"/>
          <w:sz w:val="16"/>
          <w:szCs w:val="16"/>
        </w:rPr>
        <w:t>doziarnienie</w:t>
      </w:r>
      <w:proofErr w:type="spellEnd"/>
      <w:r w:rsidRPr="00021789">
        <w:rPr>
          <w:rFonts w:asciiTheme="minorHAnsi" w:hAnsiTheme="minorHAnsi"/>
          <w:sz w:val="16"/>
          <w:szCs w:val="16"/>
        </w:rPr>
        <w:t xml:space="preserve">,  mieszanie  z  innym  gruntem  lub  materiałem,  ulepszenie spoiwem  albo  oczyszczenie.  Wykonawca  dokona  wyboru  technologii  ulepszenia uwzględniającej  warunki  wykonania  robót,  posiadane  materiały  oraz  sprzęt  jakim dysponuje  Wykonawca.  Do  wybranej  technologii  Wykonawca  opracuje  wymagane dokumenty i uzgodni je z Inżynierem/Inspektorem nadzoru.  </w:t>
      </w:r>
    </w:p>
    <w:p w14:paraId="3C231A0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2.2.8.   Grunty  o  wskaźniku  jednorodności  uziarnienia  2,5≤C u &lt;3,0  można  stosować  pod warunkiem wykazania możliwości uzyskania wymaganego wskaźnika zagęszczenia I s . Metodę doprowadzenia gruntów o wskaźniku jednorodności uziarnienia 2,5≤C u &lt;3,0</w:t>
      </w:r>
      <w:r w:rsidRPr="00021789">
        <w:rPr>
          <w:rFonts w:asciiTheme="minorHAnsi" w:hAnsiTheme="minorHAnsi"/>
          <w:sz w:val="16"/>
          <w:szCs w:val="16"/>
        </w:rPr>
        <w:br/>
        <w:t>do wymaganego  wskaźnika  zagęszczenia  opracuje  Wykonawca  i  przedstawi Inżynierowi/Inspektorowi nadzoru do akceptacji</w:t>
      </w:r>
      <w:r w:rsidRPr="00021789">
        <w:rPr>
          <w:rFonts w:asciiTheme="minorHAnsi" w:hAnsiTheme="minorHAnsi"/>
          <w:sz w:val="16"/>
          <w:szCs w:val="16"/>
        </w:rPr>
        <w:br/>
        <w:t>wraz z wynikami odpowiednich badań. W  przypadku  zastosowania  gruntów  o  wskaźniku  jednorodności  uziarnienia 2,5≤C u &lt;3,0  należy  wykonać  dodatkowe  przeciwerozyjne  wzmocnienie  skarp  (w miejscach występowania humusowania) oraz obliczeniowo sprawdzić</w:t>
      </w:r>
      <w:r w:rsidRPr="00021789">
        <w:rPr>
          <w:rFonts w:asciiTheme="minorHAnsi" w:hAnsiTheme="minorHAnsi"/>
          <w:sz w:val="16"/>
          <w:szCs w:val="16"/>
        </w:rPr>
        <w:br/>
        <w:t xml:space="preserve">czy jest spełniony warunek stateczności skarp. W wyjątkowych sytuacjach za zgodą Inżyniera/Inspektora nadzoru  mogą  być  stosowane  materiały  o  C u &lt;2,5  (np.  keramzyt).  Zasady zastosowania takich materiałów należy określić indywidualnie. </w:t>
      </w:r>
    </w:p>
    <w:p w14:paraId="29A9370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2.2.9.  Materiały niebezpieczne, o właściwościach chemicznych lub fizycznych wymagających specjalnych środków w celu odspojenia, składowania, transportu i usunięcia stanowią szczególną kategorie i są klasyfikowane oddzielnie. </w:t>
      </w:r>
    </w:p>
    <w:p w14:paraId="5BB02CBB" w14:textId="77777777" w:rsidR="00105AB9" w:rsidRPr="00021789" w:rsidRDefault="00105AB9" w:rsidP="00105AB9">
      <w:pPr>
        <w:pStyle w:val="Pro-Inwest"/>
        <w:jc w:val="both"/>
        <w:rPr>
          <w:rFonts w:asciiTheme="minorHAnsi" w:hAnsiTheme="minorHAnsi"/>
          <w:sz w:val="16"/>
          <w:szCs w:val="16"/>
        </w:rPr>
      </w:pPr>
    </w:p>
    <w:p w14:paraId="10B0D61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Tablica 2.1 Podział gruntów pod względem </w:t>
      </w:r>
      <w:proofErr w:type="spellStart"/>
      <w:r w:rsidRPr="00021789">
        <w:rPr>
          <w:rFonts w:asciiTheme="minorHAnsi" w:hAnsiTheme="minorHAnsi"/>
          <w:sz w:val="16"/>
          <w:szCs w:val="16"/>
        </w:rPr>
        <w:t>wysadzinowości</w:t>
      </w:r>
      <w:proofErr w:type="spellEnd"/>
      <w:r w:rsidRPr="00021789">
        <w:rPr>
          <w:rFonts w:asciiTheme="minorHAnsi" w:hAnsiTheme="minorHAnsi"/>
          <w:sz w:val="16"/>
          <w:szCs w:val="16"/>
        </w:rPr>
        <w:t xml:space="preserve"> </w:t>
      </w:r>
    </w:p>
    <w:p w14:paraId="6B11966E" w14:textId="77777777" w:rsidR="00105AB9" w:rsidRPr="00021789" w:rsidRDefault="00105AB9" w:rsidP="00105AB9">
      <w:pPr>
        <w:pStyle w:val="Pro-Inwest"/>
        <w:jc w:val="both"/>
        <w:rPr>
          <w:rFonts w:asciiTheme="minorHAnsi" w:hAnsiTheme="minorHAnsi"/>
          <w:sz w:val="16"/>
          <w:szCs w:val="16"/>
        </w:rPr>
      </w:pPr>
    </w:p>
    <w:p w14:paraId="1CC4D9A6"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1E116F88" wp14:editId="1DF0766C">
            <wp:extent cx="5006105" cy="3178479"/>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22680" cy="3189003"/>
                    </a:xfrm>
                    <a:prstGeom prst="rect">
                      <a:avLst/>
                    </a:prstGeom>
                    <a:noFill/>
                    <a:ln>
                      <a:noFill/>
                    </a:ln>
                  </pic:spPr>
                </pic:pic>
              </a:graphicData>
            </a:graphic>
          </wp:inline>
        </w:drawing>
      </w:r>
    </w:p>
    <w:p w14:paraId="46DE6722" w14:textId="77777777" w:rsidR="00105AB9" w:rsidRPr="00021789" w:rsidRDefault="00105AB9" w:rsidP="00105AB9">
      <w:pPr>
        <w:pStyle w:val="Pro-Inwest"/>
        <w:jc w:val="both"/>
        <w:rPr>
          <w:rFonts w:asciiTheme="minorHAnsi" w:hAnsiTheme="minorHAnsi"/>
          <w:sz w:val="16"/>
          <w:szCs w:val="16"/>
        </w:rPr>
      </w:pPr>
    </w:p>
    <w:p w14:paraId="5D27552C" w14:textId="77777777" w:rsidR="00105AB9" w:rsidRPr="00021789" w:rsidRDefault="00105AB9" w:rsidP="00105AB9">
      <w:pPr>
        <w:pStyle w:val="Pro-Inwest"/>
        <w:jc w:val="both"/>
        <w:rPr>
          <w:rFonts w:asciiTheme="minorHAnsi" w:hAnsiTheme="minorHAnsi"/>
          <w:sz w:val="16"/>
          <w:szCs w:val="16"/>
        </w:rPr>
      </w:pPr>
    </w:p>
    <w:p w14:paraId="48FB604F" w14:textId="77777777" w:rsidR="00105AB9" w:rsidRPr="00021789" w:rsidRDefault="00105AB9" w:rsidP="00105AB9">
      <w:pPr>
        <w:pStyle w:val="Pro-Inwest"/>
        <w:jc w:val="both"/>
        <w:rPr>
          <w:rFonts w:asciiTheme="minorHAnsi" w:hAnsiTheme="minorHAnsi"/>
          <w:sz w:val="16"/>
          <w:szCs w:val="16"/>
        </w:rPr>
      </w:pPr>
    </w:p>
    <w:p w14:paraId="6EAAA30B" w14:textId="77777777" w:rsidR="00105AB9" w:rsidRPr="00021789" w:rsidRDefault="00105AB9" w:rsidP="00105AB9">
      <w:pPr>
        <w:pStyle w:val="Pro-Inwest"/>
        <w:jc w:val="both"/>
        <w:rPr>
          <w:rFonts w:asciiTheme="minorHAnsi" w:hAnsiTheme="minorHAnsi"/>
          <w:sz w:val="16"/>
          <w:szCs w:val="16"/>
        </w:rPr>
      </w:pPr>
    </w:p>
    <w:p w14:paraId="233DCFD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155C164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08D0204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Tablica 2.2. Przydatność gruntów i materiałów antropogenicznych do budowy nasypów Przeznaczenie  Przydatne  </w:t>
      </w:r>
      <w:proofErr w:type="spellStart"/>
      <w:r w:rsidRPr="00021789">
        <w:rPr>
          <w:rFonts w:asciiTheme="minorHAnsi" w:hAnsiTheme="minorHAnsi"/>
          <w:sz w:val="16"/>
          <w:szCs w:val="16"/>
        </w:rPr>
        <w:t>Przydatne</w:t>
      </w:r>
      <w:proofErr w:type="spellEnd"/>
      <w:r w:rsidRPr="00021789">
        <w:rPr>
          <w:rFonts w:asciiTheme="minorHAnsi" w:hAnsiTheme="minorHAnsi"/>
          <w:sz w:val="16"/>
          <w:szCs w:val="16"/>
        </w:rPr>
        <w:t xml:space="preserve"> z zastrzeżeniami  Treść zastrzeżenia </w:t>
      </w:r>
    </w:p>
    <w:p w14:paraId="33720B65"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2CFBC1B0" wp14:editId="5142361B">
            <wp:extent cx="5564043" cy="7148945"/>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65957" cy="7151404"/>
                    </a:xfrm>
                    <a:prstGeom prst="rect">
                      <a:avLst/>
                    </a:prstGeom>
                    <a:noFill/>
                    <a:ln>
                      <a:noFill/>
                    </a:ln>
                  </pic:spPr>
                </pic:pic>
              </a:graphicData>
            </a:graphic>
          </wp:inline>
        </w:drawing>
      </w:r>
    </w:p>
    <w:p w14:paraId="392BFADB"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2.3.  Zasady wykorzystania gruntów oraz materiałów antropogenicznych </w:t>
      </w:r>
    </w:p>
    <w:p w14:paraId="6743833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2.3.1.  Do budowy nasypów można stosować grunty pochodzące z wykopu, ukopu lub </w:t>
      </w:r>
      <w:proofErr w:type="spellStart"/>
      <w:r w:rsidRPr="00021789">
        <w:rPr>
          <w:rFonts w:asciiTheme="minorHAnsi" w:hAnsiTheme="minorHAnsi"/>
          <w:sz w:val="16"/>
          <w:szCs w:val="16"/>
        </w:rPr>
        <w:t>dokopu</w:t>
      </w:r>
      <w:proofErr w:type="spellEnd"/>
      <w:r w:rsidRPr="00021789">
        <w:rPr>
          <w:rFonts w:asciiTheme="minorHAnsi" w:hAnsiTheme="minorHAnsi"/>
          <w:sz w:val="16"/>
          <w:szCs w:val="16"/>
        </w:rPr>
        <w:t xml:space="preserve">  albo materiały antropogeniczne. Zasady wykorzystania pozyskiwanych gruntów oraz materiałów antropogenicznych do budowy nasypów podano w punkcie 5.4. </w:t>
      </w:r>
    </w:p>
    <w:p w14:paraId="240EB9A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2.3.2.  Wyboru materiału nasypowego należy dokonać z uwzględnieniem wymagań podanych  w  punkcie  2.2.  Właściwości  materiału  nasypowego  nie  powinny  być  gorsze  od parametrów  podanych  w  Projekcie  Geotechnicznym,  o  ile  występuje,  lub  w Dokumentacji Projektowej. </w:t>
      </w:r>
    </w:p>
    <w:p w14:paraId="63F4936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lastRenderedPageBreak/>
        <w:t xml:space="preserve">2.3.3.  Do  budowy  nasypów  należy  stosować  grunty  lub  materiały  antropogeniczne  o potwierdzonej przydatności. Przydatność gruntów lub materiałów antropogenicznych do budowy nasypów należy określać z uwzględnieniem : </w:t>
      </w:r>
    </w:p>
    <w:p w14:paraId="38C8CE6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a)  właściwości stałych (wewnętrznych) związanych z pochodzeniem (np. uziarnienie, stopień plastyczności, zawartość części organicznych), </w:t>
      </w:r>
    </w:p>
    <w:p w14:paraId="0AA357C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b)  właściwości zmiennych, związanych ze stanem  (np. wilgotność, gęstość). </w:t>
      </w:r>
    </w:p>
    <w:p w14:paraId="376A572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Wykonawca  musi  uwzględniać  w  ocenie  gruntu  lub  materiału,  czy  stwierdzone właściwości  (stałe  lub  zmienne)  umożliwiają  wbudowanie  go  w  strefę  nasypu,  do których został przewidziane. </w:t>
      </w:r>
    </w:p>
    <w:p w14:paraId="059DB34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2.3.4.  Przydatność  gruntów  z  wykopów  do  budowy  nasypów  we  wstępnej  fazie  powinna zostać oceniona makroskopowo, natomiast przeznaczenie ich do dedykowanej warstwy powinno odbyć się na podstawie parametrów zbadanych metodami laboratoryjnymi. </w:t>
      </w:r>
    </w:p>
    <w:p w14:paraId="0DF2A0C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2.3.5.  W  górnej  warstwie  nasypu, do  głębokości  przemarzania,  należy stosować  materiały  nasypowe odporne na działanie mrozu - grunty </w:t>
      </w:r>
      <w:proofErr w:type="spellStart"/>
      <w:r w:rsidRPr="00021789">
        <w:rPr>
          <w:rFonts w:asciiTheme="minorHAnsi" w:hAnsiTheme="minorHAnsi"/>
          <w:sz w:val="16"/>
          <w:szCs w:val="16"/>
        </w:rPr>
        <w:t>niewysadzinowe</w:t>
      </w:r>
      <w:proofErr w:type="spellEnd"/>
      <w:r w:rsidRPr="00021789">
        <w:rPr>
          <w:rFonts w:asciiTheme="minorHAnsi" w:hAnsiTheme="minorHAnsi"/>
          <w:sz w:val="16"/>
          <w:szCs w:val="16"/>
        </w:rPr>
        <w:t xml:space="preserve"> lub odporne materiały  antropogeniczne (na przykład inne grunty po ulepszeniu, żużle </w:t>
      </w:r>
      <w:proofErr w:type="spellStart"/>
      <w:r w:rsidRPr="00021789">
        <w:rPr>
          <w:rFonts w:asciiTheme="minorHAnsi" w:hAnsiTheme="minorHAnsi"/>
          <w:sz w:val="16"/>
          <w:szCs w:val="16"/>
        </w:rPr>
        <w:t>nierozpadowe</w:t>
      </w:r>
      <w:proofErr w:type="spellEnd"/>
      <w:r w:rsidRPr="00021789">
        <w:rPr>
          <w:rFonts w:asciiTheme="minorHAnsi" w:hAnsiTheme="minorHAnsi"/>
          <w:sz w:val="16"/>
          <w:szCs w:val="16"/>
        </w:rPr>
        <w:t xml:space="preserve">). Ocenę </w:t>
      </w:r>
      <w:proofErr w:type="spellStart"/>
      <w:r w:rsidRPr="00021789">
        <w:rPr>
          <w:rFonts w:asciiTheme="minorHAnsi" w:hAnsiTheme="minorHAnsi"/>
          <w:sz w:val="16"/>
          <w:szCs w:val="16"/>
        </w:rPr>
        <w:t>wysadzinowości</w:t>
      </w:r>
      <w:proofErr w:type="spellEnd"/>
      <w:r w:rsidRPr="00021789">
        <w:rPr>
          <w:rFonts w:asciiTheme="minorHAnsi" w:hAnsiTheme="minorHAnsi"/>
          <w:sz w:val="16"/>
          <w:szCs w:val="16"/>
        </w:rPr>
        <w:t xml:space="preserve">  należy  przeprowadzić  na  podstawie  ustaleń  punktu  2.2.4.  Jako głębokość  przemarzania  należy  przyjąć  obliczeniową  głębokość  przemarzania, określoną zgodnie z zasadami podanymi w punkcie 2.3.6. </w:t>
      </w:r>
    </w:p>
    <w:p w14:paraId="300EB5C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2.3.6.  Obliczeniową  głębokość  przemarzania  podłoża  nawierzchni  należy  określić  jako głębokość  przemarzania  h z   na  danym  terenie,  podaną  w  </w:t>
      </w:r>
      <w:proofErr w:type="spellStart"/>
      <w:r w:rsidRPr="00021789">
        <w:rPr>
          <w:rFonts w:asciiTheme="minorHAnsi" w:hAnsiTheme="minorHAnsi"/>
          <w:sz w:val="16"/>
          <w:szCs w:val="16"/>
        </w:rPr>
        <w:t>KTKNPiP</w:t>
      </w:r>
      <w:proofErr w:type="spellEnd"/>
      <w:r w:rsidRPr="00021789">
        <w:rPr>
          <w:rFonts w:asciiTheme="minorHAnsi" w:hAnsiTheme="minorHAnsi"/>
          <w:sz w:val="16"/>
          <w:szCs w:val="16"/>
        </w:rPr>
        <w:t xml:space="preserve">  oraz  KTNS, zredukowaną  odpowiednio  do  występujących  warunków  gruntowo-wodnych  (grupy nośności podłoża) oraz projektowej kategorii ruchu. W przypadku stosowania warstw ochronnych z materiałów o małym współczynniku przewodności cieplnej uwzględnia się  zmniejszenie  głębokości  przemarzania  h z   na  podstawie  obliczeń,  przy  czym zmniejszona  wartość,  wynikająca  z  zastosowania  warstw  ochronnych,  powinna  być równoważna głębokości przemarzania h z  podanej w </w:t>
      </w:r>
      <w:proofErr w:type="spellStart"/>
      <w:r w:rsidRPr="00021789">
        <w:rPr>
          <w:rFonts w:asciiTheme="minorHAnsi" w:hAnsiTheme="minorHAnsi"/>
          <w:sz w:val="16"/>
          <w:szCs w:val="16"/>
        </w:rPr>
        <w:t>KTKNPiP</w:t>
      </w:r>
      <w:proofErr w:type="spellEnd"/>
      <w:r w:rsidRPr="00021789">
        <w:rPr>
          <w:rFonts w:asciiTheme="minorHAnsi" w:hAnsiTheme="minorHAnsi"/>
          <w:sz w:val="16"/>
          <w:szCs w:val="16"/>
        </w:rPr>
        <w:t xml:space="preserve"> oraz KTNS.  </w:t>
      </w:r>
    </w:p>
    <w:p w14:paraId="3F616C9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2.3.7.  Wielkość  ziaren  materiału  nasypowego  stosowanego  do  budowy  korpusu  ziemnego  nie powinna przekraczać 200 mm. Dopuszcza się stosowanie materiału zawierającego  kamienie (kawałki) o wymiarach do 500 mm pod warunkiem wypełnienia przestrzeni  między nimi gruntem o drobniejszym uziarnieniu według zasad określonych w punkcie 5.12.3.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D-02.03.01. „Roboty ziemne. Wykonywanie nasypów”. </w:t>
      </w:r>
    </w:p>
    <w:p w14:paraId="178EAA2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2.3.8.  Zastosowanie  materiałów  antropogenicznych  wymaga  jednoznacznego  ustalenia  dopuszczalności  ich  użycia  w  świetle  obowiązujących  przepisów  prawa.  W szczególności konieczne jest spełnienie warunku ograniczonej </w:t>
      </w:r>
      <w:proofErr w:type="spellStart"/>
      <w:r w:rsidRPr="00021789">
        <w:rPr>
          <w:rFonts w:asciiTheme="minorHAnsi" w:hAnsiTheme="minorHAnsi"/>
          <w:sz w:val="16"/>
          <w:szCs w:val="16"/>
        </w:rPr>
        <w:t>wymywalności</w:t>
      </w:r>
      <w:proofErr w:type="spellEnd"/>
      <w:r w:rsidRPr="00021789">
        <w:rPr>
          <w:rFonts w:asciiTheme="minorHAnsi" w:hAnsiTheme="minorHAnsi"/>
          <w:sz w:val="16"/>
          <w:szCs w:val="16"/>
        </w:rPr>
        <w:t xml:space="preserve"> związków chemicznych i metali ciężkich do wód gruntowych. Wymagania oraz zasady stosowania materiałów antropogenicznych powinny być określone</w:t>
      </w:r>
      <w:r w:rsidRPr="00021789">
        <w:rPr>
          <w:rFonts w:asciiTheme="minorHAnsi" w:hAnsiTheme="minorHAnsi"/>
          <w:sz w:val="16"/>
          <w:szCs w:val="16"/>
        </w:rPr>
        <w:br/>
        <w:t xml:space="preserve">w Projekcie Geotechnicznym, o ile występuje, lub w Dokumentacji Projektowej. </w:t>
      </w:r>
    </w:p>
    <w:p w14:paraId="57226BD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b/>
          <w:bCs/>
          <w:sz w:val="16"/>
          <w:szCs w:val="16"/>
        </w:rPr>
        <w:t>2.4.  Materiały do wykonania warstwy ulepszonego</w:t>
      </w:r>
      <w:r w:rsidRPr="00021789">
        <w:rPr>
          <w:rFonts w:asciiTheme="minorHAnsi" w:hAnsiTheme="minorHAnsi"/>
          <w:sz w:val="16"/>
          <w:szCs w:val="16"/>
        </w:rPr>
        <w:t xml:space="preserve"> podłoża  </w:t>
      </w:r>
    </w:p>
    <w:p w14:paraId="5E8FF07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2.4.1.  Warstwa  ulepszonego  podłoża  może  być  wykonana  z  następujących  materiałów: mieszanek niezwiązanych, gruntów</w:t>
      </w:r>
      <w:r w:rsidRPr="00021789">
        <w:rPr>
          <w:rFonts w:asciiTheme="minorHAnsi" w:hAnsiTheme="minorHAnsi"/>
          <w:sz w:val="16"/>
          <w:szCs w:val="16"/>
        </w:rPr>
        <w:br/>
        <w:t xml:space="preserve">lub materiałów antropogenicznych stabilizowanych spoiwem, gruntów </w:t>
      </w:r>
      <w:proofErr w:type="spellStart"/>
      <w:r w:rsidRPr="00021789">
        <w:rPr>
          <w:rFonts w:asciiTheme="minorHAnsi" w:hAnsiTheme="minorHAnsi"/>
          <w:sz w:val="16"/>
          <w:szCs w:val="16"/>
        </w:rPr>
        <w:t>niewysadzinowych</w:t>
      </w:r>
      <w:proofErr w:type="spellEnd"/>
      <w:r w:rsidRPr="00021789">
        <w:rPr>
          <w:rFonts w:asciiTheme="minorHAnsi" w:hAnsiTheme="minorHAnsi"/>
          <w:sz w:val="16"/>
          <w:szCs w:val="16"/>
        </w:rPr>
        <w:t xml:space="preserve">. </w:t>
      </w:r>
    </w:p>
    <w:p w14:paraId="530A065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2.4.2.  Do  wykonania  warstwy  ulepszonego  podłoża  z  mieszanek  niezwiązanych  należy stosować lokalne materiały. Mieszanki niezwiązane do warstwy ulepszonego podłoża powinny  spełniać  Wymagania  Krajowe  przenoszące  zapisy  normy  PN-EN-13285 „Mieszanki  niezwiązane.  Wymagania”  oraz  wymagania  określone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dedykowanych mieszankom do ulepszenia podłoża gruntowego. </w:t>
      </w:r>
    </w:p>
    <w:p w14:paraId="42A2E98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2.4.3.  Do wykonania warstwy ulepszonego podłoża z gruntu stabilizowanego spoiwem można  stosować wapno lub/i spoiwa hydrauliczne. Grunty stabilizowane spoiwami do warstwy ulepszonego  podłoża  powinny  spełniać  Wymagania  Krajowe  przenoszące  zapisy  z zakresu normy PN-EN 14227-15 oraz wymagania opisane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dedykowanych gruntom  stabilizowanym  spoiwem  hydraulicznym</w:t>
      </w:r>
      <w:r w:rsidRPr="00021789">
        <w:rPr>
          <w:rFonts w:asciiTheme="minorHAnsi" w:hAnsiTheme="minorHAnsi"/>
          <w:sz w:val="16"/>
          <w:szCs w:val="16"/>
        </w:rPr>
        <w:br/>
        <w:t xml:space="preserve"> lub  wapnem.  </w:t>
      </w:r>
    </w:p>
    <w:p w14:paraId="7EE61F1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2.4.4.  Mieszanki  niezwiązane  oraz  grunty  stabilizowane  spoiwem  mogą  zawierać  w  swoim składzie  materiały  antropogeniczne.  Zawartość  materiałów  antropogenicznych  nie upoważnia do zmniejszenia wymagań w odniesieniu do wykonanej warstwy, wymaga jednak uwzględnienia specyfiki stosowanych materiałów w ustaleniu zakresu badań i ocenie. </w:t>
      </w:r>
    </w:p>
    <w:p w14:paraId="5D44560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2.4.5.  Gruntami  </w:t>
      </w:r>
      <w:proofErr w:type="spellStart"/>
      <w:r w:rsidRPr="00021789">
        <w:rPr>
          <w:rFonts w:asciiTheme="minorHAnsi" w:hAnsiTheme="minorHAnsi"/>
          <w:sz w:val="16"/>
          <w:szCs w:val="16"/>
        </w:rPr>
        <w:t>niewysadzinowymi</w:t>
      </w:r>
      <w:proofErr w:type="spellEnd"/>
      <w:r w:rsidRPr="00021789">
        <w:rPr>
          <w:rFonts w:asciiTheme="minorHAnsi" w:hAnsiTheme="minorHAnsi"/>
          <w:sz w:val="16"/>
          <w:szCs w:val="16"/>
        </w:rPr>
        <w:t xml:space="preserve">  do  warstwy  ulepszonego  podłoża  mogą  być  grunty  lub  materiały  antropogeniczne  spełniające  wymagania  opisane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dedykowanych gruntom lub materiałom przeznaczonym do ulepszenia podłoża. </w:t>
      </w:r>
    </w:p>
    <w:p w14:paraId="21A62BAF"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2.5.  </w:t>
      </w:r>
      <w:proofErr w:type="spellStart"/>
      <w:r w:rsidRPr="00021789">
        <w:rPr>
          <w:rFonts w:asciiTheme="minorHAnsi" w:hAnsiTheme="minorHAnsi"/>
          <w:b/>
          <w:bCs/>
          <w:sz w:val="16"/>
          <w:szCs w:val="16"/>
        </w:rPr>
        <w:t>Geosyntetyki</w:t>
      </w:r>
      <w:proofErr w:type="spellEnd"/>
      <w:r w:rsidRPr="00021789">
        <w:rPr>
          <w:rFonts w:asciiTheme="minorHAnsi" w:hAnsiTheme="minorHAnsi"/>
          <w:b/>
          <w:bCs/>
          <w:sz w:val="16"/>
          <w:szCs w:val="16"/>
        </w:rPr>
        <w:t xml:space="preserve"> </w:t>
      </w:r>
    </w:p>
    <w:p w14:paraId="7EE68ED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2.5.1.  Właściwości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stosowanych w robotach ziemnych powinny być zgodne  z  wymaganiami  normy  PN-EN  ISO  13251  oraz  szczegółowymi  wymaganiami określonymi w Dokumentacji Projektowej. </w:t>
      </w:r>
    </w:p>
    <w:p w14:paraId="6E01FB9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5D1E6A1C"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3.  SPRZĘT </w:t>
      </w:r>
    </w:p>
    <w:p w14:paraId="72D9974D"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3.1.  Ogólne wymagania dotyczące sprzętu </w:t>
      </w:r>
    </w:p>
    <w:p w14:paraId="208E4AB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3.1.1.  Ogólne wymagania dotyczące sprzętu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 00.00.00, Wymagania ogólne" punkt 3. </w:t>
      </w:r>
    </w:p>
    <w:p w14:paraId="0DD58ED3"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3.2.  Sprzęt do robót ziemnych </w:t>
      </w:r>
    </w:p>
    <w:p w14:paraId="54D4F28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3.2.1.  Wykonawca  przystępujący  do  wykonania  robót  ziemnych  powinien  wykazać  się  możliwością  korzystania  ze  sprzętu  zapewniającego  wykonanie  robót  ziemnych zgodnie z Dokumentacją Projektową w ilości i rodzaju gwarantującym wykonanie robót zgodnie z harmonogramem i terminem zakończenia inwestycji. </w:t>
      </w:r>
    </w:p>
    <w:p w14:paraId="086999B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3.2.2.  Wykonawca  przystępujący  do  wykonania  robót  ziemnych  powinien  wykazać  się możliwością korzystania z następującego sprzętu: </w:t>
      </w:r>
    </w:p>
    <w:p w14:paraId="5639AA96" w14:textId="77777777" w:rsidR="00105AB9" w:rsidRPr="00021789" w:rsidRDefault="00105AB9" w:rsidP="00105AB9">
      <w:pPr>
        <w:pStyle w:val="Pro-Inwest"/>
        <w:numPr>
          <w:ilvl w:val="0"/>
          <w:numId w:val="86"/>
        </w:numPr>
        <w:jc w:val="both"/>
        <w:rPr>
          <w:rFonts w:asciiTheme="minorHAnsi" w:hAnsiTheme="minorHAnsi"/>
          <w:sz w:val="16"/>
          <w:szCs w:val="16"/>
        </w:rPr>
      </w:pPr>
      <w:r w:rsidRPr="00021789">
        <w:rPr>
          <w:rFonts w:asciiTheme="minorHAnsi" w:hAnsiTheme="minorHAnsi"/>
          <w:sz w:val="16"/>
          <w:szCs w:val="16"/>
        </w:rPr>
        <w:t xml:space="preserve">do  odspajania  i  wydobywania  gruntów  (narzędzia  mechaniczne,  młoty pneumatyczne, zrywarki, koparki, koparki do gruntów nawodnionych, ładowarki, wiertarki mechaniczne itp.), </w:t>
      </w:r>
      <w:r w:rsidRPr="00021789">
        <w:rPr>
          <w:rFonts w:asciiTheme="minorHAnsi" w:hAnsiTheme="minorHAnsi"/>
          <w:sz w:val="16"/>
          <w:szCs w:val="16"/>
        </w:rPr>
        <w:t xml:space="preserve">  do jednoczesnego wydobywania i przemieszczania gruntów (spycharki, zgarniarki, równiarki, urządzenia do hydromechanizacji itp.), </w:t>
      </w:r>
    </w:p>
    <w:p w14:paraId="7D52186D" w14:textId="77777777" w:rsidR="00105AB9" w:rsidRPr="00021789" w:rsidRDefault="00105AB9" w:rsidP="00105AB9">
      <w:pPr>
        <w:pStyle w:val="Pro-Inwest"/>
        <w:numPr>
          <w:ilvl w:val="0"/>
          <w:numId w:val="86"/>
        </w:numPr>
        <w:jc w:val="both"/>
        <w:rPr>
          <w:rFonts w:asciiTheme="minorHAnsi" w:hAnsiTheme="minorHAnsi"/>
          <w:sz w:val="16"/>
          <w:szCs w:val="16"/>
        </w:rPr>
      </w:pPr>
      <w:r w:rsidRPr="00021789">
        <w:rPr>
          <w:rFonts w:asciiTheme="minorHAnsi" w:hAnsiTheme="minorHAnsi"/>
          <w:sz w:val="16"/>
          <w:szCs w:val="16"/>
        </w:rPr>
        <w:t xml:space="preserve">do  transportu  mas  ziemnych  (samochody  wywrotki,  samochody  skrzyniowe, </w:t>
      </w:r>
      <w:proofErr w:type="spellStart"/>
      <w:r w:rsidRPr="00021789">
        <w:rPr>
          <w:rFonts w:asciiTheme="minorHAnsi" w:hAnsiTheme="minorHAnsi"/>
          <w:sz w:val="16"/>
          <w:szCs w:val="16"/>
        </w:rPr>
        <w:t>wozidła</w:t>
      </w:r>
      <w:proofErr w:type="spellEnd"/>
      <w:r w:rsidRPr="00021789">
        <w:rPr>
          <w:rFonts w:asciiTheme="minorHAnsi" w:hAnsiTheme="minorHAnsi"/>
          <w:sz w:val="16"/>
          <w:szCs w:val="16"/>
        </w:rPr>
        <w:t xml:space="preserve">, taśmociągi itp.), </w:t>
      </w:r>
    </w:p>
    <w:p w14:paraId="518008EE" w14:textId="77777777" w:rsidR="00105AB9" w:rsidRPr="00021789" w:rsidRDefault="00105AB9" w:rsidP="00105AB9">
      <w:pPr>
        <w:pStyle w:val="Pro-Inwest"/>
        <w:numPr>
          <w:ilvl w:val="0"/>
          <w:numId w:val="86"/>
        </w:numPr>
        <w:jc w:val="both"/>
        <w:rPr>
          <w:rFonts w:asciiTheme="minorHAnsi" w:hAnsiTheme="minorHAnsi"/>
          <w:sz w:val="16"/>
          <w:szCs w:val="16"/>
        </w:rPr>
      </w:pPr>
      <w:r w:rsidRPr="00021789">
        <w:rPr>
          <w:rFonts w:asciiTheme="minorHAnsi" w:hAnsiTheme="minorHAnsi"/>
          <w:sz w:val="16"/>
          <w:szCs w:val="16"/>
        </w:rPr>
        <w:t xml:space="preserve">zagęszczającego (walce, ubijaki, płyty wibracyjne itp.), </w:t>
      </w:r>
    </w:p>
    <w:p w14:paraId="37E36BB4" w14:textId="77777777" w:rsidR="00105AB9" w:rsidRPr="00021789" w:rsidRDefault="00105AB9" w:rsidP="00105AB9">
      <w:pPr>
        <w:pStyle w:val="Pro-Inwest"/>
        <w:numPr>
          <w:ilvl w:val="0"/>
          <w:numId w:val="86"/>
        </w:numPr>
        <w:jc w:val="both"/>
        <w:rPr>
          <w:rFonts w:asciiTheme="minorHAnsi" w:hAnsiTheme="minorHAnsi"/>
          <w:sz w:val="16"/>
          <w:szCs w:val="16"/>
        </w:rPr>
      </w:pPr>
      <w:r w:rsidRPr="00021789">
        <w:rPr>
          <w:rFonts w:asciiTheme="minorHAnsi" w:hAnsiTheme="minorHAnsi"/>
          <w:sz w:val="16"/>
          <w:szCs w:val="16"/>
        </w:rPr>
        <w:t xml:space="preserve">do ręcznego odspajania gruntów, </w:t>
      </w:r>
    </w:p>
    <w:p w14:paraId="2AA798AE" w14:textId="77777777" w:rsidR="00105AB9" w:rsidRPr="00021789" w:rsidRDefault="00105AB9" w:rsidP="00105AB9">
      <w:pPr>
        <w:pStyle w:val="Pro-Inwest"/>
        <w:numPr>
          <w:ilvl w:val="0"/>
          <w:numId w:val="86"/>
        </w:numPr>
        <w:jc w:val="both"/>
        <w:rPr>
          <w:rFonts w:asciiTheme="minorHAnsi" w:hAnsiTheme="minorHAnsi"/>
          <w:sz w:val="16"/>
          <w:szCs w:val="16"/>
        </w:rPr>
      </w:pPr>
      <w:r w:rsidRPr="00021789">
        <w:rPr>
          <w:rFonts w:asciiTheme="minorHAnsi" w:hAnsiTheme="minorHAnsi"/>
          <w:sz w:val="16"/>
          <w:szCs w:val="16"/>
        </w:rPr>
        <w:t xml:space="preserve">do układania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o ile jest wymagany. </w:t>
      </w:r>
    </w:p>
    <w:p w14:paraId="7A991F3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lastRenderedPageBreak/>
        <w:t>3.2.3.  Wykonawca  dokona  wyboru  sprzętu  do  odspajania  i  transportu  materiałów przeznaczonych  do  wbudowania  w  nasyp</w:t>
      </w:r>
      <w:r w:rsidRPr="00021789">
        <w:rPr>
          <w:rFonts w:asciiTheme="minorHAnsi" w:hAnsiTheme="minorHAnsi"/>
          <w:sz w:val="16"/>
          <w:szCs w:val="16"/>
        </w:rPr>
        <w:br/>
        <w:t xml:space="preserve">z  uwzględnieniem:  odległości transportowych, rodzaju i stanu odspajanego gruntu lub materiału antropogenicznego, objętości  materiału  do  przemieszczenia  oraz  charakterystyki    dróg  transportowych (pochylenia, podatność na zmianę stanu). </w:t>
      </w:r>
    </w:p>
    <w:p w14:paraId="5F4EFF7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3.2.4.  Dobór sprzętu zagęszczającego powinien być uzależniony od rodzaju zagęszczanego gruntu  oraz  zakresu  prac.  W  tablicy  3.1  podano,  dla  różnych  rodzajów  gruntów, orientacyjne dane przy doborze podstawowego sprzętu zagęszczającego.  </w:t>
      </w:r>
    </w:p>
    <w:p w14:paraId="74ABF99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3.2.5.  Do  zagęszczania  gruntów  można  stosować  również  inny  sprzęt,  który  pozwoli  na uzyskanie wymaganego zagęszczenia korpusu ziemnego lub podłoża pod nasypami.  Do  bieżącej  kontroli  stanu  zagęszczenia  dopuszcza  się  stosowanie  walców wibracyjnych  wyposażonych  w  system  umożliwiający  ciągłą  kontrolę  stanu zagęszczenia.  Wykonawca  przedstawi  do  akceptacji  Inżyniera/Inspektora  nadzoru sprzęt i metodę, która ma być wykorzystana i wykaże jej przydatność w istniejących warunkach. </w:t>
      </w:r>
    </w:p>
    <w:p w14:paraId="0493AD0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3.2.6.  Sprzęt wykorzystywany przez Wykonawcę do prowadzenia robót ziemnych powinien  być  sprawny,  posiadać  aktualne  wszelkie  przeglądy  oraz  dokumenty  wymagane  do dopuszczenia do użytkowania.  </w:t>
      </w:r>
    </w:p>
    <w:p w14:paraId="30622AA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3.2.7.  Do  wykonania  warstwy  ulepszonego  podłoża  Wykonawca  powinien  stosować  sprzęt  odpowiedni do technologii wykonania ulepszenia, spełniający wymagania, określone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dotyczącej tych robót. </w:t>
      </w:r>
    </w:p>
    <w:p w14:paraId="410C2B1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3.2.8.  Do  transportu,  składowania,  przenoszenia  i  układania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Wykonawca powinien stosować sprzęt i środki nie powodujące uszkodzeń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w:t>
      </w:r>
    </w:p>
    <w:p w14:paraId="0ADD7E4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3.2.9.  Sprzęt  wykorzystywany  do  prowadzenia  robót  ziemnych  musi  być  zatwierdzony  przez Inżyniera/Inspektora nadzoru. </w:t>
      </w:r>
    </w:p>
    <w:p w14:paraId="6E412AE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5516B41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Tablica 3.1. Orientacyjne dane przy doborze sprzętu zagęszczającego </w:t>
      </w:r>
    </w:p>
    <w:p w14:paraId="63085CD4"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74229A59" wp14:editId="6E8841CA">
            <wp:extent cx="5361850" cy="4980171"/>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64543" cy="4982673"/>
                    </a:xfrm>
                    <a:prstGeom prst="rect">
                      <a:avLst/>
                    </a:prstGeom>
                    <a:noFill/>
                    <a:ln>
                      <a:noFill/>
                    </a:ln>
                  </pic:spPr>
                </pic:pic>
              </a:graphicData>
            </a:graphic>
          </wp:inline>
        </w:drawing>
      </w:r>
    </w:p>
    <w:p w14:paraId="52DE15DE"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4.  TRANSPORT </w:t>
      </w:r>
    </w:p>
    <w:p w14:paraId="2CF9D239"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4.1.  Ogólne wymagania dotyczące transportu </w:t>
      </w:r>
    </w:p>
    <w:p w14:paraId="07028FC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4.1.1.  Ogólne  wymagania  dotyczące  transportu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  00.00.00, Wymagania ogólne" punkt 4. </w:t>
      </w:r>
    </w:p>
    <w:p w14:paraId="085197B0"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4.2.  Transport gruntów </w:t>
      </w:r>
    </w:p>
    <w:p w14:paraId="3D34F3B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4.2.1.  Wybór  środków  transportowych  oraz  metod  transportu  powinien  być  dostosowany  do  rodzaju  gruntu  lub materiału, jego  objętości, technologii  odspajania i  załadunku  oraz  do  odległości  transportu.  Wydajność  środków  transportowych  powinna  być ponadto  dostosowana  do  wydajności  sprzętu  stosowanego  do  wbudowania  gruntu (materiału). </w:t>
      </w:r>
    </w:p>
    <w:p w14:paraId="3377410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4.2.2.  Wykonawca  powinien  zapewnić  minimalizację  odległości  transportowych  przy </w:t>
      </w:r>
    </w:p>
    <w:p w14:paraId="01055E5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zachowaniu  wymagań  projektowych.  Organizację  transportu  mas  ziemnych  należy przeprowadzić  z  uwzględnieniem  zmienności</w:t>
      </w:r>
      <w:r w:rsidRPr="00021789">
        <w:rPr>
          <w:rFonts w:asciiTheme="minorHAnsi" w:hAnsiTheme="minorHAnsi"/>
          <w:sz w:val="16"/>
          <w:szCs w:val="16"/>
        </w:rPr>
        <w:br/>
        <w:t xml:space="preserve"> w  dostępności  dróg  i  powierzchni  do prowadzenia transportu (przemieszczania materiałów do wykonania nasypu). </w:t>
      </w:r>
    </w:p>
    <w:p w14:paraId="4600F21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lastRenderedPageBreak/>
        <w:t xml:space="preserve">4.2.3.  W  organizacji  transportu  mas  ziemnych  Wykonawca  uwzględni:  typowe  warunki  klimatyczne i pogodowe, wymagania wynikające z harmonogramu prac, ograniczenia  dotyczące ładunku przez czynniki zewnętrzne (instalacje, konstrukcje, dopuszczalne  obciążenia),  wymagania  ochrony  środowiska  oraz  rodzaj  maszyn  stosowanych  do załadunku, w przypadku samochodów.  </w:t>
      </w:r>
    </w:p>
    <w:p w14:paraId="2D53547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4.2.4.  Należy przestrzegać ograniczeń dotyczących ruchu budowlanego, podanych w punkcie 5.7.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D-02.01.01.  „Roboty ziemne.  Wykonanie  wykopów”  i  w  punkcie  5.16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D-02.03.01. „Roboty ziemne. Wykonywanie nasypów”. </w:t>
      </w:r>
    </w:p>
    <w:p w14:paraId="70DB1EF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4.2.5.  Zwiększenie  odległości  transportu  ponad  odległości  zatwierdzone  nie  może  być podstawą roszczeń Wykonawcy, dotyczących dodatkowej zapłaty za transport. </w:t>
      </w:r>
    </w:p>
    <w:p w14:paraId="213F87C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4.2.6.  Materiały  sypkie  należy  przewozić  w  sposób  eliminujący  możliwość  wysypywania,  pylenia  oraz innego zanieczyszczenia środowiska. </w:t>
      </w:r>
    </w:p>
    <w:p w14:paraId="1D48B0FE"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4.3.  Transport i składowanie </w:t>
      </w:r>
      <w:proofErr w:type="spellStart"/>
      <w:r w:rsidRPr="00021789">
        <w:rPr>
          <w:rFonts w:asciiTheme="minorHAnsi" w:hAnsiTheme="minorHAnsi"/>
          <w:b/>
          <w:bCs/>
          <w:sz w:val="16"/>
          <w:szCs w:val="16"/>
        </w:rPr>
        <w:t>geosyntetyków</w:t>
      </w:r>
      <w:proofErr w:type="spellEnd"/>
      <w:r w:rsidRPr="00021789">
        <w:rPr>
          <w:rFonts w:asciiTheme="minorHAnsi" w:hAnsiTheme="minorHAnsi"/>
          <w:b/>
          <w:bCs/>
          <w:sz w:val="16"/>
          <w:szCs w:val="16"/>
        </w:rPr>
        <w:t xml:space="preserve"> </w:t>
      </w:r>
    </w:p>
    <w:p w14:paraId="08BAAFA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4.3.1.  Wykonawca  powinien  zadbać,  aby  transport,  przenoszenie  i  przechowywanie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były  wykonywane  w  sposób  oraz  w  warunkach  nie  powodujących  mechanicznych lub chemicznych uszkodzeń.  </w:t>
      </w:r>
    </w:p>
    <w:p w14:paraId="7CF0858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4.3.2.  Jeżeli  w  </w:t>
      </w:r>
      <w:proofErr w:type="spellStart"/>
      <w:r w:rsidRPr="00021789">
        <w:rPr>
          <w:rFonts w:asciiTheme="minorHAnsi" w:hAnsiTheme="minorHAnsi"/>
          <w:sz w:val="16"/>
          <w:szCs w:val="16"/>
        </w:rPr>
        <w:t>WWiORB</w:t>
      </w:r>
      <w:proofErr w:type="spellEnd"/>
      <w:r w:rsidRPr="00021789">
        <w:rPr>
          <w:rFonts w:asciiTheme="minorHAnsi" w:hAnsiTheme="minorHAnsi"/>
          <w:sz w:val="16"/>
          <w:szCs w:val="16"/>
        </w:rPr>
        <w:t xml:space="preserve">  lub  w  dokumentach  Producenta  określono  wymaganie,  dotyczące  maksymalnego okresu czasu, w którym </w:t>
      </w:r>
      <w:proofErr w:type="spellStart"/>
      <w:r w:rsidRPr="00021789">
        <w:rPr>
          <w:rFonts w:asciiTheme="minorHAnsi" w:hAnsiTheme="minorHAnsi"/>
          <w:sz w:val="16"/>
          <w:szCs w:val="16"/>
        </w:rPr>
        <w:t>geosyntetyk</w:t>
      </w:r>
      <w:proofErr w:type="spellEnd"/>
      <w:r w:rsidRPr="00021789">
        <w:rPr>
          <w:rFonts w:asciiTheme="minorHAnsi" w:hAnsiTheme="minorHAnsi"/>
          <w:sz w:val="16"/>
          <w:szCs w:val="16"/>
        </w:rPr>
        <w:t xml:space="preserve"> może być poddany oddziaływaniu  promieniowania  ultrafioletowego  i  powinien  być  zakryty  poprzez  wbudowanie,</w:t>
      </w:r>
      <w:r w:rsidRPr="00021789">
        <w:rPr>
          <w:rFonts w:asciiTheme="minorHAnsi" w:hAnsiTheme="minorHAnsi"/>
          <w:sz w:val="16"/>
          <w:szCs w:val="16"/>
        </w:rPr>
        <w:br/>
        <w:t xml:space="preserve">to  </w:t>
      </w:r>
      <w:proofErr w:type="spellStart"/>
      <w:r w:rsidRPr="00021789">
        <w:rPr>
          <w:rFonts w:asciiTheme="minorHAnsi" w:hAnsiTheme="minorHAnsi"/>
          <w:sz w:val="16"/>
          <w:szCs w:val="16"/>
        </w:rPr>
        <w:t>geosyntetyki</w:t>
      </w:r>
      <w:proofErr w:type="spellEnd"/>
      <w:r w:rsidRPr="00021789">
        <w:rPr>
          <w:rFonts w:asciiTheme="minorHAnsi" w:hAnsiTheme="minorHAnsi"/>
          <w:sz w:val="16"/>
          <w:szCs w:val="16"/>
        </w:rPr>
        <w:t xml:space="preserve">  nie  zakryte  poprzez  wbudowanie  we  wskazanym  czasie  powinny  być usunięte z placu budowy. </w:t>
      </w:r>
    </w:p>
    <w:p w14:paraId="323FAEA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501B8359"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5.  WYKONANIE ROBÓT </w:t>
      </w:r>
    </w:p>
    <w:p w14:paraId="4A8AC8E5"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5.1.  Ogólne zasady dotyczące wykonania robót </w:t>
      </w:r>
    </w:p>
    <w:p w14:paraId="4949D1A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5.1.1.  Ogólne  zasady  prowadzenia  robót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  00.00.00  "Wymagania Ogólne", punkt 5. Do robót ziemnych odnoszą się w szczególności zapisy dotyczące ochrony  środowiska  w  czasie  wykonywania  robót  oraz  zasad  postępowania  w przypadku  odkrycia  materiałów  niebezpiecznych  i  stanowisk  geologicznych  lub archeologicznych. </w:t>
      </w:r>
    </w:p>
    <w:p w14:paraId="2FFDEDE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5.1.2.  Przed  przystąpieniem  do  wykonywania  robót  ziemnych  należy  zakończyć  wszelkie roboty  przygotowawcze.  Zakres  robót  przygotowawczych  i  zasady  ich  wykonania określono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„Roboty Przygotowawcze”. Przed rozpoczęciem robót ziemnych Wykonawca dokona obmiaru terenu po zdjęciu warstwy humusu. </w:t>
      </w:r>
    </w:p>
    <w:p w14:paraId="3B9CB42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5.1.3.  Roboty ziemne powinny być wykonane zgodnie z Dokumentacją Projektową, zapisami Kontraktu,  zapisami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D-02.01.01.  ”Roboty  ziemne.  Wykonanie  wykopów”  i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D-02.03.01  ”Roboty  ziemne.  Wykonanie  nasypów”  oraz  poleceniami  Inżyniera/Inspektora nadzoru. </w:t>
      </w:r>
    </w:p>
    <w:p w14:paraId="05B6F71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5.1.4.  Przed  rozpoczęciem  robót  ziemnych  należy  ocenić  wpływ  warunków  atmosferycznych  na  roboty.  Podczas  opadów,  zależnie  od  ich  intensywności,  należy rozważyć  wstrzymanie  robót  ziemnych,  prowadzonych  w  gruntach  lub  materiałach wrażliwych</w:t>
      </w:r>
      <w:r w:rsidRPr="00021789">
        <w:rPr>
          <w:rFonts w:asciiTheme="minorHAnsi" w:hAnsiTheme="minorHAnsi"/>
          <w:sz w:val="16"/>
          <w:szCs w:val="16"/>
        </w:rPr>
        <w:br/>
        <w:t xml:space="preserve">na działanie wody. </w:t>
      </w:r>
    </w:p>
    <w:p w14:paraId="5732AB9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5.1.5.  Na  Wykonawcy  spoczywa  obowiązek  wykonania  robót  ziemnych  z  zastosowaniem metod odpowiednich do występujących gruntów oraz do materiałów stosowanych do budowy  nasypów.  Zachowanie  przydatności  przez  grunty  i  materiały  stosowane</w:t>
      </w:r>
      <w:r w:rsidRPr="00021789">
        <w:rPr>
          <w:rFonts w:asciiTheme="minorHAnsi" w:hAnsiTheme="minorHAnsi"/>
          <w:sz w:val="16"/>
          <w:szCs w:val="16"/>
        </w:rPr>
        <w:br/>
        <w:t xml:space="preserve"> do budowy nasypów spoczywa na Wykonawcy. </w:t>
      </w:r>
    </w:p>
    <w:p w14:paraId="4DED7F1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5.1.6.  Obciążanie  nasypów  oraz  skarp  wykopów  obciążeniami  większymi  niż  określone  w Dokumentacji Projektowej jest niedopuszczalne. </w:t>
      </w:r>
    </w:p>
    <w:p w14:paraId="2B31A14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5.1.7.  Wykonawca musi prowadzić roboty ziemne z uwzględnieniem wymagań, wynikających  z  przepisów  obowiązujących  w  zakresie  ochrony  środowiska.  Podstawowe  czynniki,  które  należy  uwzględnić  to:  hałas,  sposób  prowadzenia  robót  w  gruntach</w:t>
      </w:r>
      <w:r w:rsidRPr="00021789">
        <w:rPr>
          <w:rFonts w:asciiTheme="minorHAnsi" w:hAnsiTheme="minorHAnsi"/>
          <w:sz w:val="16"/>
          <w:szCs w:val="16"/>
        </w:rPr>
        <w:br/>
        <w:t xml:space="preserve">lub materiałach  stwarzających  zagrożenie  zanieczyszczeniem  środowiska,  lub  z zastosowaniem takich gruntów lub materiałów, pylenie, ochrona wód gruntowych oraz wpływ wibracji i użycia materiałów wybuchowych na otoczenie, w tym na istniejące obiekty budowlane. </w:t>
      </w:r>
    </w:p>
    <w:p w14:paraId="2A03CC7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5.1.8.  Jeżeli  w  czasie  prowadzenia  robót  ziemnych  zostanie  stwierdzone  występowanie  zanieczyszczonych  gruntów,  materiałów</w:t>
      </w:r>
      <w:r w:rsidRPr="00021789">
        <w:rPr>
          <w:rFonts w:asciiTheme="minorHAnsi" w:hAnsiTheme="minorHAnsi"/>
          <w:sz w:val="16"/>
          <w:szCs w:val="16"/>
        </w:rPr>
        <w:br/>
        <w:t xml:space="preserve">lub  wody  to  Wykonawca  przedstawi  do akceptacji  Inżyniera/Inspektora  nadzoru  sposób  postępowania,  obejmujący  ich zbadanie,  odspojenie,  usunięcie,  transport  i  utylizację  lub  składowanie  albo  ich </w:t>
      </w:r>
      <w:proofErr w:type="spellStart"/>
      <w:r w:rsidRPr="00021789">
        <w:rPr>
          <w:rFonts w:asciiTheme="minorHAnsi" w:hAnsiTheme="minorHAnsi"/>
          <w:sz w:val="16"/>
          <w:szCs w:val="16"/>
        </w:rPr>
        <w:t>remediację</w:t>
      </w:r>
      <w:proofErr w:type="spellEnd"/>
      <w:r w:rsidRPr="00021789">
        <w:rPr>
          <w:rFonts w:asciiTheme="minorHAnsi" w:hAnsiTheme="minorHAnsi"/>
          <w:sz w:val="16"/>
          <w:szCs w:val="16"/>
        </w:rPr>
        <w:t xml:space="preserve">  na  miejscu.  Wykonawca  uzyska  zgodę  właściwych  organów  Ochrony Środowiska,  dotyczącą  sposobu  postępowania  z  zanieczyszczonymi  gruntami, materiałami lub wodą. </w:t>
      </w:r>
    </w:p>
    <w:p w14:paraId="6EC71418"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5.2.  Zasady wykorzystania gruntów i materiałów do budowy nasypów </w:t>
      </w:r>
    </w:p>
    <w:p w14:paraId="665ABF0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5.2.1.  Grunty  uzyskane  podczas  wykonania  wykopów  powinny  być  przez  Wykonawcę  wykorzystane  w  maksymalnym  stopniu</w:t>
      </w:r>
      <w:r w:rsidRPr="00021789">
        <w:rPr>
          <w:rFonts w:asciiTheme="minorHAnsi" w:hAnsiTheme="minorHAnsi"/>
          <w:sz w:val="16"/>
          <w:szCs w:val="16"/>
        </w:rPr>
        <w:br/>
        <w:t xml:space="preserve">do  budowy  nasypów.  Zakres  wykorzystania  gruntów z wykopów Wykonawca przedstawi w Projekcie robót ziemnych. </w:t>
      </w:r>
    </w:p>
    <w:p w14:paraId="425F2F0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5.2.2.  Grunty  przydatne  do  budowy  nasypów  mogą  być  wywiezione  poza  teren  budowy,  za zezwoleniem lub na polecenie Inżyniera/Inspektora nadzoru, tylko wówczas, gdy stanowią nadmiar objętości robót ziemnych i nie zostaną zagospodarowane na placu budowy. </w:t>
      </w:r>
    </w:p>
    <w:p w14:paraId="589B33C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5.2.3.  Jeżeli grunty przydatne, uzyskane podczas wykonania wykopów, nie będąc nadmiarem  objętości robót ziemnych, zostały za zgodą Inżyniera/Inspektora nadzoru wywiezione  przez Wykonawcę poza teren budowy z przeznaczeniem innym niż budowa nasypów</w:t>
      </w:r>
      <w:r w:rsidRPr="00021789">
        <w:rPr>
          <w:rFonts w:asciiTheme="minorHAnsi" w:hAnsiTheme="minorHAnsi"/>
          <w:sz w:val="16"/>
          <w:szCs w:val="16"/>
        </w:rPr>
        <w:br/>
        <w:t xml:space="preserve">lub  wykonanie  prac  objętych  Kontraktem,  Wykonawca  jest  zobowiązany  do dostarczenia na własny koszt równoważnej objętości gruntów przydatnych ze źródeł własnych, zaakceptowanych przez Inżyniera/Inspektora nadzoru.  </w:t>
      </w:r>
    </w:p>
    <w:p w14:paraId="551EEB4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5.2.4.  Grunty  i  materiały  nieprzydatne  do  budowy  nasypów,  określone  w  punkcie  2  oraz materiały przydatne po ulepszeniu, które jednak nie są przewidziane do ulepszenia, powinny być wywiezione przez Wykonawcę na odkład. Zapewnienie terenów na odkład należy  do  obowiązków  Wykonawcy,  o  ile  nie  określono  tego  inaczej  w  Kontrakcie, Wykonawca  proponuje  i  przedstawia  do  akceptacji  Inżyniera/Inspektora  nadzoru sposób  zagospodarowania  gruntów  przeznaczonych  na  odkład  wraz  z  miejscem odkładu. Inżynier/Inspektora nadzoru może nakazać pozostawienie na terenie budowy gruntów, których czasowa nieprzydatność wynika jedynie z powodu zamarznięcia lub nadmiernej  wilgotności.  Zasady  wykonania  odkładu  określono  w  punkcie  5.17.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D-02.03.01. „Roboty ziemne. Wykonanie nasypów.” </w:t>
      </w:r>
    </w:p>
    <w:p w14:paraId="1E35F32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5.2.5.  O ile jest to uzasadnione bilansem robót ziemnych albo innymi względami, do budowy  nasypów  mogą  być  wykorzystane  materiały  odpadowe  oraz  materiały  pochodzące  z  recyklingu.  Zastosowanie  takich  materiałów  wymaga  jednoznacznego  ustalenia </w:t>
      </w:r>
      <w:r w:rsidRPr="00021789">
        <w:rPr>
          <w:rFonts w:asciiTheme="minorHAnsi" w:hAnsiTheme="minorHAnsi"/>
          <w:sz w:val="16"/>
          <w:szCs w:val="16"/>
        </w:rPr>
        <w:lastRenderedPageBreak/>
        <w:t>dopuszczalności  ich  użycia  w  świetle  obowiązujących  przepisów  prawa  oraz wiarygodnego określenia parametrów geotechnicznych,</w:t>
      </w:r>
      <w:r w:rsidRPr="00021789">
        <w:rPr>
          <w:rFonts w:asciiTheme="minorHAnsi" w:hAnsiTheme="minorHAnsi"/>
          <w:sz w:val="16"/>
          <w:szCs w:val="16"/>
        </w:rPr>
        <w:br/>
        <w:t xml:space="preserve">z uwzględnieniem ewentualnej ich zmiany w okresie eksploatacji budowli ziemnej. </w:t>
      </w:r>
    </w:p>
    <w:p w14:paraId="16BD83D2"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5.3.  Zasady składowania gruntów i materiałów do budowy nasypów </w:t>
      </w:r>
    </w:p>
    <w:p w14:paraId="7F76DDA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5.3.1.  Wykonawca  powinien  we  własnym  zakresie  przygotować  i  zapewnić  oddzielne składowanie gruntów i materiałów przydatnych oraz gruntów i materiałów przydatnych  po ulepszeniu przewidzianych do wykorzystania.  </w:t>
      </w:r>
    </w:p>
    <w:p w14:paraId="0E229C7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5.3.2.  Składowanie gruntów i materiałów przez Wykonawcę nie może powodować zagrożenia  stateczności wykopów i nasypów.  </w:t>
      </w:r>
    </w:p>
    <w:p w14:paraId="60D8AB9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5.3.3.  Jeżeli  Wykonawca  tymczasowo  składuje  grunt  lub  materiał  przydatny,  jest zobowiązany chronić je przed negatywnym wpływem  czynników atmosferycznych w celu uniknięcia ich degradacji.  </w:t>
      </w:r>
    </w:p>
    <w:p w14:paraId="733B8217"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5.4.  Dokładność wykonania wykopów i nasypów </w:t>
      </w:r>
    </w:p>
    <w:p w14:paraId="4CFA9C1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5.4.1.  Odchylenie  osi  korpusu  ziemnego,  w  wykopie  lub  nasypie,  od  osi  projektowanej  oraz  różnica  w  stosunku</w:t>
      </w:r>
      <w:r w:rsidRPr="00021789">
        <w:rPr>
          <w:rFonts w:asciiTheme="minorHAnsi" w:hAnsiTheme="minorHAnsi"/>
          <w:sz w:val="16"/>
          <w:szCs w:val="16"/>
        </w:rPr>
        <w:br/>
        <w:t xml:space="preserve">do  projektowanych  rzędnych  robót  ziemnych  nie  może przekraczać wymagań określonych w tablicy 6.1 </w:t>
      </w:r>
    </w:p>
    <w:p w14:paraId="4542582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5.4.2.  Szerokość górnej powierzchni korpusu nie może różnić się od szerokości projektowanej  o więcej niż określono to w tablicy 6.1,</w:t>
      </w:r>
      <w:r w:rsidRPr="00021789">
        <w:rPr>
          <w:rFonts w:asciiTheme="minorHAnsi" w:hAnsiTheme="minorHAnsi"/>
          <w:sz w:val="16"/>
          <w:szCs w:val="16"/>
        </w:rPr>
        <w:br/>
        <w:t xml:space="preserve">a krawędzie korony drogi nie powinny mieć  wyraźnych załamań w planie. </w:t>
      </w:r>
    </w:p>
    <w:p w14:paraId="1D3C7C1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5.4.3.  Maksymalne  nierówności  na  powierzchni  skarp  nie  powinny  przekraczać  ±  10  cm  przy pomiarze łatą 3-metrową, albo powinny być spełnione inne wymagania dotyczące  nierówności, wynikające ze sposobu umocnienia powierzchni skarpy. </w:t>
      </w:r>
    </w:p>
    <w:p w14:paraId="3470CFA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5.4.4.  W  gruntach  skalistych  wymagania,  dotyczące  równości  powierzchni  dna  wykopu  oraz  pochylenia  i  równości  skarp,  mogą  różnić się  od  podanych  w  punktach  5.6.1., 5.6.2. i 5.6.3. i mogą być określone indywidualnie. </w:t>
      </w:r>
    </w:p>
    <w:p w14:paraId="66DBF377"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5.5.  Odwodnienie pasa robót ziemnych </w:t>
      </w:r>
    </w:p>
    <w:p w14:paraId="1F18115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5.5.1.  Niezależnie od budowy urządzeń, stanowiących elementy systemów odwadniających,  ujętych w Dokumentacji Projektowej, Wykonawca jest zobowiązany, o ile wymagają tego  warunki  terenowe,  do  wykonania  urządzeń,  które  zapewnią  skuteczne odprowadzenie  wód  gruntowych  i  opadowych  poza  obszar  robót  ziemnych  tak,  aby zabezpieczyć grunty przed </w:t>
      </w:r>
      <w:proofErr w:type="spellStart"/>
      <w:r w:rsidRPr="00021789">
        <w:rPr>
          <w:rFonts w:asciiTheme="minorHAnsi" w:hAnsiTheme="minorHAnsi"/>
          <w:sz w:val="16"/>
          <w:szCs w:val="16"/>
        </w:rPr>
        <w:t>przewilgoceniem</w:t>
      </w:r>
      <w:proofErr w:type="spellEnd"/>
      <w:r w:rsidRPr="00021789">
        <w:rPr>
          <w:rFonts w:asciiTheme="minorHAnsi" w:hAnsiTheme="minorHAnsi"/>
          <w:sz w:val="16"/>
          <w:szCs w:val="16"/>
        </w:rPr>
        <w:br/>
        <w:t xml:space="preserve">i nawodnieniem. W tym celu Wykonawca przedstawi projekt odwodnienia placu budowy. Forma i zakres projektu odwodnienia placu  budowy  zostaną  ustalone  miedzy  Wykonawcą  i  Inżynierem/Inspektorem nadzoru.  Projekt  odwodnienia  placu  budowy  podlega  zatwierdzeniu  przez Inżyniera/Inspektora nadzoru.  </w:t>
      </w:r>
    </w:p>
    <w:p w14:paraId="795E332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5.5.2.  Wykonawca ma obowiązek takiego wykonywania wykopów i nasypów, aby powierzchni gruntu, skały oraz innych materiałów nadawać w całym okresie trwania robót spadki,  zapewniające prawidłowe odwodnienie. </w:t>
      </w:r>
    </w:p>
    <w:p w14:paraId="2DDC9B3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5.5.3.  Jeżeli wskutek zaniedbania Wykonawcy lub niewłaściwego zaplanowania robót, grunty lub materiały do budowy nasypu ulegną nawodnieniu, które spowoduje ich długotrwałą nieprzydatność, Wykonawca ma obowiązek usunięcia tych gruntów lub materiałów</w:t>
      </w:r>
      <w:r w:rsidRPr="00021789">
        <w:rPr>
          <w:rFonts w:asciiTheme="minorHAnsi" w:hAnsiTheme="minorHAnsi"/>
          <w:sz w:val="16"/>
          <w:szCs w:val="16"/>
        </w:rPr>
        <w:br/>
        <w:t xml:space="preserve">i zastąpienia  ich  gruntami  lub  materiałami  przydatnymi,  na  własny  koszt  bez jakichkolwiek  dodatkowych  opłat  ze  strony  Zamawiającego  za  te  czynności,  jak również za dowieziony grunt lub materiały. Dopuszcza się uzdatnienie </w:t>
      </w:r>
      <w:proofErr w:type="spellStart"/>
      <w:r w:rsidRPr="00021789">
        <w:rPr>
          <w:rFonts w:asciiTheme="minorHAnsi" w:hAnsiTheme="minorHAnsi"/>
          <w:sz w:val="16"/>
          <w:szCs w:val="16"/>
        </w:rPr>
        <w:t>przewilgoconych</w:t>
      </w:r>
      <w:proofErr w:type="spellEnd"/>
      <w:r w:rsidRPr="00021789">
        <w:rPr>
          <w:rFonts w:asciiTheme="minorHAnsi" w:hAnsiTheme="minorHAnsi"/>
          <w:sz w:val="16"/>
          <w:szCs w:val="16"/>
        </w:rPr>
        <w:t xml:space="preserve"> gruntów</w:t>
      </w:r>
      <w:r w:rsidRPr="00021789">
        <w:rPr>
          <w:rFonts w:asciiTheme="minorHAnsi" w:hAnsiTheme="minorHAnsi"/>
          <w:sz w:val="16"/>
          <w:szCs w:val="16"/>
        </w:rPr>
        <w:br/>
        <w:t>lub materiałów za zgodą Inżyniera/Inspektora nadzoru, jeżeli zaproponowany przez  Wykonawcę  sposób  jest  poprawny  technicznie</w:t>
      </w:r>
      <w:r w:rsidRPr="00021789">
        <w:rPr>
          <w:rFonts w:asciiTheme="minorHAnsi" w:hAnsiTheme="minorHAnsi"/>
          <w:sz w:val="16"/>
          <w:szCs w:val="16"/>
        </w:rPr>
        <w:br/>
        <w:t xml:space="preserve">i  zapewni  przywrócenie właściwości umożliwiających wbudowanie gruntów lub materiałów. </w:t>
      </w:r>
    </w:p>
    <w:p w14:paraId="033B23D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5.5.4.  Odprowadzenie wód do istniejących zbiorników naturalnych i urządzeń odwadniających musi  być  poprzedzone  uzgodnieniem</w:t>
      </w:r>
      <w:r w:rsidRPr="00021789">
        <w:rPr>
          <w:rFonts w:asciiTheme="minorHAnsi" w:hAnsiTheme="minorHAnsi"/>
          <w:sz w:val="16"/>
          <w:szCs w:val="16"/>
        </w:rPr>
        <w:br/>
        <w:t xml:space="preserve">z  odpowiednimi  instytucjami  i  uwzględnione  w projekcie odwodnienia placu budowy. </w:t>
      </w:r>
    </w:p>
    <w:p w14:paraId="0EDA8B9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5.5.5.  Szczegółowe  wymagania  w  zakresie  odwodnienia  robót  ziemnych  podczas wykonywania wykopów i nasypów określono</w:t>
      </w:r>
      <w:r w:rsidRPr="00021789">
        <w:rPr>
          <w:rFonts w:asciiTheme="minorHAnsi" w:hAnsiTheme="minorHAnsi"/>
          <w:sz w:val="16"/>
          <w:szCs w:val="16"/>
        </w:rPr>
        <w:br/>
        <w:t xml:space="preserve">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D-02.01.01. „Roboty ziemne. Wykonanie wykopów”, punkt 5.5 i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D-02.03.01 „Roboty ziemne. Wykonanie nasypów”, punkt 5. </w:t>
      </w:r>
    </w:p>
    <w:p w14:paraId="71298781"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5.6.  Układanie </w:t>
      </w:r>
      <w:proofErr w:type="spellStart"/>
      <w:r w:rsidRPr="00021789">
        <w:rPr>
          <w:rFonts w:asciiTheme="minorHAnsi" w:hAnsiTheme="minorHAnsi"/>
          <w:b/>
          <w:bCs/>
          <w:sz w:val="16"/>
          <w:szCs w:val="16"/>
        </w:rPr>
        <w:t>geosyntetyków</w:t>
      </w:r>
      <w:proofErr w:type="spellEnd"/>
      <w:r w:rsidRPr="00021789">
        <w:rPr>
          <w:rFonts w:asciiTheme="minorHAnsi" w:hAnsiTheme="minorHAnsi"/>
          <w:b/>
          <w:bCs/>
          <w:sz w:val="16"/>
          <w:szCs w:val="16"/>
        </w:rPr>
        <w:t xml:space="preserve"> </w:t>
      </w:r>
    </w:p>
    <w:p w14:paraId="61404F6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5.6.1.  </w:t>
      </w:r>
      <w:proofErr w:type="spellStart"/>
      <w:r w:rsidRPr="00021789">
        <w:rPr>
          <w:rFonts w:asciiTheme="minorHAnsi" w:hAnsiTheme="minorHAnsi"/>
          <w:sz w:val="16"/>
          <w:szCs w:val="16"/>
        </w:rPr>
        <w:t>Geosyntetyki</w:t>
      </w:r>
      <w:proofErr w:type="spellEnd"/>
      <w:r w:rsidRPr="00021789">
        <w:rPr>
          <w:rFonts w:asciiTheme="minorHAnsi" w:hAnsiTheme="minorHAnsi"/>
          <w:sz w:val="16"/>
          <w:szCs w:val="16"/>
        </w:rPr>
        <w:t xml:space="preserve">  należy  układać  zgodnie  z  zasadami  określonymi  w  Dokumentacji Projektowej  i  </w:t>
      </w:r>
      <w:proofErr w:type="spellStart"/>
      <w:r w:rsidRPr="00021789">
        <w:rPr>
          <w:rFonts w:asciiTheme="minorHAnsi" w:hAnsiTheme="minorHAnsi"/>
          <w:sz w:val="16"/>
          <w:szCs w:val="16"/>
        </w:rPr>
        <w:t>WWiORB</w:t>
      </w:r>
      <w:proofErr w:type="spellEnd"/>
      <w:r w:rsidRPr="00021789">
        <w:rPr>
          <w:rFonts w:asciiTheme="minorHAnsi" w:hAnsiTheme="minorHAnsi"/>
          <w:sz w:val="16"/>
          <w:szCs w:val="16"/>
        </w:rPr>
        <w:t xml:space="preserve">.  Jakość  użytych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musi  być  potwierdzona Deklaracją  Właściwości  Użytkowych  oraz  innymi  dokumentami,  określającymi dodatkowe właściwości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o ile jest to wymagane. </w:t>
      </w:r>
    </w:p>
    <w:p w14:paraId="7B341AA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5.6.2.  Warstwa,  na  której  przewiduje  się  ułożenie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powinna  być  równa  i pozbawiona ostrych elementów, mogących spowodować uszkodzenie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w czasie  układania  lub  pracy.  Metoda  układania  powinna  zapewnić  przyleganie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do  warstwy,  na  której  jest  układany,  na  całej  jej  powierzchni. </w:t>
      </w:r>
    </w:p>
    <w:p w14:paraId="18EE935E" w14:textId="77777777" w:rsidR="00105AB9" w:rsidRPr="00021789" w:rsidRDefault="00105AB9" w:rsidP="00105AB9">
      <w:pPr>
        <w:pStyle w:val="Pro-Inwest"/>
        <w:jc w:val="both"/>
        <w:rPr>
          <w:rFonts w:asciiTheme="minorHAnsi" w:hAnsiTheme="minorHAnsi"/>
          <w:sz w:val="16"/>
          <w:szCs w:val="16"/>
        </w:rPr>
      </w:pP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nie  należy  naciągać  lub  powodować  ich  zawieszenia  na  wzgórkach (garbach) lub nad wklęsłościami terenu. Warstwa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po ułożeniu powinna być pozbawiona fałd, załamań oraz rozdarć. </w:t>
      </w:r>
    </w:p>
    <w:p w14:paraId="139840D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5.6.3.  Pasma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pełniących  funkcję  warstwy  odcinającej  albo  zbrojenia  w podstawie nasypu należy układać łącząc</w:t>
      </w:r>
      <w:r w:rsidRPr="00021789">
        <w:rPr>
          <w:rFonts w:asciiTheme="minorHAnsi" w:hAnsiTheme="minorHAnsi"/>
          <w:sz w:val="16"/>
          <w:szCs w:val="16"/>
        </w:rPr>
        <w:br/>
        <w:t xml:space="preserve">je na zakład, z ewentualnym kotwieniem do podłoża,  zgodnie  z  zasadami  określonymi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Jeżeli  brak  takiej  informacji, wówczas Wykonawca zaproponuje do akceptacji przez Inżyniera/Inspektora nadzoru sposób  połączenia  pasm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Wielkość  zakładu  pasm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układanych na stabilnym podłożu nie powinna być mniejsza niż 30 cm. W przypadku obniżonej  nośności  warstwy,  na  której  jest  układany </w:t>
      </w:r>
      <w:proofErr w:type="spellStart"/>
      <w:r w:rsidRPr="00021789">
        <w:rPr>
          <w:rFonts w:asciiTheme="minorHAnsi" w:hAnsiTheme="minorHAnsi"/>
          <w:sz w:val="16"/>
          <w:szCs w:val="16"/>
        </w:rPr>
        <w:t>geosyntetyk</w:t>
      </w:r>
      <w:proofErr w:type="spellEnd"/>
      <w:r w:rsidRPr="00021789">
        <w:rPr>
          <w:rFonts w:asciiTheme="minorHAnsi" w:hAnsiTheme="minorHAnsi"/>
          <w:sz w:val="16"/>
          <w:szCs w:val="16"/>
        </w:rPr>
        <w:t>,  wielkość  zakładu powinna być odpowiednio zwiększona, aby w całym okresie wykonania</w:t>
      </w:r>
      <w:r w:rsidRPr="00021789">
        <w:rPr>
          <w:rFonts w:asciiTheme="minorHAnsi" w:hAnsiTheme="minorHAnsi"/>
          <w:sz w:val="16"/>
          <w:szCs w:val="16"/>
        </w:rPr>
        <w:br/>
        <w:t xml:space="preserve">i eksploatacji budowli ziemnej została zachowana ciągłość warstwy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w:t>
      </w:r>
    </w:p>
    <w:p w14:paraId="52FB1FD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5.6.4.  Pasma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pełniących  funkcję  zbrojenia  skarp,  należy  układać  zgodnie  z  zasadami  określonymi  w  Dokumentacji  Projektowej  i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Konieczna  jest jednoznaczna  informacja,  dotycząca  kierunku  ułożenia  pasm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z uwzględnieniem kierunku jego produkcji, długości pasm oraz sposobu ich łączenia (na styk, z zakładem lub z odstępem). Jeżeli brak takiej pełnej informacji, zostanie  ona uzupełniona przez Projektanta. </w:t>
      </w:r>
    </w:p>
    <w:p w14:paraId="070232E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5.6.5.  W  przypadku  uszkodzenia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pełniącego  funkcję  warstwy  odcinającej należy,  w  uzgodnieniu  z  Inżynierem/  Inspektorem  nadzoru  ,  przykryć  uszkodzone miejsce pasem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na długości i szerokości większej o co najmniej 1 metr</w:t>
      </w:r>
      <w:r w:rsidRPr="00021789">
        <w:rPr>
          <w:rFonts w:asciiTheme="minorHAnsi" w:hAnsiTheme="minorHAnsi"/>
          <w:sz w:val="16"/>
          <w:szCs w:val="16"/>
        </w:rPr>
        <w:br/>
        <w:t xml:space="preserve">od obszaru uszkodzonego. </w:t>
      </w:r>
    </w:p>
    <w:p w14:paraId="7A66DA8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5.6.6.  W  przypadku  uszkodzenia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pełniącego  funkcję  zbrojenia  sposób postępowania należy ustalić w porozumieniu</w:t>
      </w:r>
      <w:r w:rsidRPr="00021789">
        <w:rPr>
          <w:rFonts w:asciiTheme="minorHAnsi" w:hAnsiTheme="minorHAnsi"/>
          <w:sz w:val="16"/>
          <w:szCs w:val="16"/>
        </w:rPr>
        <w:br/>
        <w:t xml:space="preserve">z Projektantem. </w:t>
      </w:r>
    </w:p>
    <w:p w14:paraId="56DA190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lastRenderedPageBreak/>
        <w:t xml:space="preserve">5.6.7.  Nie  dopuszcza  się  ruchu  pojazdów  bezpośrednio  po  ułożonych  </w:t>
      </w:r>
      <w:proofErr w:type="spellStart"/>
      <w:r w:rsidRPr="00021789">
        <w:rPr>
          <w:rFonts w:asciiTheme="minorHAnsi" w:hAnsiTheme="minorHAnsi"/>
          <w:sz w:val="16"/>
          <w:szCs w:val="16"/>
        </w:rPr>
        <w:t>geosyntetykach</w:t>
      </w:r>
      <w:proofErr w:type="spellEnd"/>
      <w:r w:rsidRPr="00021789">
        <w:rPr>
          <w:rFonts w:asciiTheme="minorHAnsi" w:hAnsiTheme="minorHAnsi"/>
          <w:sz w:val="16"/>
          <w:szCs w:val="16"/>
        </w:rPr>
        <w:t xml:space="preserve">. Warstwę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należy,  niezwłocznie  po  ułożeniu,  przykryć  gruntem  lub materiałem  stosowanym  do  budowy  nasypu.  W  przeciętnych  warunkach  minimalna grubość warstwy, ułożonej na warstwie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umożliwiająca dopuszczenie ruchu pojazdów wynosi 15 cm. </w:t>
      </w:r>
    </w:p>
    <w:p w14:paraId="07FEED00"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5.7.  Powierzchnia podłoża gruntowego nawierzchni  </w:t>
      </w:r>
    </w:p>
    <w:p w14:paraId="59D6C91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5.7.1.  Szczegółowe wymagania dotyczące robót związanych z ostatecznym ukształtowaniem  powierzchni  podłoża  gruntowego  nawierzchni  w  wykopach  i  nasypach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D-02.01.01. „Roboty ziemne. Wykonanie wykopów”, punkt 5 i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w:t>
      </w:r>
    </w:p>
    <w:p w14:paraId="1FEDDBD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02.03.01 „Roboty ziemne. Wykonanie nasypów”, punkt 5.  </w:t>
      </w:r>
    </w:p>
    <w:p w14:paraId="03168D9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5.7.2.  Ostatecznie  ukształtowana  powierzchnia  podłoża  gruntowego  nawierzchni  nie  może być narażona na działanie wody i mrozu. Jeżeli warunek ten nie zostanie spełniony, powierzchnia  wymaga  sprawdzenia  i  oceny  i  ewentualnych  napraw  (powtórne profilowanie</w:t>
      </w:r>
      <w:r w:rsidRPr="00021789">
        <w:rPr>
          <w:rFonts w:asciiTheme="minorHAnsi" w:hAnsiTheme="minorHAnsi"/>
          <w:sz w:val="16"/>
          <w:szCs w:val="16"/>
        </w:rPr>
        <w:br/>
        <w:t xml:space="preserve">i zagęszczenie, stabilizacja, wymiana). </w:t>
      </w:r>
    </w:p>
    <w:p w14:paraId="134270D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5.7.3.  Jeżeli  występuje  warstwa  ulepszonego  podłoża  z  gruntu  lub  materiału antropogenicznego  stabilizowanego  spoiwem</w:t>
      </w:r>
      <w:r w:rsidRPr="00021789">
        <w:rPr>
          <w:rFonts w:asciiTheme="minorHAnsi" w:hAnsiTheme="minorHAnsi"/>
          <w:sz w:val="16"/>
          <w:szCs w:val="16"/>
        </w:rPr>
        <w:br/>
        <w:t xml:space="preserve">to  należy  ją  wykonać  zgodnie  z zasadami, określonymi w odpowiednich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76F078B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5.7.4.  Jeżeli występuje warstwa ulepszonego podłoża z gruntu </w:t>
      </w:r>
      <w:proofErr w:type="spellStart"/>
      <w:r w:rsidRPr="00021789">
        <w:rPr>
          <w:rFonts w:asciiTheme="minorHAnsi" w:hAnsiTheme="minorHAnsi"/>
          <w:sz w:val="16"/>
          <w:szCs w:val="16"/>
        </w:rPr>
        <w:t>niewysadzinowego</w:t>
      </w:r>
      <w:proofErr w:type="spellEnd"/>
      <w:r w:rsidRPr="00021789">
        <w:rPr>
          <w:rFonts w:asciiTheme="minorHAnsi" w:hAnsiTheme="minorHAnsi"/>
          <w:sz w:val="16"/>
          <w:szCs w:val="16"/>
        </w:rPr>
        <w:t xml:space="preserve">, materiału  antropogenicznego  lub  mieszanki  niezwiązanej  to  należy  ją  wykonać  zgodnie  z zasadami, określonymi w odpowiednich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02532E2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5.7.  Wymagania dotyczące zagęszczenia  </w:t>
      </w:r>
    </w:p>
    <w:p w14:paraId="4C1ED18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5.7.1.  Roboty  ziemne  należy  wykonać  w  sposób  zapewniający  uzyskanie  wymaganych wskaźników  zagęszczenia  I s   korpusu  ziemnego,  określonych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Wskaźnik zagęszczenia  należy badać zgodnie  z  zasadami  podanymi  w  Załączniku  2  i  obliczać według wzoru określonego w p. 1.6.48. </w:t>
      </w:r>
    </w:p>
    <w:p w14:paraId="5558304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5.7.2.  Wskaźnik zagęszczenia </w:t>
      </w:r>
      <w:proofErr w:type="spellStart"/>
      <w:r w:rsidRPr="00021789">
        <w:rPr>
          <w:rFonts w:asciiTheme="minorHAnsi" w:hAnsiTheme="minorHAnsi"/>
          <w:sz w:val="16"/>
          <w:szCs w:val="16"/>
        </w:rPr>
        <w:t>Is</w:t>
      </w:r>
      <w:proofErr w:type="spellEnd"/>
      <w:r w:rsidRPr="00021789">
        <w:rPr>
          <w:rFonts w:asciiTheme="minorHAnsi" w:hAnsiTheme="minorHAnsi"/>
          <w:sz w:val="16"/>
          <w:szCs w:val="16"/>
        </w:rPr>
        <w:t xml:space="preserve"> należy określić w odniesieniu do całej objętości nasypu i do głębokości 0,5 metra w podłożu nasypu</w:t>
      </w:r>
      <w:r w:rsidRPr="00021789">
        <w:rPr>
          <w:rFonts w:asciiTheme="minorHAnsi" w:hAnsiTheme="minorHAnsi"/>
          <w:sz w:val="16"/>
          <w:szCs w:val="16"/>
        </w:rPr>
        <w:br/>
        <w:t>oraz w wykopach i miejscach zerowych robót ziemnych  do  głębokości  0,5  metra  (gdy brak  warstwy ulepszonego  podłoża)</w:t>
      </w:r>
      <w:r w:rsidRPr="00021789">
        <w:rPr>
          <w:rFonts w:asciiTheme="minorHAnsi" w:hAnsiTheme="minorHAnsi"/>
          <w:sz w:val="16"/>
          <w:szCs w:val="16"/>
        </w:rPr>
        <w:br/>
        <w:t xml:space="preserve">lub  do głębokości  równej  warstwie  ulepszonego  podłoża  od  spodu  konstrukcji  nawierzchni. </w:t>
      </w:r>
    </w:p>
    <w:p w14:paraId="33422D8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Szczegółowe wymagania dotyczące wartości wskaźników zagęszczenia I s  w wykopach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D-02.01.01. ”Roboty ziemne. Wykonanie wykopów”. Szczegółowe wymagania  dotyczące  wartości  wskaźników  zagęszczenia  I s   w  nasypach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D-02.01.03. ”Roboty ziemne. Wykonanie nasypów” oraz na rysunkach Z1.1 oraz Z.1.2. w załączniku 1. </w:t>
      </w:r>
    </w:p>
    <w:p w14:paraId="0CD8696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5.7.3.  Dopuszcza się kontrolę i ocenę stanu zagęszczenia warstw gruntów lub materiałów na podstawie  wskaźnika  odkształcenia</w:t>
      </w:r>
      <w:r w:rsidRPr="00021789">
        <w:rPr>
          <w:rFonts w:asciiTheme="minorHAnsi" w:hAnsiTheme="minorHAnsi"/>
          <w:sz w:val="16"/>
          <w:szCs w:val="16"/>
        </w:rPr>
        <w:br/>
        <w:t xml:space="preserve">I o .  Dopuszczenie  tej  metody  wymaga potwierdzenia na odcinku próbnym i akceptacji przez Inżyniera/ Inspektora nadzoru wartości  wskaźnika  odkształcenia,  stanowiących  kryterium  akceptacji  stanu zagęszczenia,  w  odniesieniu  do  gruntów  i  materiałów  stosowanych  w  konkretnym przypadku  przy  czym  wartości  te  nie  mogą  być  wyższe  niż  maksymalne  podane  w tabeli 5.1. </w:t>
      </w:r>
    </w:p>
    <w:p w14:paraId="65518A4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5.7.4.  Wskaźnik  odkształcenia  należy  obliczać  według  wzoru  określonego  w  p.  1.6.47  na  podstawie  wartości  modułów  odkształcenia  określonych  według  zasad  podanych  w  Załączniku  2.  Wartości  modułów  można  uznać  za  miarodajne,  jeżeli  wilgotność gruntu/materiału warstwy w czasie badania nie jest wyższa od wilgotności jaką miał  on w czasie zagęszczania oraz jest od niej niższa nie więcej niż o 2%. W przypadku badania  warstwy  o  wilgotności  poza  wymienionym  przedziałem  należy  wprowadzić odpowiednie współczynniki korygujące wartości modułów. Zagęszczenie uznaje się za wystarczające, jeżeli jednocześnie jest spełnione wymaganie dotyczące maksymalnej wartości  wskaźnika  odkształcenia  I o   oraz  minimalnej  wartości  wtórnego  modułu odkształcenia E2. </w:t>
      </w:r>
    </w:p>
    <w:p w14:paraId="0433E16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5.7.5.  Maksymalne  wartości  wskaźnika  odkształcenia,  w  zależności  od  rodzaju  gruntu  lub innego  materiału  w  badanej  warstwie,  określono  w  Tablicy  5.1.  Inżynier/ Inspektor nadzoru  może dopuścić stosowanie wartości określonych w Tablicy 5.1 w przypadku niewielkiego zakresu robót i dużej jednorodności gruntu/materiału w ocenianej warstwie, z zastrzeżeniem treści punktu 6.1.3.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5559F03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Tablica 5.1.Maksymalne wartości wskaźnika odkształcenia w drogowych robotach ziemnych </w:t>
      </w:r>
    </w:p>
    <w:p w14:paraId="7660A393" w14:textId="77777777" w:rsidR="00105AB9" w:rsidRPr="00021789" w:rsidRDefault="00105AB9" w:rsidP="00105AB9">
      <w:pPr>
        <w:pStyle w:val="Pro-Inwest"/>
        <w:jc w:val="both"/>
        <w:rPr>
          <w:rFonts w:asciiTheme="minorHAnsi" w:hAnsiTheme="minorHAnsi"/>
          <w:sz w:val="16"/>
          <w:szCs w:val="16"/>
        </w:rPr>
      </w:pPr>
    </w:p>
    <w:p w14:paraId="74703071"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7C50CD27" wp14:editId="42DB4B3A">
            <wp:extent cx="4144488" cy="1709957"/>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83501" cy="1726053"/>
                    </a:xfrm>
                    <a:prstGeom prst="rect">
                      <a:avLst/>
                    </a:prstGeom>
                    <a:noFill/>
                    <a:ln>
                      <a:noFill/>
                    </a:ln>
                  </pic:spPr>
                </pic:pic>
              </a:graphicData>
            </a:graphic>
          </wp:inline>
        </w:drawing>
      </w:r>
    </w:p>
    <w:p w14:paraId="0EFF4A94" w14:textId="77777777" w:rsidR="00105AB9" w:rsidRPr="00021789" w:rsidRDefault="00105AB9" w:rsidP="00105AB9">
      <w:pPr>
        <w:pStyle w:val="Pro-Inwest"/>
        <w:jc w:val="both"/>
        <w:rPr>
          <w:rFonts w:asciiTheme="minorHAnsi" w:hAnsiTheme="minorHAnsi"/>
          <w:sz w:val="16"/>
          <w:szCs w:val="16"/>
        </w:rPr>
      </w:pPr>
    </w:p>
    <w:p w14:paraId="72DCB60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5.7.6.  Dopuszcza  się  ocenę  stanu  zagęszczenia  gruntów  i  materiałów  z  zastosowaniem urządzeń  do  ciągłego  pomiaru  zagęszczenia  na  zasadach  podanych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 02.03.01 „Wykonywanie nasypów”  w p. 5.14.5 i w p.5.14.6, z zastrzeżeniem treści punktu 6.1.3.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184109F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5.7.7.  Inżynier/Inspektor nadzoru może dopuścić zastosowanie w kontroli stanu zagęszczenia gruntów i materiałów lekkiej płyty dynamicznej LPD. Konieczne jest potwierdzenie na odcinku próbnym i akceptacja przez Inżyniera/ Inspektora nadzoru korelacji wartości wskaźnika zagęszczenia I s  z wartościami modułu dynamicznego E </w:t>
      </w:r>
      <w:proofErr w:type="spellStart"/>
      <w:r w:rsidRPr="00021789">
        <w:rPr>
          <w:rFonts w:asciiTheme="minorHAnsi" w:hAnsiTheme="minorHAnsi"/>
          <w:sz w:val="16"/>
          <w:szCs w:val="16"/>
        </w:rPr>
        <w:t>vd</w:t>
      </w:r>
      <w:proofErr w:type="spellEnd"/>
      <w:r w:rsidRPr="00021789">
        <w:rPr>
          <w:rFonts w:asciiTheme="minorHAnsi" w:hAnsiTheme="minorHAnsi"/>
          <w:sz w:val="16"/>
          <w:szCs w:val="16"/>
        </w:rPr>
        <w:t xml:space="preserve">  w odniesieniu do gruntów i materiałów stosowanych w konkretnym przypadku oraz spełnienie zapisów p. 5.12.5. i p. 6.1.3. niniejszych </w:t>
      </w:r>
      <w:proofErr w:type="spellStart"/>
      <w:r w:rsidRPr="00021789">
        <w:rPr>
          <w:rFonts w:asciiTheme="minorHAnsi" w:hAnsiTheme="minorHAnsi"/>
          <w:sz w:val="16"/>
          <w:szCs w:val="16"/>
        </w:rPr>
        <w:t>WWiORB</w:t>
      </w:r>
      <w:proofErr w:type="spellEnd"/>
      <w:r w:rsidRPr="00021789">
        <w:rPr>
          <w:rFonts w:asciiTheme="minorHAnsi" w:hAnsiTheme="minorHAnsi"/>
          <w:sz w:val="16"/>
          <w:szCs w:val="16"/>
        </w:rPr>
        <w:t xml:space="preserve">. W przypadku stosowania płyt LPD o różnych konstrukcjach korelację należy ustalić dla każdego typu urządzenia. </w:t>
      </w:r>
    </w:p>
    <w:p w14:paraId="1227D1F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lastRenderedPageBreak/>
        <w:t xml:space="preserve">5.7.8.  Inżynier/Inspektor  nadzoru  może  dopuścić  zastosowanie  wyłącznie  do  dodatkowej kontroli zagęszczenia nasypów z gruntów niespoistych sond dynamicznych. Procedurę badania oraz interpretacji wyników wskazano w załączniku Z.2.L.  </w:t>
      </w:r>
    </w:p>
    <w:p w14:paraId="1CAE17DE"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5.8.  Wymagania dotyczące nośności  </w:t>
      </w:r>
    </w:p>
    <w:p w14:paraId="5DD6692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5.8.1.  Wartość wtórnego modułu odkształcenia należy kontrolować na powierzchni warstw,  w odniesieniu do których określono wymóg dotyczący minimalnej wartości wtórnego  modułu  odkształcenia  E 2 .  Szczegółowe  wymagania  dotyczące  wartości  wtórnego modułu odkształcenia E 2  w wykopach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D-02.01.01. ”Roboty ziemne. Wykonanie  wykopów”.  Szczegółowe  wymagania  dotyczące  wartości  modułu odkształcenia  E 2   w  nasypach  podano  w  </w:t>
      </w:r>
      <w:proofErr w:type="spellStart"/>
      <w:r w:rsidRPr="00021789">
        <w:rPr>
          <w:rFonts w:asciiTheme="minorHAnsi" w:hAnsiTheme="minorHAnsi"/>
          <w:sz w:val="16"/>
          <w:szCs w:val="16"/>
        </w:rPr>
        <w:t>WWiORB</w:t>
      </w:r>
      <w:proofErr w:type="spellEnd"/>
      <w:r w:rsidRPr="00021789">
        <w:rPr>
          <w:rFonts w:asciiTheme="minorHAnsi" w:hAnsiTheme="minorHAnsi"/>
          <w:sz w:val="16"/>
          <w:szCs w:val="16"/>
        </w:rPr>
        <w:t xml:space="preserve">  D-02.03.01.  ”Roboty  ziemne. Wykonanie nasypów”. Schematy z podanymi wartościami w wykopach i w nasypach podano w załączniku 1. </w:t>
      </w:r>
    </w:p>
    <w:p w14:paraId="058CDE4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5.8.2.  Roboty ziemne należy wykonać w sposób zapewniający uzyskanie nośności podłoża  gruntowego  nawierzchni,  określonej  wartością  wtórnego  modułu  odkształcenia  E 2,  nie gorszej niż przyjęta w projekcie konstrukcji nawierzchni. Nie dopuszcza się redukcji grubości warstw konstrukcji nawierzchni w przypadku stwierdzenia większej wartości E 2  niż przyjęta w projekcie konstrukcji nawierzchni. </w:t>
      </w:r>
    </w:p>
    <w:p w14:paraId="08380CD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5.8.3.  Moduł  odkształcenia  należy  obliczać  według  wzoru  określonego  w  p.  1.6.20  na podstawie badania według zasad podanych</w:t>
      </w:r>
      <w:r w:rsidRPr="00021789">
        <w:rPr>
          <w:rFonts w:asciiTheme="minorHAnsi" w:hAnsiTheme="minorHAnsi"/>
          <w:sz w:val="16"/>
          <w:szCs w:val="16"/>
        </w:rPr>
        <w:br/>
        <w:t>w Załączniku 2. Wartości modułów można uznać za miarodajne, jeżeli wilgotność gruntu/materiału warstwy w czasie badania nie jest wyższa od wilgotności jaką miał on w czasie zagęszczania oraz jest od niej niższa nie więcej niż o 2%. W przypadku badania warstwy</w:t>
      </w:r>
      <w:r w:rsidRPr="00021789">
        <w:rPr>
          <w:rFonts w:asciiTheme="minorHAnsi" w:hAnsiTheme="minorHAnsi"/>
          <w:sz w:val="16"/>
          <w:szCs w:val="16"/>
        </w:rPr>
        <w:br/>
        <w:t xml:space="preserve">o wilgotności poza wymienionym przedziałem  należy  wprowadzić  odpowiednie  współczynniki  korygujące  wartości modułów. </w:t>
      </w:r>
    </w:p>
    <w:p w14:paraId="6951F6D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5.8.4.  Alternatywnie  dopuszcza  się  kontrolę  i  ocenę  nośności  na  powierzchni  warstwy  gruntu/materiału  na  podstawie  oznaczenia  wartości  modułu  dynamicznego  </w:t>
      </w:r>
      <w:proofErr w:type="spellStart"/>
      <w:r w:rsidRPr="00021789">
        <w:rPr>
          <w:rFonts w:asciiTheme="minorHAnsi" w:hAnsiTheme="minorHAnsi"/>
          <w:sz w:val="16"/>
          <w:szCs w:val="16"/>
        </w:rPr>
        <w:t>Evd</w:t>
      </w:r>
      <w:proofErr w:type="spellEnd"/>
      <w:r w:rsidRPr="00021789">
        <w:rPr>
          <w:rFonts w:asciiTheme="minorHAnsi" w:hAnsiTheme="minorHAnsi"/>
          <w:sz w:val="16"/>
          <w:szCs w:val="16"/>
        </w:rPr>
        <w:t xml:space="preserve">  z  zastosowaniem  lekkiej  płyty  dynamicznej  LPD.  Dopuszczenie  tej  metody  wymaga  potwierdzenia  na  odcinku  próbnym  i  akceptacji  przez  Inżyniera/Inspektora  nadzoru  korelacji  wartości  wtórnego  modułu  odkształcenia  E2,  stanowiących  kryterium akceptacji  nośności,  z  wartościami  modułu  dynamicznego  </w:t>
      </w:r>
      <w:proofErr w:type="spellStart"/>
      <w:r w:rsidRPr="00021789">
        <w:rPr>
          <w:rFonts w:asciiTheme="minorHAnsi" w:hAnsiTheme="minorHAnsi"/>
          <w:sz w:val="16"/>
          <w:szCs w:val="16"/>
        </w:rPr>
        <w:t>Evd</w:t>
      </w:r>
      <w:proofErr w:type="spellEnd"/>
      <w:r w:rsidRPr="00021789">
        <w:rPr>
          <w:rFonts w:asciiTheme="minorHAnsi" w:hAnsiTheme="minorHAnsi"/>
          <w:sz w:val="16"/>
          <w:szCs w:val="16"/>
        </w:rPr>
        <w:t xml:space="preserve">  w  odniesieniu  do gruntów</w:t>
      </w:r>
      <w:r w:rsidRPr="00021789">
        <w:rPr>
          <w:rFonts w:asciiTheme="minorHAnsi" w:hAnsiTheme="minorHAnsi"/>
          <w:sz w:val="16"/>
          <w:szCs w:val="16"/>
        </w:rPr>
        <w:br/>
        <w:t xml:space="preserve">i  materiałów  stosowanych  w  konkretnym  przypadku  i  określonych  z zastosowaniem wybranego typu (konstrukcji) LPD.W przypadku stosowania płyt LPD o różnych konstrukcjach korelację należy ustalić dla każdego typu urządzenia. Metodami badawczymi  referencyjnymi  dla  wskaźnika  zagęszczenia  oraz  wtórnego  modułu odkształcenia w każdym przypadku są metody opisane w załącznikach Z2B oraz Z2C.  </w:t>
      </w:r>
    </w:p>
    <w:p w14:paraId="0877625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5.8.5.  W  przypadku  stosowania  płyty  LPD  należy  uwzględnić  właściwe  dla  tej  metody  ograniczenia  w  zakresie  jej  stosowalności.  Płytę  dynamiczną  można  stosować wyłącznie  dla  gruntów  niespoistych  o  uziarnieniu  do  63  mm.  Wartość  modułu  </w:t>
      </w:r>
      <w:proofErr w:type="spellStart"/>
      <w:r w:rsidRPr="00021789">
        <w:rPr>
          <w:rFonts w:asciiTheme="minorHAnsi" w:hAnsiTheme="minorHAnsi"/>
          <w:sz w:val="16"/>
          <w:szCs w:val="16"/>
        </w:rPr>
        <w:t>Evd</w:t>
      </w:r>
      <w:proofErr w:type="spellEnd"/>
      <w:r w:rsidRPr="00021789">
        <w:rPr>
          <w:rFonts w:asciiTheme="minorHAnsi" w:hAnsiTheme="minorHAnsi"/>
          <w:sz w:val="16"/>
          <w:szCs w:val="16"/>
        </w:rPr>
        <w:t xml:space="preserve"> można  uznać  za  miarodajną,  jeżeli  wilgotność  gruntu/materiału  warstwy  w  czasie badania  nie  jest  niższa  o  więcej  niż  2% w  stosunku</w:t>
      </w:r>
      <w:r w:rsidRPr="00021789">
        <w:rPr>
          <w:rFonts w:asciiTheme="minorHAnsi" w:hAnsiTheme="minorHAnsi"/>
          <w:sz w:val="16"/>
          <w:szCs w:val="16"/>
        </w:rPr>
        <w:br/>
        <w:t xml:space="preserve"> do  wilgotności  jaką  miał  on  w czasie zagęszczania. Dopuszczenie badania z zastosowaniem LPD nie może kolidować z zapisami p. 6.1.3.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6703401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02BFD3C9"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6.  KONTROLA JAKOŚCI ROBÓT </w:t>
      </w:r>
    </w:p>
    <w:p w14:paraId="142C766D"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6.1.  Ogólne wymagania dotyczące kontroli jakości robót </w:t>
      </w:r>
    </w:p>
    <w:p w14:paraId="08C7F41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6.1.1.  Ogólne wymagania dotyczące kontroli jakości robót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 00.00.00, Wymagania ogólne". </w:t>
      </w:r>
    </w:p>
    <w:p w14:paraId="79ECD61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Badania i pomiary dzielą się na: </w:t>
      </w:r>
    </w:p>
    <w:p w14:paraId="0DDD731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badania i pomiary Wykonawcy – w ramach własnego nadzoru </w:t>
      </w:r>
    </w:p>
    <w:p w14:paraId="039416D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badania i pomiary kontrolne – w ramach nadzoru Zamawiającego. </w:t>
      </w:r>
    </w:p>
    <w:p w14:paraId="633CEA6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 uzasadnionych przypadkach w ramach badań i pomiarów kontrolnych dopuszcza się wykonanie  badań  i  pomiarów  kontrolnych  dodatkowych  lub  badań  i  pomiarów arbitrażowych. </w:t>
      </w:r>
    </w:p>
    <w:p w14:paraId="32F9696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Badania obejmują: </w:t>
      </w:r>
    </w:p>
    <w:p w14:paraId="254C80A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pobranie próbek, </w:t>
      </w:r>
    </w:p>
    <w:p w14:paraId="02F0A5B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zapakowanie próbek do wysyłki, </w:t>
      </w:r>
    </w:p>
    <w:p w14:paraId="6513356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transport próbek z miejsca pobrania do placówki wykonującej badania, </w:t>
      </w:r>
    </w:p>
    <w:p w14:paraId="2CF47FE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przeprowadzenie badania, </w:t>
      </w:r>
    </w:p>
    <w:p w14:paraId="3ADC408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sprawozdanie z badań.  </w:t>
      </w:r>
    </w:p>
    <w:p w14:paraId="2EA3381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Pomiary obejmują terenową weryfikację zrealizowanych robót. </w:t>
      </w:r>
    </w:p>
    <w:p w14:paraId="46AB3F5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6.1.2.  Badania i pomiary Wykonawcy – zgodnie z D-M-00.00.00 „Wymagania ogólne”.  </w:t>
      </w:r>
    </w:p>
    <w:p w14:paraId="32A9D1E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Zakres badań i pomiarów Wykonawcy powinien być: </w:t>
      </w:r>
    </w:p>
    <w:p w14:paraId="37E6A14D" w14:textId="77777777" w:rsidR="00105AB9" w:rsidRPr="00021789" w:rsidRDefault="00105AB9" w:rsidP="00105AB9">
      <w:pPr>
        <w:pStyle w:val="Pro-Inwest"/>
        <w:numPr>
          <w:ilvl w:val="0"/>
          <w:numId w:val="154"/>
        </w:numPr>
        <w:jc w:val="both"/>
        <w:rPr>
          <w:rFonts w:asciiTheme="minorHAnsi" w:hAnsiTheme="minorHAnsi"/>
          <w:sz w:val="16"/>
          <w:szCs w:val="16"/>
        </w:rPr>
      </w:pPr>
      <w:r w:rsidRPr="00021789">
        <w:rPr>
          <w:rFonts w:asciiTheme="minorHAnsi" w:hAnsiTheme="minorHAnsi"/>
          <w:sz w:val="16"/>
          <w:szCs w:val="16"/>
        </w:rPr>
        <w:t xml:space="preserve">nie mniejszy niż określony w Zakładowej Kontroli Produkcji dla dostarczanych na budowę materiałów i wyrobów budowlanych, </w:t>
      </w:r>
    </w:p>
    <w:p w14:paraId="25C6CFA8" w14:textId="77777777" w:rsidR="00105AB9" w:rsidRPr="00021789" w:rsidRDefault="00105AB9" w:rsidP="00105AB9">
      <w:pPr>
        <w:pStyle w:val="Pro-Inwest"/>
        <w:numPr>
          <w:ilvl w:val="0"/>
          <w:numId w:val="154"/>
        </w:numPr>
        <w:jc w:val="both"/>
        <w:rPr>
          <w:rFonts w:asciiTheme="minorHAnsi" w:hAnsiTheme="minorHAnsi"/>
          <w:sz w:val="16"/>
          <w:szCs w:val="16"/>
        </w:rPr>
      </w:pPr>
      <w:r w:rsidRPr="00021789">
        <w:rPr>
          <w:rFonts w:asciiTheme="minorHAnsi" w:hAnsiTheme="minorHAnsi"/>
          <w:sz w:val="16"/>
          <w:szCs w:val="16"/>
        </w:rPr>
        <w:t xml:space="preserve">nie mniejszy niż wskazano w niniejszym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57191AD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6.1.3.  Podczas  kontroli  jakości  robót  badania  należy  prowadzić  zgodnie  z  metodami  i wymaganiami wskazanymi w niniejszych </w:t>
      </w:r>
      <w:proofErr w:type="spellStart"/>
      <w:r w:rsidRPr="00021789">
        <w:rPr>
          <w:rFonts w:asciiTheme="minorHAnsi" w:hAnsiTheme="minorHAnsi"/>
          <w:sz w:val="16"/>
          <w:szCs w:val="16"/>
        </w:rPr>
        <w:t>WWiORB</w:t>
      </w:r>
      <w:proofErr w:type="spellEnd"/>
      <w:r w:rsidRPr="00021789">
        <w:rPr>
          <w:rFonts w:asciiTheme="minorHAnsi" w:hAnsiTheme="minorHAnsi"/>
          <w:sz w:val="16"/>
          <w:szCs w:val="16"/>
        </w:rPr>
        <w:t xml:space="preserve">. Na wniosek Wykonawcy Inżynier/  Inspektor  nadzoru  –  o  ile  niniejsze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nie  stanowi  inaczej  –  może  dopuścić zastosowanie alternatywnych metod, norm, procedur lub reguł określających sposób wykonania badań terenowych i laboratoryjnych</w:t>
      </w:r>
      <w:r w:rsidRPr="00021789">
        <w:rPr>
          <w:rFonts w:asciiTheme="minorHAnsi" w:hAnsiTheme="minorHAnsi"/>
          <w:sz w:val="16"/>
          <w:szCs w:val="16"/>
        </w:rPr>
        <w:br/>
        <w:t xml:space="preserve">i ocenę ich wyników, o ile alternatywne normy,  procedury  oraz  reguły  są  zgodne  z  odpowiednimi  zasadami  określonymi  w niniejszych  </w:t>
      </w:r>
      <w:proofErr w:type="spellStart"/>
      <w:r w:rsidRPr="00021789">
        <w:rPr>
          <w:rFonts w:asciiTheme="minorHAnsi" w:hAnsiTheme="minorHAnsi"/>
          <w:sz w:val="16"/>
          <w:szCs w:val="16"/>
        </w:rPr>
        <w:t>WWiORB</w:t>
      </w:r>
      <w:proofErr w:type="spellEnd"/>
      <w:r w:rsidRPr="00021789">
        <w:rPr>
          <w:rFonts w:asciiTheme="minorHAnsi" w:hAnsiTheme="minorHAnsi"/>
          <w:sz w:val="16"/>
          <w:szCs w:val="16"/>
        </w:rPr>
        <w:t xml:space="preserve">  oraz  są  co  najmniej  równoważne  w  odniesieniu  do  przyszłego bezpieczeństwa konstrukcji, oraz jej użytkowalności</w:t>
      </w:r>
      <w:r w:rsidRPr="00021789">
        <w:rPr>
          <w:rFonts w:asciiTheme="minorHAnsi" w:hAnsiTheme="minorHAnsi"/>
          <w:sz w:val="16"/>
          <w:szCs w:val="16"/>
        </w:rPr>
        <w:br/>
        <w:t xml:space="preserve">i trwałości, jakich można byłoby oczekiwać w przypadku zastosowania wymagań wskazanych w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7927E73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Każde odstępstwo od wymagań zawartych w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oraz od wymagań określonych w przywołanych normach i procedurach należy szczegółowo uzasadnić i opisać,  w  szczególności  należy  poddać  ocenie  wpływ  odstępstwa  od  wymagań określonych</w:t>
      </w:r>
      <w:r w:rsidRPr="00021789">
        <w:rPr>
          <w:rFonts w:asciiTheme="minorHAnsi" w:hAnsiTheme="minorHAnsi"/>
          <w:sz w:val="16"/>
          <w:szCs w:val="16"/>
        </w:rPr>
        <w:br/>
        <w:t xml:space="preserve">w niniejszych </w:t>
      </w:r>
      <w:proofErr w:type="spellStart"/>
      <w:r w:rsidRPr="00021789">
        <w:rPr>
          <w:rFonts w:asciiTheme="minorHAnsi" w:hAnsiTheme="minorHAnsi"/>
          <w:sz w:val="16"/>
          <w:szCs w:val="16"/>
        </w:rPr>
        <w:t>WWiORB</w:t>
      </w:r>
      <w:proofErr w:type="spellEnd"/>
      <w:r w:rsidRPr="00021789">
        <w:rPr>
          <w:rFonts w:asciiTheme="minorHAnsi" w:hAnsiTheme="minorHAnsi"/>
          <w:sz w:val="16"/>
          <w:szCs w:val="16"/>
        </w:rPr>
        <w:t xml:space="preserve">, na wyniki poszczególnych badań. </w:t>
      </w:r>
    </w:p>
    <w:p w14:paraId="0ADE613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6.1.4.  Badania i pomiary kontrolne oraz badania i pomiary kontrolne dodatkowe – zgodnie z D-M-00.00.00 „Wymagania ogólne”.   </w:t>
      </w:r>
    </w:p>
    <w:p w14:paraId="1044E11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6.1.5.  Badania i pomiary arbitrażowe – zgodnie z D-M-00.00.00 „Wymagania ogólne”.  </w:t>
      </w:r>
    </w:p>
    <w:p w14:paraId="3D7BDBDD" w14:textId="77777777" w:rsidR="00105AB9" w:rsidRPr="00021789" w:rsidRDefault="00105AB9" w:rsidP="00105AB9">
      <w:pPr>
        <w:pStyle w:val="Pro-Inwest"/>
        <w:jc w:val="both"/>
        <w:rPr>
          <w:rFonts w:asciiTheme="minorHAnsi" w:hAnsiTheme="minorHAnsi"/>
          <w:b/>
          <w:bCs/>
          <w:sz w:val="16"/>
          <w:szCs w:val="16"/>
        </w:rPr>
      </w:pPr>
    </w:p>
    <w:p w14:paraId="53AE8314"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6.2.  Badania i pomiary przed przystąpieniem do robót ziemnych – zgodnie z D-M-00.00.00 „Wymagania ogólne” </w:t>
      </w:r>
    </w:p>
    <w:p w14:paraId="68E76F4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6.2.1.  Przed  przystąpieniem  do  robót  ziemnych  lub  wydzielonego  ich  etapu  należy zweryfikować  założenia  dotyczące  przydatności  gruntów  i  materiałów antropogenicznych  do  zastosowania  jako  materiał  nasypowy,  uwzględniając wymagania  określone  w  punkcie  2  </w:t>
      </w:r>
      <w:r w:rsidRPr="00021789">
        <w:rPr>
          <w:rFonts w:asciiTheme="minorHAnsi" w:hAnsiTheme="minorHAnsi"/>
          <w:sz w:val="16"/>
          <w:szCs w:val="16"/>
        </w:rPr>
        <w:lastRenderedPageBreak/>
        <w:t>oraz  w  Dokumentacji  Projektowej.  Ocenę  taką należy  przeprowadzać  w  przypadku  każdej  zmiany  rodzaju  lub  źródła  materiału</w:t>
      </w:r>
      <w:r w:rsidRPr="00021789">
        <w:rPr>
          <w:rFonts w:asciiTheme="minorHAnsi" w:hAnsiTheme="minorHAnsi"/>
          <w:sz w:val="16"/>
          <w:szCs w:val="16"/>
        </w:rPr>
        <w:br/>
        <w:t xml:space="preserve">do wykorzystania jako materiał nasypowy. </w:t>
      </w:r>
    </w:p>
    <w:p w14:paraId="11A4EEE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6.2.2.  Przed przystąpieniem do robót Wykonawca powinien: </w:t>
      </w:r>
    </w:p>
    <w:p w14:paraId="7F6DF446" w14:textId="77777777" w:rsidR="00105AB9" w:rsidRPr="00021789" w:rsidRDefault="00105AB9" w:rsidP="00105AB9">
      <w:pPr>
        <w:pStyle w:val="Pro-Inwest"/>
        <w:numPr>
          <w:ilvl w:val="0"/>
          <w:numId w:val="155"/>
        </w:numPr>
        <w:jc w:val="both"/>
        <w:rPr>
          <w:rFonts w:asciiTheme="minorHAnsi" w:hAnsiTheme="minorHAnsi"/>
          <w:sz w:val="16"/>
          <w:szCs w:val="16"/>
        </w:rPr>
      </w:pPr>
      <w:r w:rsidRPr="00021789">
        <w:rPr>
          <w:rFonts w:asciiTheme="minorHAnsi" w:hAnsiTheme="minorHAnsi"/>
          <w:sz w:val="16"/>
          <w:szCs w:val="16"/>
        </w:rPr>
        <w:t xml:space="preserve">przedstawić  Inżynierowi/Inspektorowi  Nadzoru  do  akceptacji  źródła  poboru materiałów; </w:t>
      </w:r>
    </w:p>
    <w:p w14:paraId="384111E6" w14:textId="77777777" w:rsidR="00105AB9" w:rsidRPr="00021789" w:rsidRDefault="00105AB9" w:rsidP="00105AB9">
      <w:pPr>
        <w:pStyle w:val="Pro-Inwest"/>
        <w:numPr>
          <w:ilvl w:val="0"/>
          <w:numId w:val="155"/>
        </w:numPr>
        <w:jc w:val="both"/>
        <w:rPr>
          <w:rFonts w:asciiTheme="minorHAnsi" w:hAnsiTheme="minorHAnsi"/>
          <w:sz w:val="16"/>
          <w:szCs w:val="16"/>
        </w:rPr>
      </w:pPr>
      <w:r w:rsidRPr="00021789">
        <w:rPr>
          <w:rFonts w:asciiTheme="minorHAnsi" w:hAnsiTheme="minorHAnsi"/>
          <w:sz w:val="16"/>
          <w:szCs w:val="16"/>
        </w:rPr>
        <w:t>uzyskać  wymagane  dokumenty,  dopuszczające  wyroby  budowlane  do  obrotu i powszechnego  stosowania</w:t>
      </w:r>
      <w:r w:rsidRPr="00021789">
        <w:rPr>
          <w:rFonts w:asciiTheme="minorHAnsi" w:hAnsiTheme="minorHAnsi"/>
          <w:sz w:val="16"/>
          <w:szCs w:val="16"/>
        </w:rPr>
        <w:br/>
        <w:t xml:space="preserve">(np.  stwierdzenie  o  oznakowaniu  materiału  znakiem CE  lub  znakiem  budowlanym  B,  Certyfikat  Zgodności  ZKP/Stałości  Właściwości Użytkowych,  deklarację  właściwości  użytkowych, KOT/EOT,  aprobatę  techniczną, ew. badania materiałów wykonane przez dostawców itp.), </w:t>
      </w:r>
    </w:p>
    <w:p w14:paraId="335870C2" w14:textId="77777777" w:rsidR="00105AB9" w:rsidRPr="00021789" w:rsidRDefault="00105AB9" w:rsidP="00105AB9">
      <w:pPr>
        <w:pStyle w:val="Pro-Inwest"/>
        <w:numPr>
          <w:ilvl w:val="0"/>
          <w:numId w:val="155"/>
        </w:numPr>
        <w:jc w:val="both"/>
        <w:rPr>
          <w:rFonts w:asciiTheme="minorHAnsi" w:hAnsiTheme="minorHAnsi"/>
          <w:sz w:val="16"/>
          <w:szCs w:val="16"/>
        </w:rPr>
      </w:pPr>
      <w:r w:rsidRPr="00021789">
        <w:rPr>
          <w:rFonts w:asciiTheme="minorHAnsi" w:hAnsiTheme="minorHAnsi"/>
          <w:sz w:val="16"/>
          <w:szCs w:val="16"/>
        </w:rPr>
        <w:t xml:space="preserve">ew.  wykonać  własne  badania  właściwości  materiałów  przeznaczonych  do wykonania robót, określone przez Inżyniera/Inspektora Nadzoru. </w:t>
      </w:r>
    </w:p>
    <w:p w14:paraId="62EA91E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Wszystkie  dokumenty  oraz  wyniki  badań  Wykonawca  przedstawi  Inżynierowi/ Inspektorowi Nadzoru do akceptacji. </w:t>
      </w:r>
    </w:p>
    <w:p w14:paraId="5BEC131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6.2.3.  Przed  zastosowaniem  </w:t>
      </w:r>
      <w:proofErr w:type="spellStart"/>
      <w:r w:rsidRPr="00021789">
        <w:rPr>
          <w:rFonts w:asciiTheme="minorHAnsi" w:hAnsiTheme="minorHAnsi"/>
          <w:sz w:val="16"/>
          <w:szCs w:val="16"/>
        </w:rPr>
        <w:t>geosyntetyków</w:t>
      </w:r>
      <w:proofErr w:type="spellEnd"/>
      <w:r w:rsidRPr="00021789">
        <w:rPr>
          <w:rFonts w:asciiTheme="minorHAnsi" w:hAnsiTheme="minorHAnsi"/>
          <w:sz w:val="16"/>
          <w:szCs w:val="16"/>
        </w:rPr>
        <w:t xml:space="preserve">  w  robotach  ziemnych,  Wykonawca  powinien  przedstawić  Inżynierowi/Inspektorowi  nadzoru    dokumenty  wskazane  w  </w:t>
      </w:r>
      <w:proofErr w:type="spellStart"/>
      <w:r w:rsidRPr="00021789">
        <w:rPr>
          <w:rFonts w:asciiTheme="minorHAnsi" w:hAnsiTheme="minorHAnsi"/>
          <w:sz w:val="16"/>
          <w:szCs w:val="16"/>
        </w:rPr>
        <w:t>ppkt</w:t>
      </w:r>
      <w:proofErr w:type="spellEnd"/>
      <w:r w:rsidRPr="00021789">
        <w:rPr>
          <w:rFonts w:asciiTheme="minorHAnsi" w:hAnsiTheme="minorHAnsi"/>
          <w:sz w:val="16"/>
          <w:szCs w:val="16"/>
        </w:rPr>
        <w:t xml:space="preserve">  6.2.2 oraz  inne  dokumenty,  jeżeli  konieczność  ich  przedłożenia  wynika  z  Dokumentacji Projektowej, potwierdzające spełnienie wymagań w zakresie istotnych właściwości, nie ujętych  w  dokumentach  wskazanych  w  </w:t>
      </w:r>
      <w:proofErr w:type="spellStart"/>
      <w:r w:rsidRPr="00021789">
        <w:rPr>
          <w:rFonts w:asciiTheme="minorHAnsi" w:hAnsiTheme="minorHAnsi"/>
          <w:sz w:val="16"/>
          <w:szCs w:val="16"/>
        </w:rPr>
        <w:t>ppkt</w:t>
      </w:r>
      <w:proofErr w:type="spellEnd"/>
      <w:r w:rsidRPr="00021789">
        <w:rPr>
          <w:rFonts w:asciiTheme="minorHAnsi" w:hAnsiTheme="minorHAnsi"/>
          <w:sz w:val="16"/>
          <w:szCs w:val="16"/>
        </w:rPr>
        <w:t xml:space="preserve">  6.2.2  (na  przykład  wytrzymałość długoterminowa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stosowanego jako zbrojenie). </w:t>
      </w:r>
    </w:p>
    <w:p w14:paraId="0AA496A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6.2.4.  W  przypadku  jeżeli  grunty  lub  materiały  antropogeniczne,  przewidziane  do wykorzystania  jako  materiał  nasypowy  będą  ulepszane  to  Wykonawca  przed przystąpieniem do robót powinien wykazać, że przewidziana do zastosowana metoda ulepszania materiałów, pozwala na uzyskanie wymaganych właściwości oraz spełnienie wymagań dotyczących materiału po wbudowaniu. </w:t>
      </w:r>
    </w:p>
    <w:p w14:paraId="673504F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6.2.5.  W  przypadku  warstwy  ulepszonego  podłoża  Wykonawca  przed  przystąpieniem  do jej wykonania przedstawi wszystkie niezbędne dokumenty wynikające z wymagań  określonych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dotyczące technologii stosowanej do wykonania tej warstwy,</w:t>
      </w:r>
      <w:r w:rsidRPr="00021789">
        <w:rPr>
          <w:rFonts w:asciiTheme="minorHAnsi" w:hAnsiTheme="minorHAnsi"/>
          <w:sz w:val="16"/>
          <w:szCs w:val="16"/>
        </w:rPr>
        <w:br/>
        <w:t xml:space="preserve">a w razie potrzeby wykona odcinek próbny na polecenie Inżyniera/Inspektora nadzoru. </w:t>
      </w:r>
    </w:p>
    <w:p w14:paraId="780D938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3BE1D400"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6.3.  Badania i pomiary w czasie realizacji robót ziemnych </w:t>
      </w:r>
    </w:p>
    <w:p w14:paraId="618EC6C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6.3.1.  Wykonawca jest zobowiązany do przeprowadzania na bieżąco badań i pomiarów w celu sprawdzania czy jakość wykonanych Robót jest zgodna z postawionymi wymaganiami.  Badania  powinny  być  wykonywane  z  niezbędną  starannością,  zgodnie  z obowiązującymi przepisami i w wymaganym zakresie. Badania Wykonawca powinien wykonywać z częstotliwością gwarantującą zachowanie wymagań dotyczących jakości robót,  lecz  nie  rzadziej  niż  wskazano  to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Wyniki  badań  będą dokumentowane  i  archiwizowane  przez  Wykonawcę.  Wyniki  badań  Wykonawca  jest zobowiązany przekazywać Inżynierowi/Inspektorowi nadzoru. </w:t>
      </w:r>
    </w:p>
    <w:p w14:paraId="3D6BFA9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6.3.2.  W  trakcie  prowadzenia  robót  należy  sprawdzać  na  bieżąco  odwodnienie  korpusu  drogowego.  Sprawdzanie  polega</w:t>
      </w:r>
      <w:r w:rsidRPr="00021789">
        <w:rPr>
          <w:rFonts w:asciiTheme="minorHAnsi" w:hAnsiTheme="minorHAnsi"/>
          <w:sz w:val="16"/>
          <w:szCs w:val="16"/>
        </w:rPr>
        <w:br/>
        <w:t xml:space="preserve">na  kontroli  zgodności  z  wymaganiami  określonymi  w punkcie 5 oraz  z Dokumentacją Projektową. Szczególną uwagę należy zwrócić na: </w:t>
      </w:r>
    </w:p>
    <w:p w14:paraId="727A0F5B" w14:textId="77777777" w:rsidR="00105AB9" w:rsidRPr="00021789" w:rsidRDefault="00105AB9" w:rsidP="00105AB9">
      <w:pPr>
        <w:pStyle w:val="Pro-Inwest"/>
        <w:numPr>
          <w:ilvl w:val="0"/>
          <w:numId w:val="155"/>
        </w:numPr>
        <w:jc w:val="both"/>
        <w:rPr>
          <w:rFonts w:asciiTheme="minorHAnsi" w:hAnsiTheme="minorHAnsi"/>
          <w:sz w:val="16"/>
          <w:szCs w:val="16"/>
        </w:rPr>
      </w:pPr>
      <w:r w:rsidRPr="00021789">
        <w:rPr>
          <w:rFonts w:asciiTheme="minorHAnsi" w:hAnsiTheme="minorHAnsi"/>
          <w:sz w:val="16"/>
          <w:szCs w:val="16"/>
        </w:rPr>
        <w:t xml:space="preserve">właściwe ujęcie i odprowadzenie wód opadowych, </w:t>
      </w:r>
    </w:p>
    <w:p w14:paraId="4FAC0A59" w14:textId="77777777" w:rsidR="00105AB9" w:rsidRPr="00021789" w:rsidRDefault="00105AB9" w:rsidP="00105AB9">
      <w:pPr>
        <w:pStyle w:val="Pro-Inwest"/>
        <w:numPr>
          <w:ilvl w:val="0"/>
          <w:numId w:val="155"/>
        </w:numPr>
        <w:jc w:val="both"/>
        <w:rPr>
          <w:rFonts w:asciiTheme="minorHAnsi" w:hAnsiTheme="minorHAnsi"/>
          <w:sz w:val="16"/>
          <w:szCs w:val="16"/>
        </w:rPr>
      </w:pPr>
      <w:r w:rsidRPr="00021789">
        <w:rPr>
          <w:rFonts w:asciiTheme="minorHAnsi" w:hAnsiTheme="minorHAnsi"/>
          <w:sz w:val="16"/>
          <w:szCs w:val="16"/>
        </w:rPr>
        <w:t xml:space="preserve">właściwe ujęcie i odprowadzenie wysięków wodnych, </w:t>
      </w:r>
    </w:p>
    <w:p w14:paraId="1615CE94" w14:textId="77777777" w:rsidR="00105AB9" w:rsidRPr="00021789" w:rsidRDefault="00105AB9" w:rsidP="00105AB9">
      <w:pPr>
        <w:pStyle w:val="Pro-Inwest"/>
        <w:numPr>
          <w:ilvl w:val="0"/>
          <w:numId w:val="155"/>
        </w:numPr>
        <w:jc w:val="both"/>
        <w:rPr>
          <w:rFonts w:asciiTheme="minorHAnsi" w:hAnsiTheme="minorHAnsi"/>
          <w:sz w:val="16"/>
          <w:szCs w:val="16"/>
        </w:rPr>
      </w:pPr>
      <w:r w:rsidRPr="00021789">
        <w:rPr>
          <w:rFonts w:asciiTheme="minorHAnsi" w:hAnsiTheme="minorHAnsi"/>
          <w:sz w:val="16"/>
          <w:szCs w:val="16"/>
        </w:rPr>
        <w:t xml:space="preserve">właściwe prowadzenie prac aby nie powodować nawadniania gruntów w wykopie  lub w nasypie. </w:t>
      </w:r>
    </w:p>
    <w:p w14:paraId="5DA2B9D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6.3.3.  Sprawdzenie wykonania skarp polega na sprawdzeniu zgodności robót z wymaganiami  dotyczącymi: </w:t>
      </w:r>
    </w:p>
    <w:p w14:paraId="46C132AB" w14:textId="77777777" w:rsidR="00105AB9" w:rsidRPr="00021789" w:rsidRDefault="00105AB9" w:rsidP="00105AB9">
      <w:pPr>
        <w:pStyle w:val="Pro-Inwest"/>
        <w:numPr>
          <w:ilvl w:val="0"/>
          <w:numId w:val="155"/>
        </w:numPr>
        <w:jc w:val="both"/>
        <w:rPr>
          <w:rFonts w:asciiTheme="minorHAnsi" w:hAnsiTheme="minorHAnsi"/>
          <w:sz w:val="16"/>
          <w:szCs w:val="16"/>
        </w:rPr>
      </w:pPr>
      <w:r w:rsidRPr="00021789">
        <w:rPr>
          <w:rFonts w:asciiTheme="minorHAnsi" w:hAnsiTheme="minorHAnsi"/>
          <w:sz w:val="16"/>
          <w:szCs w:val="16"/>
        </w:rPr>
        <w:t xml:space="preserve">pochyleń i dokładności wykonania skarp określonych w tablicy 6.1.,  </w:t>
      </w:r>
    </w:p>
    <w:p w14:paraId="7CC1ACB9" w14:textId="77777777" w:rsidR="00105AB9" w:rsidRPr="00021789" w:rsidRDefault="00105AB9" w:rsidP="00105AB9">
      <w:pPr>
        <w:pStyle w:val="Pro-Inwest"/>
        <w:numPr>
          <w:ilvl w:val="0"/>
          <w:numId w:val="155"/>
        </w:numPr>
        <w:jc w:val="both"/>
        <w:rPr>
          <w:rFonts w:asciiTheme="minorHAnsi" w:hAnsiTheme="minorHAnsi"/>
          <w:sz w:val="16"/>
          <w:szCs w:val="16"/>
        </w:rPr>
      </w:pPr>
      <w:r w:rsidRPr="00021789">
        <w:rPr>
          <w:rFonts w:asciiTheme="minorHAnsi" w:hAnsiTheme="minorHAnsi"/>
          <w:sz w:val="16"/>
          <w:szCs w:val="16"/>
        </w:rPr>
        <w:t xml:space="preserve">wykonania umocnień powierzchni skarp, sformułowanymi w Dokumentacji Projektowej lub w Projekcie Geotechnicznym. </w:t>
      </w:r>
    </w:p>
    <w:p w14:paraId="2D0C36E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6.3.4.  Zakres  czynności  wchodzących  w  zakres  sprawdzenia  jakości  robót  w  czasie wykonywania  wykopów  określono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D-02.01.01  „Roboty  ziemne. Wykonywanie wykopów”. </w:t>
      </w:r>
    </w:p>
    <w:p w14:paraId="48A34C4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6.3.5.  Szczegółowy  zakres  czynności  wchodzących  w  zakres  sprawdzenia  jakości  robót  w czasie wykonywania nasypów oraz ukopów, </w:t>
      </w:r>
      <w:proofErr w:type="spellStart"/>
      <w:r w:rsidRPr="00021789">
        <w:rPr>
          <w:rFonts w:asciiTheme="minorHAnsi" w:hAnsiTheme="minorHAnsi"/>
          <w:sz w:val="16"/>
          <w:szCs w:val="16"/>
        </w:rPr>
        <w:t>dokopów</w:t>
      </w:r>
      <w:proofErr w:type="spellEnd"/>
      <w:r w:rsidRPr="00021789">
        <w:rPr>
          <w:rFonts w:asciiTheme="minorHAnsi" w:hAnsiTheme="minorHAnsi"/>
          <w:sz w:val="16"/>
          <w:szCs w:val="16"/>
        </w:rPr>
        <w:t xml:space="preserve"> i odkładów, określono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D-02.03.01. „Roboty ziemne. Wykonywanie nasypów”. </w:t>
      </w:r>
    </w:p>
    <w:p w14:paraId="3BB3270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62EBFC98"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6.4.  Badania do odbioru korpusu ziemnego </w:t>
      </w:r>
    </w:p>
    <w:p w14:paraId="12464C0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6.4.1.  Odbioru  korpusu  ziemnego  dokonuje  się  na  podstawie  technicznych  dokumentów  kontrolnych,  zgromadzonych  przed  przystąpieniem  do  robót  oraz  prowadzonych  w czasie wykonywania robót ziemnych oraz na podstawie badań i pomiarów wykonanych  </w:t>
      </w:r>
    </w:p>
    <w:p w14:paraId="2DDE94B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po zakończeniu wykonania budowli ziemnej,  w zakresie wymaganym przez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6.4.2.  W zakres badań w czasie odbioru budowli ziemnej wchodzi sprawdzenie: technicznych  dokumentów  kontrolnych,  cech  geometrycznych  budowli  ziemnej,  zagęszczenia, nośności oraz odwodnienia. Ponadto należy sprawdzić wykonanie i umocnienie skarp, na podstawie wymagań odrębnej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4EFBD57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6.4.3.  Częstotliwość  oraz  zakres  badań  i  pomiarów  cech  geometrycznych  budowli  ziemnej  do odbioru robót ziemnych podano</w:t>
      </w:r>
      <w:r w:rsidRPr="00021789">
        <w:rPr>
          <w:rFonts w:asciiTheme="minorHAnsi" w:hAnsiTheme="minorHAnsi"/>
          <w:sz w:val="16"/>
          <w:szCs w:val="16"/>
        </w:rPr>
        <w:br/>
        <w:t xml:space="preserve">w tablicy 6.1. </w:t>
      </w:r>
    </w:p>
    <w:p w14:paraId="2E3A38A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Tablica 6.1.  Częstotliwość oraz zakres badań i pomiarów geometrycznych wykonanych robót ziemnych </w:t>
      </w:r>
    </w:p>
    <w:p w14:paraId="0A9B9458" w14:textId="77777777" w:rsidR="00105AB9" w:rsidRPr="00021789" w:rsidRDefault="00105AB9" w:rsidP="00105AB9">
      <w:pPr>
        <w:pStyle w:val="Pro-Inwest"/>
        <w:jc w:val="both"/>
        <w:rPr>
          <w:rFonts w:asciiTheme="minorHAnsi" w:hAnsiTheme="minorHAnsi"/>
          <w:sz w:val="16"/>
          <w:szCs w:val="16"/>
        </w:rPr>
      </w:pPr>
    </w:p>
    <w:p w14:paraId="0D96A041"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lastRenderedPageBreak/>
        <w:drawing>
          <wp:inline distT="0" distB="0" distL="0" distR="0" wp14:anchorId="71E1C5DC" wp14:editId="7D70884C">
            <wp:extent cx="4262483" cy="2702706"/>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92249" cy="2721579"/>
                    </a:xfrm>
                    <a:prstGeom prst="rect">
                      <a:avLst/>
                    </a:prstGeom>
                    <a:noFill/>
                    <a:ln>
                      <a:noFill/>
                    </a:ln>
                  </pic:spPr>
                </pic:pic>
              </a:graphicData>
            </a:graphic>
          </wp:inline>
        </w:drawing>
      </w:r>
    </w:p>
    <w:p w14:paraId="668E9E80" w14:textId="77777777" w:rsidR="00105AB9" w:rsidRPr="00021789" w:rsidRDefault="00105AB9" w:rsidP="00105AB9">
      <w:pPr>
        <w:pStyle w:val="Pro-Inwest"/>
        <w:jc w:val="both"/>
        <w:rPr>
          <w:rFonts w:asciiTheme="minorHAnsi" w:hAnsiTheme="minorHAnsi"/>
          <w:sz w:val="16"/>
          <w:szCs w:val="16"/>
        </w:rPr>
      </w:pPr>
    </w:p>
    <w:p w14:paraId="086379E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6.4.4.  Zagęszczenie  materiału  nasypowego,  gruntu  podłoża  pod  nasypem  oraz  podłoża gruntowego nawierzchni w wykopie określa się na podstawie wskaźnika zagęszczenia </w:t>
      </w:r>
      <w:proofErr w:type="spellStart"/>
      <w:r w:rsidRPr="00021789">
        <w:rPr>
          <w:rFonts w:asciiTheme="minorHAnsi" w:hAnsiTheme="minorHAnsi"/>
          <w:sz w:val="16"/>
          <w:szCs w:val="16"/>
        </w:rPr>
        <w:t>Is</w:t>
      </w:r>
      <w:proofErr w:type="spellEnd"/>
      <w:r w:rsidRPr="00021789">
        <w:rPr>
          <w:rFonts w:asciiTheme="minorHAnsi" w:hAnsiTheme="minorHAnsi"/>
          <w:sz w:val="16"/>
          <w:szCs w:val="16"/>
        </w:rPr>
        <w:t>.  Badanie  wskaźnika  zagęszczenia  należy  przeprowadzić  zgodnie  z  zasadami określonymi</w:t>
      </w:r>
      <w:r w:rsidRPr="00021789">
        <w:rPr>
          <w:rFonts w:asciiTheme="minorHAnsi" w:hAnsiTheme="minorHAnsi"/>
          <w:sz w:val="16"/>
          <w:szCs w:val="16"/>
        </w:rPr>
        <w:br/>
        <w:t xml:space="preserve">w  p.  5.11.1  i  5.11.2  niniejszych  </w:t>
      </w:r>
      <w:proofErr w:type="spellStart"/>
      <w:r w:rsidRPr="00021789">
        <w:rPr>
          <w:rFonts w:asciiTheme="minorHAnsi" w:hAnsiTheme="minorHAnsi"/>
          <w:sz w:val="16"/>
          <w:szCs w:val="16"/>
        </w:rPr>
        <w:t>WWiORB</w:t>
      </w:r>
      <w:proofErr w:type="spellEnd"/>
      <w:r w:rsidRPr="00021789">
        <w:rPr>
          <w:rFonts w:asciiTheme="minorHAnsi" w:hAnsiTheme="minorHAnsi"/>
          <w:sz w:val="16"/>
          <w:szCs w:val="16"/>
        </w:rPr>
        <w:t xml:space="preserve">.  W  raporcie  z  badań  należy podać  wskaźnik  zagęszczenia  oraz  wilgotność  badanego  gruntu.  Wykonawca  do odbioru  budowli  ziemnej  przedstawi  wyniki  badań  wskaźnika  zagęszczenia  każdej warstwy. Częstotliwość badań wskaźnika zagęszczenia powinna być następująca: </w:t>
      </w:r>
    </w:p>
    <w:p w14:paraId="6B477D5C" w14:textId="77777777" w:rsidR="00105AB9" w:rsidRPr="00021789" w:rsidRDefault="00105AB9" w:rsidP="00105AB9">
      <w:pPr>
        <w:pStyle w:val="Pro-Inwest"/>
        <w:numPr>
          <w:ilvl w:val="0"/>
          <w:numId w:val="155"/>
        </w:numPr>
        <w:jc w:val="both"/>
        <w:rPr>
          <w:rFonts w:asciiTheme="minorHAnsi" w:hAnsiTheme="minorHAnsi"/>
          <w:sz w:val="16"/>
          <w:szCs w:val="16"/>
        </w:rPr>
      </w:pPr>
      <w:r w:rsidRPr="00021789">
        <w:rPr>
          <w:rFonts w:asciiTheme="minorHAnsi" w:hAnsiTheme="minorHAnsi"/>
          <w:sz w:val="16"/>
          <w:szCs w:val="16"/>
        </w:rPr>
        <w:t xml:space="preserve">W wykopach i dla górnej warstwy nasypu – nie mniej niż 1 badanie na każde 1000 m 2  powierzchni zagęszczonej warstwy, jednak co najmniej 2 badania  na dziennej działce roboczej. </w:t>
      </w:r>
    </w:p>
    <w:p w14:paraId="30A11D59" w14:textId="77777777" w:rsidR="00105AB9" w:rsidRPr="00021789" w:rsidRDefault="00105AB9" w:rsidP="00105AB9">
      <w:pPr>
        <w:pStyle w:val="Pro-Inwest"/>
        <w:numPr>
          <w:ilvl w:val="0"/>
          <w:numId w:val="155"/>
        </w:numPr>
        <w:jc w:val="both"/>
        <w:rPr>
          <w:rFonts w:asciiTheme="minorHAnsi" w:hAnsiTheme="minorHAnsi"/>
          <w:sz w:val="16"/>
          <w:szCs w:val="16"/>
        </w:rPr>
      </w:pPr>
      <w:r w:rsidRPr="00021789">
        <w:rPr>
          <w:rFonts w:asciiTheme="minorHAnsi" w:hAnsiTheme="minorHAnsi"/>
          <w:sz w:val="16"/>
          <w:szCs w:val="16"/>
        </w:rPr>
        <w:t xml:space="preserve">Dla  pozostałych  partii  nasypu    –  nie  mniej  niż  1  badanie  na  każde  2000  m 2  powierzchni  zagęszczonej  warstwy,  jednak  co  najmniej  2  badania    na  dziennej działce roboczej. </w:t>
      </w:r>
    </w:p>
    <w:p w14:paraId="2FEF9A9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Ponadto  badanie  wskaźnika  zagęszczenia  należy  wykonać  w  miejscach  wątpliwych wskazanych  przez  Inżyniera/Inspektora  nadzoru.  Należy  ocenić  zgodność  wyników badania z wymaganiami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160AD36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Kryterium  akceptacji  zbioru  wyników  badań  wskaźnika  zagęszczenia  musi  być określone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385DA90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6.4.5.  Jeżeli  dopuszczono  kontrolę  zagęszczenia  na  podstawie  wskaźnika  odkształcenia  I o   to  wymaga  się  aby  częstotliwość  badań  była  nie  mniejsza  niż  określono  w  punkcie 6.4.4. w odniesieniu do badania wskaźnika zagęszczenia I s .  </w:t>
      </w:r>
    </w:p>
    <w:p w14:paraId="7C2A66B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6.4.6.  Nośność  należy  badać  na  powierzchni  warstw,  określonych  w  Dokumentacji Projektowej.  Nośność  określa  się  na  podstawie  wartości  wtórnego  modułu odkształcenia  E 2 .  Badanie  modułu  odkształcenia  E 2   należy  przeprowadzić  zgodnie  z zasadami  określonymi  w  p.  5.12.3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Wykonawca  do  odbioru budowli  ziemnej  przedstawi  wyniki  badań  nośności  podłoża  pod  nasypem  oraz  na powierzchni tych warstw, które zostały zakryte wyżej leżącymi warstwami do czasu przeprowadzenia  odbioru  budowli  ziemnej.  Nośność  na  powierzchni  podłoża gruntowego  nawierzchni  może  być  określona  przed  lub  podczas  odbioru  budowli </w:t>
      </w:r>
    </w:p>
    <w:p w14:paraId="01B3F11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ziemnej. Częstotliwość badań nośności powinna być następująca: </w:t>
      </w:r>
    </w:p>
    <w:p w14:paraId="6F3410FC" w14:textId="77777777" w:rsidR="00105AB9" w:rsidRPr="00021789" w:rsidRDefault="00105AB9" w:rsidP="00105AB9">
      <w:pPr>
        <w:pStyle w:val="Pro-Inwest"/>
        <w:numPr>
          <w:ilvl w:val="0"/>
          <w:numId w:val="156"/>
        </w:numPr>
        <w:jc w:val="both"/>
        <w:rPr>
          <w:rFonts w:asciiTheme="minorHAnsi" w:hAnsiTheme="minorHAnsi"/>
          <w:sz w:val="16"/>
          <w:szCs w:val="16"/>
        </w:rPr>
      </w:pPr>
      <w:r w:rsidRPr="00021789">
        <w:rPr>
          <w:rFonts w:asciiTheme="minorHAnsi" w:hAnsiTheme="minorHAnsi"/>
          <w:sz w:val="16"/>
          <w:szCs w:val="16"/>
        </w:rPr>
        <w:t xml:space="preserve">Nie  mniej  niż  jeden  raz  na  1000  m 2   powierzchni  w  przypadku  badania  na powierzchni podłoża gruntowego nawierzchni, </w:t>
      </w:r>
    </w:p>
    <w:p w14:paraId="3B7C7E66" w14:textId="77777777" w:rsidR="00105AB9" w:rsidRPr="00021789" w:rsidRDefault="00105AB9" w:rsidP="00105AB9">
      <w:pPr>
        <w:pStyle w:val="Pro-Inwest"/>
        <w:numPr>
          <w:ilvl w:val="0"/>
          <w:numId w:val="156"/>
        </w:numPr>
        <w:jc w:val="both"/>
        <w:rPr>
          <w:rFonts w:asciiTheme="minorHAnsi" w:hAnsiTheme="minorHAnsi"/>
          <w:sz w:val="16"/>
          <w:szCs w:val="16"/>
        </w:rPr>
      </w:pPr>
      <w:r w:rsidRPr="00021789">
        <w:rPr>
          <w:rFonts w:asciiTheme="minorHAnsi" w:hAnsiTheme="minorHAnsi"/>
          <w:sz w:val="16"/>
          <w:szCs w:val="16"/>
        </w:rPr>
        <w:t xml:space="preserve">Nie mniej niż jeden raz na 2000 m 2  powierzchni w pozostałych przypadkach,  </w:t>
      </w:r>
    </w:p>
    <w:p w14:paraId="3209DA5C" w14:textId="77777777" w:rsidR="00105AB9" w:rsidRPr="00021789" w:rsidRDefault="00105AB9" w:rsidP="00105AB9">
      <w:pPr>
        <w:pStyle w:val="Pro-Inwest"/>
        <w:numPr>
          <w:ilvl w:val="0"/>
          <w:numId w:val="156"/>
        </w:numPr>
        <w:jc w:val="both"/>
        <w:rPr>
          <w:rFonts w:asciiTheme="minorHAnsi" w:hAnsiTheme="minorHAnsi"/>
          <w:sz w:val="16"/>
          <w:szCs w:val="16"/>
        </w:rPr>
      </w:pPr>
      <w:r w:rsidRPr="00021789">
        <w:rPr>
          <w:rFonts w:asciiTheme="minorHAnsi" w:hAnsiTheme="minorHAnsi"/>
          <w:sz w:val="16"/>
          <w:szCs w:val="16"/>
        </w:rPr>
        <w:t xml:space="preserve">W miejscach wskazanych przez Inżyniera/Inspektora nadzoru. </w:t>
      </w:r>
    </w:p>
    <w:p w14:paraId="3F0AC3F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6.4.7.  Za zgodą Inżyniera/Inspektora nadzoru dopuszcza się stosowanie innych metody do oceny stanu zagęszczenia i nośności wykonanych warstw, po skorelowaniu tych metod z  metodami  określonymi  w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dla  warunków  wynikających</w:t>
      </w:r>
      <w:r w:rsidRPr="00021789">
        <w:rPr>
          <w:rFonts w:asciiTheme="minorHAnsi" w:hAnsiTheme="minorHAnsi"/>
          <w:sz w:val="16"/>
          <w:szCs w:val="16"/>
        </w:rPr>
        <w:br/>
        <w:t xml:space="preserve">ze stosowanych w robotach ziemnych gruntów i materiałów  antropogenicznych. Zasady stosowania innych metod określono w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 punktach 5.11., 5.12. oraz 6.1.3. Zasady wykonania odcinka próbnego określono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D-02.03.01. „Roboty ziemne. Wykonanie nasypów”, w punkcie 5.15. </w:t>
      </w:r>
    </w:p>
    <w:p w14:paraId="1B0C3AE3" w14:textId="77777777" w:rsidR="00105AB9" w:rsidRPr="00021789" w:rsidRDefault="00105AB9" w:rsidP="00105AB9">
      <w:pPr>
        <w:pStyle w:val="Pro-Inwest"/>
        <w:jc w:val="both"/>
        <w:rPr>
          <w:rFonts w:asciiTheme="minorHAnsi" w:hAnsiTheme="minorHAnsi"/>
          <w:b/>
          <w:bCs/>
          <w:sz w:val="16"/>
          <w:szCs w:val="16"/>
        </w:rPr>
      </w:pPr>
    </w:p>
    <w:p w14:paraId="3F3BE8BD"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6.5.  Sprawdzenie wykonania ukopu, </w:t>
      </w:r>
      <w:proofErr w:type="spellStart"/>
      <w:r w:rsidRPr="00021789">
        <w:rPr>
          <w:rFonts w:asciiTheme="minorHAnsi" w:hAnsiTheme="minorHAnsi"/>
          <w:b/>
          <w:bCs/>
          <w:sz w:val="16"/>
          <w:szCs w:val="16"/>
        </w:rPr>
        <w:t>dokopu</w:t>
      </w:r>
      <w:proofErr w:type="spellEnd"/>
      <w:r w:rsidRPr="00021789">
        <w:rPr>
          <w:rFonts w:asciiTheme="minorHAnsi" w:hAnsiTheme="minorHAnsi"/>
          <w:b/>
          <w:bCs/>
          <w:sz w:val="16"/>
          <w:szCs w:val="16"/>
        </w:rPr>
        <w:t xml:space="preserve"> i odkładu </w:t>
      </w:r>
    </w:p>
    <w:p w14:paraId="785C5F1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6.5.1.  Sprawdzenie wykonania ukopu lub </w:t>
      </w:r>
      <w:proofErr w:type="spellStart"/>
      <w:r w:rsidRPr="00021789">
        <w:rPr>
          <w:rFonts w:asciiTheme="minorHAnsi" w:hAnsiTheme="minorHAnsi"/>
          <w:sz w:val="16"/>
          <w:szCs w:val="16"/>
        </w:rPr>
        <w:t>dokopu</w:t>
      </w:r>
      <w:proofErr w:type="spellEnd"/>
      <w:r w:rsidRPr="00021789">
        <w:rPr>
          <w:rFonts w:asciiTheme="minorHAnsi" w:hAnsiTheme="minorHAnsi"/>
          <w:sz w:val="16"/>
          <w:szCs w:val="16"/>
        </w:rPr>
        <w:t xml:space="preserve"> polega na skontrolowaniu zgodności robót  i  wykonanego  ukopu  lub  </w:t>
      </w:r>
      <w:proofErr w:type="spellStart"/>
      <w:r w:rsidRPr="00021789">
        <w:rPr>
          <w:rFonts w:asciiTheme="minorHAnsi" w:hAnsiTheme="minorHAnsi"/>
          <w:sz w:val="16"/>
          <w:szCs w:val="16"/>
        </w:rPr>
        <w:t>dokopu</w:t>
      </w:r>
      <w:proofErr w:type="spellEnd"/>
      <w:r w:rsidRPr="00021789">
        <w:rPr>
          <w:rFonts w:asciiTheme="minorHAnsi" w:hAnsiTheme="minorHAnsi"/>
          <w:sz w:val="16"/>
          <w:szCs w:val="16"/>
        </w:rPr>
        <w:br/>
        <w:t xml:space="preserve">z  wymaganiami  sformułowanymi  w  Dokumentacji  Projektowej i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opracowanych na podstawie niniejszych </w:t>
      </w:r>
      <w:proofErr w:type="spellStart"/>
      <w:r w:rsidRPr="00021789">
        <w:rPr>
          <w:rFonts w:asciiTheme="minorHAnsi" w:hAnsiTheme="minorHAnsi"/>
          <w:sz w:val="16"/>
          <w:szCs w:val="16"/>
        </w:rPr>
        <w:t>WWiORB</w:t>
      </w:r>
      <w:proofErr w:type="spellEnd"/>
      <w:r w:rsidRPr="00021789">
        <w:rPr>
          <w:rFonts w:asciiTheme="minorHAnsi" w:hAnsiTheme="minorHAnsi"/>
          <w:sz w:val="16"/>
          <w:szCs w:val="16"/>
        </w:rPr>
        <w:t xml:space="preserve">. W trakcie kontroli należy zwrócić szczególną uwagę na sprawdzenie: </w:t>
      </w:r>
    </w:p>
    <w:p w14:paraId="0AB8092A" w14:textId="77777777" w:rsidR="00105AB9" w:rsidRPr="00021789" w:rsidRDefault="00105AB9" w:rsidP="00105AB9">
      <w:pPr>
        <w:pStyle w:val="Pro-Inwest"/>
        <w:numPr>
          <w:ilvl w:val="0"/>
          <w:numId w:val="156"/>
        </w:numPr>
        <w:jc w:val="both"/>
        <w:rPr>
          <w:rFonts w:asciiTheme="minorHAnsi" w:hAnsiTheme="minorHAnsi"/>
          <w:sz w:val="16"/>
          <w:szCs w:val="16"/>
        </w:rPr>
      </w:pPr>
      <w:r w:rsidRPr="00021789">
        <w:rPr>
          <w:rFonts w:asciiTheme="minorHAnsi" w:hAnsiTheme="minorHAnsi"/>
          <w:sz w:val="16"/>
          <w:szCs w:val="16"/>
        </w:rPr>
        <w:t xml:space="preserve">zgodności i rodzaju gruntu z Dokumentacją Projektową, </w:t>
      </w:r>
    </w:p>
    <w:p w14:paraId="514438A5" w14:textId="77777777" w:rsidR="00105AB9" w:rsidRPr="00021789" w:rsidRDefault="00105AB9" w:rsidP="00105AB9">
      <w:pPr>
        <w:pStyle w:val="Pro-Inwest"/>
        <w:numPr>
          <w:ilvl w:val="0"/>
          <w:numId w:val="156"/>
        </w:numPr>
        <w:jc w:val="both"/>
        <w:rPr>
          <w:rFonts w:asciiTheme="minorHAnsi" w:hAnsiTheme="minorHAnsi"/>
          <w:sz w:val="16"/>
          <w:szCs w:val="16"/>
        </w:rPr>
      </w:pPr>
      <w:r w:rsidRPr="00021789">
        <w:rPr>
          <w:rFonts w:asciiTheme="minorHAnsi" w:hAnsiTheme="minorHAnsi"/>
          <w:sz w:val="16"/>
          <w:szCs w:val="16"/>
        </w:rPr>
        <w:t xml:space="preserve">zachowania kształtu zboczy, zapewniającego ich stateczność, </w:t>
      </w:r>
    </w:p>
    <w:p w14:paraId="413DE81C" w14:textId="77777777" w:rsidR="00105AB9" w:rsidRPr="00021789" w:rsidRDefault="00105AB9" w:rsidP="00105AB9">
      <w:pPr>
        <w:pStyle w:val="Pro-Inwest"/>
        <w:numPr>
          <w:ilvl w:val="0"/>
          <w:numId w:val="156"/>
        </w:numPr>
        <w:jc w:val="both"/>
        <w:rPr>
          <w:rFonts w:asciiTheme="minorHAnsi" w:hAnsiTheme="minorHAnsi"/>
          <w:sz w:val="16"/>
          <w:szCs w:val="16"/>
        </w:rPr>
      </w:pPr>
      <w:r w:rsidRPr="00021789">
        <w:rPr>
          <w:rFonts w:asciiTheme="minorHAnsi" w:hAnsiTheme="minorHAnsi"/>
          <w:sz w:val="16"/>
          <w:szCs w:val="16"/>
        </w:rPr>
        <w:t xml:space="preserve">odwodnienia, </w:t>
      </w:r>
    </w:p>
    <w:p w14:paraId="7EFE4FA9" w14:textId="77777777" w:rsidR="00105AB9" w:rsidRPr="00021789" w:rsidRDefault="00105AB9" w:rsidP="00105AB9">
      <w:pPr>
        <w:pStyle w:val="Pro-Inwest"/>
        <w:numPr>
          <w:ilvl w:val="0"/>
          <w:numId w:val="156"/>
        </w:numPr>
        <w:jc w:val="both"/>
        <w:rPr>
          <w:rFonts w:asciiTheme="minorHAnsi" w:hAnsiTheme="minorHAnsi"/>
          <w:sz w:val="16"/>
          <w:szCs w:val="16"/>
        </w:rPr>
      </w:pPr>
      <w:r w:rsidRPr="00021789">
        <w:rPr>
          <w:rFonts w:asciiTheme="minorHAnsi" w:hAnsiTheme="minorHAnsi"/>
          <w:sz w:val="16"/>
          <w:szCs w:val="16"/>
        </w:rPr>
        <w:t xml:space="preserve">zagospodarowania terenu po zakończeniu eksploatacji ukopu. </w:t>
      </w:r>
    </w:p>
    <w:p w14:paraId="7D43104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6.5.2.  Sprawdzenie wykonania odkładu polega na sprawdzeniu zgodności robót i wykonanego  odkładu z wymaganiami sformułowanymi</w:t>
      </w:r>
      <w:r w:rsidRPr="00021789">
        <w:rPr>
          <w:rFonts w:asciiTheme="minorHAnsi" w:hAnsiTheme="minorHAnsi"/>
          <w:sz w:val="16"/>
          <w:szCs w:val="16"/>
        </w:rPr>
        <w:br/>
        <w:t xml:space="preserve">w Dokumentacji Projektowej i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 trakcie kontroli należy zwrócić szczególną uwagę na sprawdzenie: </w:t>
      </w:r>
      <w:proofErr w:type="spellStart"/>
      <w:r w:rsidRPr="00021789">
        <w:rPr>
          <w:rFonts w:asciiTheme="minorHAnsi" w:hAnsiTheme="minorHAnsi"/>
          <w:sz w:val="16"/>
          <w:szCs w:val="16"/>
        </w:rPr>
        <w:t>WWiORB</w:t>
      </w:r>
      <w:proofErr w:type="spellEnd"/>
      <w:r w:rsidRPr="00021789">
        <w:rPr>
          <w:rFonts w:asciiTheme="minorHAnsi" w:hAnsiTheme="minorHAnsi"/>
          <w:sz w:val="16"/>
          <w:szCs w:val="16"/>
        </w:rPr>
        <w:t xml:space="preserve">  D-02.00.01 v04                  </w:t>
      </w:r>
    </w:p>
    <w:p w14:paraId="10D3BC93" w14:textId="77777777" w:rsidR="00105AB9" w:rsidRPr="00021789" w:rsidRDefault="00105AB9" w:rsidP="00105AB9">
      <w:pPr>
        <w:pStyle w:val="Pro-Inwest"/>
        <w:numPr>
          <w:ilvl w:val="0"/>
          <w:numId w:val="156"/>
        </w:numPr>
        <w:jc w:val="both"/>
        <w:rPr>
          <w:rFonts w:asciiTheme="minorHAnsi" w:hAnsiTheme="minorHAnsi"/>
          <w:sz w:val="16"/>
          <w:szCs w:val="16"/>
        </w:rPr>
      </w:pPr>
      <w:r w:rsidRPr="00021789">
        <w:rPr>
          <w:rFonts w:asciiTheme="minorHAnsi" w:hAnsiTheme="minorHAnsi"/>
          <w:sz w:val="16"/>
          <w:szCs w:val="16"/>
        </w:rPr>
        <w:t xml:space="preserve">prawidłowe usytuowanie i kształt geometryczny odkładu, </w:t>
      </w:r>
    </w:p>
    <w:p w14:paraId="25F60BFA" w14:textId="77777777" w:rsidR="00105AB9" w:rsidRPr="00021789" w:rsidRDefault="00105AB9" w:rsidP="00105AB9">
      <w:pPr>
        <w:pStyle w:val="Pro-Inwest"/>
        <w:numPr>
          <w:ilvl w:val="0"/>
          <w:numId w:val="156"/>
        </w:numPr>
        <w:jc w:val="both"/>
        <w:rPr>
          <w:rFonts w:asciiTheme="minorHAnsi" w:hAnsiTheme="minorHAnsi"/>
          <w:sz w:val="16"/>
          <w:szCs w:val="16"/>
        </w:rPr>
      </w:pPr>
      <w:r w:rsidRPr="00021789">
        <w:rPr>
          <w:rFonts w:asciiTheme="minorHAnsi" w:hAnsiTheme="minorHAnsi"/>
          <w:sz w:val="16"/>
          <w:szCs w:val="16"/>
        </w:rPr>
        <w:t xml:space="preserve">odpowiednie wbudowanie gruntu, </w:t>
      </w:r>
    </w:p>
    <w:p w14:paraId="6B362E9D" w14:textId="77777777" w:rsidR="00105AB9" w:rsidRPr="00021789" w:rsidRDefault="00105AB9" w:rsidP="00105AB9">
      <w:pPr>
        <w:pStyle w:val="Pro-Inwest"/>
        <w:numPr>
          <w:ilvl w:val="0"/>
          <w:numId w:val="156"/>
        </w:numPr>
        <w:jc w:val="both"/>
        <w:rPr>
          <w:rFonts w:asciiTheme="minorHAnsi" w:hAnsiTheme="minorHAnsi"/>
          <w:sz w:val="16"/>
          <w:szCs w:val="16"/>
        </w:rPr>
      </w:pPr>
      <w:r w:rsidRPr="00021789">
        <w:rPr>
          <w:rFonts w:asciiTheme="minorHAnsi" w:hAnsiTheme="minorHAnsi"/>
          <w:sz w:val="16"/>
          <w:szCs w:val="16"/>
        </w:rPr>
        <w:t xml:space="preserve">odwodnienie, </w:t>
      </w:r>
    </w:p>
    <w:p w14:paraId="18A7311A" w14:textId="77777777" w:rsidR="00105AB9" w:rsidRPr="00021789" w:rsidRDefault="00105AB9" w:rsidP="00105AB9">
      <w:pPr>
        <w:pStyle w:val="Pro-Inwest"/>
        <w:numPr>
          <w:ilvl w:val="0"/>
          <w:numId w:val="156"/>
        </w:numPr>
        <w:jc w:val="both"/>
        <w:rPr>
          <w:rFonts w:asciiTheme="minorHAnsi" w:hAnsiTheme="minorHAnsi"/>
          <w:sz w:val="16"/>
          <w:szCs w:val="16"/>
        </w:rPr>
      </w:pPr>
      <w:r w:rsidRPr="00021789">
        <w:rPr>
          <w:rFonts w:asciiTheme="minorHAnsi" w:hAnsiTheme="minorHAnsi"/>
          <w:sz w:val="16"/>
          <w:szCs w:val="16"/>
        </w:rPr>
        <w:lastRenderedPageBreak/>
        <w:t xml:space="preserve">właściwe zagospodarowanie odkładu. </w:t>
      </w:r>
    </w:p>
    <w:p w14:paraId="611373D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4250885A"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7.  OBMIAR ROBÓT </w:t>
      </w:r>
    </w:p>
    <w:p w14:paraId="268BBED6"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7.1.  Ogólne zasady obmiaru robót </w:t>
      </w:r>
    </w:p>
    <w:p w14:paraId="5A24DEE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7.1.1.  Ogólne zasady obmiaru robót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 00.00.00 "Wymagania Ogólne" punkt. 7 </w:t>
      </w:r>
    </w:p>
    <w:p w14:paraId="5388F301"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7.2.  Jednostka obmiarowa </w:t>
      </w:r>
    </w:p>
    <w:p w14:paraId="47DF3D1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7.3.1.  Jednostką obmiarową jest metr sześcienny [m 3 ] wykonanych robót ziemnych. </w:t>
      </w:r>
    </w:p>
    <w:p w14:paraId="5A375905"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 </w:t>
      </w:r>
    </w:p>
    <w:p w14:paraId="185F0177"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8.  ODBIÓR ROBÓT </w:t>
      </w:r>
    </w:p>
    <w:p w14:paraId="0FC7F43F"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8.1.  Ogólne zasady odbioru robót </w:t>
      </w:r>
    </w:p>
    <w:p w14:paraId="04F1C95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8.1.1.  Ogólne zasady odbioru robót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 00.00.00 „Wymagania Ogólne” punkt 8.  </w:t>
      </w:r>
    </w:p>
    <w:p w14:paraId="4AC5C7C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8.1.2.  Roboty ziemne uznaje się za wykonane zgodnie z Dokumentacją Projektową,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i  wymaganiami  Inżyniera/Inspektora  Nadzoru,  jeżeli  wszystkie  pomiary  i  badania  wg pkt. 5 i 6 niniejszych WWIORB dały wyniki pozytywne. </w:t>
      </w:r>
    </w:p>
    <w:p w14:paraId="208DE77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8.1.3.  Do odbioru ostatecznego uwzględniane są wyniki badań i pomiarów kontrolnych, badań i pomiarów  kontrolnych  dodatkowych  oraz  badań  i  pomiarów  arbitrażowych  do wyznaczonych odcinków częściowych. </w:t>
      </w:r>
    </w:p>
    <w:p w14:paraId="7EF5E00D"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8.2.  Odbiór robót zanikających lub ulegających zakryciu </w:t>
      </w:r>
    </w:p>
    <w:p w14:paraId="39A13D6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8.2.1.  Odbiór  tych  robót  powinien  być  zgodny  z  wymaganiami  punktu  8.2  STWIORB D-M- 00.00.00 "Wymagania Ogólne"</w:t>
      </w:r>
      <w:r w:rsidRPr="00021789">
        <w:rPr>
          <w:rFonts w:asciiTheme="minorHAnsi" w:hAnsiTheme="minorHAnsi"/>
          <w:sz w:val="16"/>
          <w:szCs w:val="16"/>
        </w:rPr>
        <w:br/>
        <w:t xml:space="preserve">oraz niniejszych STWIORB. </w:t>
      </w:r>
    </w:p>
    <w:p w14:paraId="79BE24E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8.2.2.  Gotowość  danej  części  robót  do  odbioru  zgłasza  Wykonawca  wpisem  do  Dziennika Budowy  i  jednoczesnym  powiadomieniem  Inżyniera/Inspektora  Nadzoru.  Odbiór będzie  przeprowadzony  niezwłocznie,  nie  później  jednak  niż  w  ciągu  3  dni  od  daty zgłoszenia  wpisem  do  Dziennika  Budowy  i  powiadomienia  o  tym  fakcie Inżyniera/Inspektora Nadzoru. </w:t>
      </w:r>
    </w:p>
    <w:p w14:paraId="0E99EB5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8.2.3.  Jakość  i  ilość  robót  ulegających  zakryciu  ocenia  Inżynier/Inspektor  Nadzoru  na podstawie  dokumentów  zawierających  komplet  wyników  badań  laboratoryjnych  i  w oparciu o przeprowadzone pomiary. </w:t>
      </w:r>
    </w:p>
    <w:p w14:paraId="41E6182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8.3.  Odbiór częściowy </w:t>
      </w:r>
    </w:p>
    <w:p w14:paraId="333AAA0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8.3.1.  Odbiór częściowy polega na ocenie ilości i jakości wykonanych części robót. Odbioru częściowego  robót  dokonuje  się  wg  zasad</w:t>
      </w:r>
      <w:r w:rsidRPr="00021789">
        <w:rPr>
          <w:rFonts w:asciiTheme="minorHAnsi" w:hAnsiTheme="minorHAnsi"/>
          <w:sz w:val="16"/>
          <w:szCs w:val="16"/>
        </w:rPr>
        <w:br/>
        <w:t xml:space="preserve"> jak  przy  odbiorze  ostatecznym  robót. Odbioru robót dokonuje Inżynier/Inspektor Nadzoru. </w:t>
      </w:r>
    </w:p>
    <w:p w14:paraId="6C99980C"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8.4.  Odbiór ostateczny </w:t>
      </w:r>
    </w:p>
    <w:p w14:paraId="5B6AE57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8.4.1.  Roboty  objęte  niniejszymi  WWIORB  podlegają  odbiorowi  na  zasadzie  robót zanikających  i  ulegających  zakryciu,  który  jest  dokonywany  na  podstawie  wyników pomiarów, badań i oceny wizualnej. </w:t>
      </w:r>
    </w:p>
    <w:p w14:paraId="2EF1EFA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8.4.2.  Do odbioru Wykonawca przedstawia wszystkie dokumenty z bieżącej kontroli jakości robót  oraz  Dokumentację  Projektową</w:t>
      </w:r>
      <w:r w:rsidRPr="00021789">
        <w:rPr>
          <w:rFonts w:asciiTheme="minorHAnsi" w:hAnsiTheme="minorHAnsi"/>
          <w:sz w:val="16"/>
          <w:szCs w:val="16"/>
        </w:rPr>
        <w:br/>
        <w:t xml:space="preserve">z  naniesionymi  zmianami  i  uzupełnieniami dokonanymi w trakcie robót (dokumentację powykonawczą).  </w:t>
      </w:r>
    </w:p>
    <w:p w14:paraId="1283C95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8.4.3.  Podstawą odbioru ostatecznego jest pisemne stwierdzenie przez Inspektora Nadzoru w Dzienniku Budowy zakończenia wszystkich robót związanych z niniejszymi STWIORB, a  także  spełnienie  wymagań  określonych  w  dokumentacji  projektowej  i  niniejszych Warunków Wykonania. </w:t>
      </w:r>
    </w:p>
    <w:p w14:paraId="64CECE43"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8.5.  Zasady postępowania z wadliwie wykonanymi robotami </w:t>
      </w:r>
    </w:p>
    <w:p w14:paraId="6CCBD62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8.5.1.  Jeżeli  wystąpią  wyniki  negatywne  dla  materiałów  i  robót  (nie  spełniające  wymagań określonych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i  opracowanych  na  ich  podstawie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to Inżynier/Inspektor  Nadzoru/Zamawiający  wydaje  Wykonawcy  polecenie przedstawienia programu naprawczego, chyba że na wniosek jednej ze stron kontraktu zostaną wykonane badania lub pomiary arbitrażowe (zgodnie z pkt. 6.1.5 niniejszego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a  ich  wyniki  będą  pozytywne.  Wykonawca  w  programie  tym  jest zobowiązany  dokonać  oceny  wpływu</w:t>
      </w:r>
      <w:r w:rsidRPr="00021789">
        <w:rPr>
          <w:rFonts w:asciiTheme="minorHAnsi" w:hAnsiTheme="minorHAnsi"/>
          <w:sz w:val="16"/>
          <w:szCs w:val="16"/>
        </w:rPr>
        <w:br/>
        <w:t xml:space="preserve"> na  trwałość,  przedstawić  sposób  naprawienia wady lub wnioskować o zredukowanie ceny kontraktowej. </w:t>
      </w:r>
    </w:p>
    <w:p w14:paraId="62E2782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8.5.2.  Na  zastosowanie  programu  naprawczego  wyraża  zgodę  Inżynier/Inspektor Nadzoru/Zamawiający.  </w:t>
      </w:r>
    </w:p>
    <w:p w14:paraId="2527FA4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8.5.3.  W  przypadku  braku  zgody  Inżyniera/Inspektora  Nadzoru/Zamawiającego  na zastosowanie  programu  naprawczego  wszystkie  materiały  i  roboty  nie  spełniające wymagań  podanych  w odpowiednich  punktach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zostaną  odrzucone. Wykonawca  wymieni  materiały  na  właściwe  i  wykona  prawidłowo  roboty  na  własny koszt. </w:t>
      </w:r>
    </w:p>
    <w:p w14:paraId="09B98A0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8.5.4.  Jeżeli wymiana materiałów niespełniających wymagań lub wadliwie wykonane roboty spowodowują szkodę w innych, prawidłowo wykonanych robotach, to również te roboty powinny być ponownie wykonane przez Wykonawcę na jego koszt. </w:t>
      </w:r>
    </w:p>
    <w:p w14:paraId="2DF006C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6C40E5E5"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9.  PODSTAWA PŁATNOŚCI </w:t>
      </w:r>
    </w:p>
    <w:p w14:paraId="10C067B9"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9.1.  Ogólne ustalenia dotyczące podstawy płatności </w:t>
      </w:r>
    </w:p>
    <w:p w14:paraId="4057DC7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9.1.1.  Ogólne  ustalenia  dotyczące  podstawy  płatności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  00.00.00  „Wymagania Ogólne” punkt 9. </w:t>
      </w:r>
    </w:p>
    <w:p w14:paraId="05B21DF9"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9.2.  Cena jednostki obmiarowej </w:t>
      </w:r>
    </w:p>
    <w:p w14:paraId="1D34914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9.2.1.  Zakres  czynności  objętych  ceną  jednostkową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D-02.01.01”Wykonanie  wykopów”  oraz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D-02.03.01  „Wykonanie  nasypów” punkt 9. </w:t>
      </w:r>
    </w:p>
    <w:p w14:paraId="04B6370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5D68A52F"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10.  PRZEPISY ZWIĄZANE </w:t>
      </w:r>
    </w:p>
    <w:p w14:paraId="1295E008"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10.1.  Normy </w:t>
      </w:r>
    </w:p>
    <w:p w14:paraId="1AC0523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L.p.  Nr normy  Tytuł normy </w:t>
      </w:r>
    </w:p>
    <w:p w14:paraId="5F1F1AD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  PN-EN ISO 14688-1  Badania geotechniczne. Oznaczanie i klasyfikowanie gruntów. Część 1: Oznaczanie i opis. </w:t>
      </w:r>
    </w:p>
    <w:p w14:paraId="4755848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  PN-EN ISO 14688-2  Badania geotechniczne. Oznaczanie i klasyfikowanie gruntów. Część 2: Zasady klasyfikowania. </w:t>
      </w:r>
    </w:p>
    <w:p w14:paraId="36CAAB8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  PN-EN ISO 14689-2  Rozpoznanie i badania geotechniczne. Oznaczenie opis i klasyfikacja skał. </w:t>
      </w:r>
    </w:p>
    <w:p w14:paraId="18241F0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4  PN-EN ISO 17892-1  Rozpoznanie i badania geotechniczne. Badania laboratoryjne gruntów. Część 1: Oznaczanie wilgotności naturalnej. </w:t>
      </w:r>
    </w:p>
    <w:p w14:paraId="3CC660F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  PN-EN ISO 17892-4  Rozpoznanie i badania geotechniczne. Badania laboratoryjne gruntów. Część 4: Badanie uziarnienia gruntów. </w:t>
      </w:r>
    </w:p>
    <w:p w14:paraId="2182203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lastRenderedPageBreak/>
        <w:t>6  PN-EN ISO 17892-1  Rozpoznanie i badania geotechniczne. Badania laboratoryjne gruntów. Część 11: Badanie filtracji przy stałym</w:t>
      </w:r>
      <w:r w:rsidRPr="00021789">
        <w:rPr>
          <w:rFonts w:asciiTheme="minorHAnsi" w:hAnsiTheme="minorHAnsi"/>
          <w:sz w:val="16"/>
          <w:szCs w:val="16"/>
        </w:rPr>
        <w:br/>
        <w:t xml:space="preserve">i zmiennym gradiencie hydraulicznym. </w:t>
      </w:r>
    </w:p>
    <w:p w14:paraId="181AEB4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7  PN-EN ISO 17892-12  Rozpoznanie i badania geotechniczne. Badania laboratoryjne gruntów. Część 12: Oznaczanie granic </w:t>
      </w:r>
      <w:proofErr w:type="spellStart"/>
      <w:r w:rsidRPr="00021789">
        <w:rPr>
          <w:rFonts w:asciiTheme="minorHAnsi" w:hAnsiTheme="minorHAnsi"/>
          <w:sz w:val="16"/>
          <w:szCs w:val="16"/>
        </w:rPr>
        <w:t>Atterberga</w:t>
      </w:r>
      <w:proofErr w:type="spellEnd"/>
      <w:r w:rsidRPr="00021789">
        <w:rPr>
          <w:rFonts w:asciiTheme="minorHAnsi" w:hAnsiTheme="minorHAnsi"/>
          <w:sz w:val="16"/>
          <w:szCs w:val="16"/>
        </w:rPr>
        <w:t xml:space="preserve">. </w:t>
      </w:r>
    </w:p>
    <w:p w14:paraId="5BC18C1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8  PN-B-04481:1988  Grunty budowlane. Badania próbek gruntów </w:t>
      </w:r>
    </w:p>
    <w:p w14:paraId="2B2915A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9  BN-77/8931-12  Oznaczenie wskaźnika zagęszczenia gruntu </w:t>
      </w:r>
    </w:p>
    <w:p w14:paraId="62301E0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10  PN-S-02205:1998  Drogi samochodowe. Roboty ziemne. Wymagania i badania. </w:t>
      </w:r>
    </w:p>
    <w:p w14:paraId="6AFBD5A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11  BN-64/8931-01  Drogi samochodowe. Oznaczenie wskaźnika piaskowego </w:t>
      </w:r>
    </w:p>
    <w:p w14:paraId="5A3FE72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12  PN-60/B-04493  Oznaczenie kapilarności biernej. </w:t>
      </w:r>
    </w:p>
    <w:p w14:paraId="609345F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13  PN-55/B04492  Grunty budowlane. Badania właściwości fizycznych. Oznaczenie wskaźnika wodoprzepuszczalności. </w:t>
      </w:r>
    </w:p>
    <w:p w14:paraId="0CEEFDA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14  PN-EN-13285  Mieszanki niezwiązane. Wymagania. </w:t>
      </w:r>
    </w:p>
    <w:p w14:paraId="4786A87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15  PN-EN 933-1  Badania geometrycznych właściwości kruszyw. Część 1: Oznaczanie składu ziarnowego. Metoda przesiewania. </w:t>
      </w:r>
    </w:p>
    <w:p w14:paraId="13FAD10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16  PN-EN 933-8  Badania geometrycznych właściwości kruszyw. Część 8: Ocena zawartości drobnych cząstek. Badanie wskaźnika </w:t>
      </w:r>
    </w:p>
    <w:p w14:paraId="1831B88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piaskowego. </w:t>
      </w:r>
    </w:p>
    <w:p w14:paraId="4682169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17  PN-EN 1097-5  Badanie mechanicznych i fizycznych właściwości kruszyw. Część 5: Oznaczenie zawartości wody przez suszenie w </w:t>
      </w:r>
    </w:p>
    <w:p w14:paraId="07A8C9F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suszarce z wentylacją. </w:t>
      </w:r>
    </w:p>
    <w:p w14:paraId="7158C3E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18  PN-EN 13286-2  Mieszanki niezwiązane i związane hydraulicznie. Część 2: Metody  badań laboratoryjnych gęstości na sucho i zawartości wody. Zagęszczanie metodą </w:t>
      </w:r>
      <w:proofErr w:type="spellStart"/>
      <w:r w:rsidRPr="00021789">
        <w:rPr>
          <w:rFonts w:asciiTheme="minorHAnsi" w:hAnsiTheme="minorHAnsi"/>
          <w:sz w:val="16"/>
          <w:szCs w:val="16"/>
        </w:rPr>
        <w:t>Proctora</w:t>
      </w:r>
      <w:proofErr w:type="spellEnd"/>
      <w:r w:rsidRPr="00021789">
        <w:rPr>
          <w:rFonts w:asciiTheme="minorHAnsi" w:hAnsiTheme="minorHAnsi"/>
          <w:sz w:val="16"/>
          <w:szCs w:val="16"/>
        </w:rPr>
        <w:t xml:space="preserve">. </w:t>
      </w:r>
    </w:p>
    <w:p w14:paraId="7561219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19  PN-EN 13286-47  Mieszanki niezwiązane i związane hydraulicznie. Część 47: Metoda badania do określenia kalifornijskiego wskaźnika </w:t>
      </w:r>
    </w:p>
    <w:p w14:paraId="2A530E4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nośności, natychmiastowego wskaźnika nośności i pęcznienia liniowego </w:t>
      </w:r>
    </w:p>
    <w:p w14:paraId="4F58757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20  PN-EN-14227-10  Mieszanki związane spoiwem hydraulicznym. Specyfikacja.  Cześć 10. Grunty stabilizowane cementem. </w:t>
      </w:r>
    </w:p>
    <w:p w14:paraId="0F9F39B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21  PN-EN-14227-11  Mieszanki związane spoiwem hydraulicznym. Specyfikacja.  Cześć 11. Grunty stabilizowane wapnem </w:t>
      </w:r>
    </w:p>
    <w:p w14:paraId="6A76C38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22  PN-EN-14227-12  Mieszanki związane spoiwem hydraulicznym. Specyfikacja.  Cześć 12. Grunty stabilizowane żużlem </w:t>
      </w:r>
    </w:p>
    <w:p w14:paraId="6937F0E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23  PN-EN-14227-13  Mieszanki związane spoiwem hydraulicznym. Specyfikacja. Cześć 13. Grunty stabilizowane hydraulicznym spoiwem </w:t>
      </w:r>
    </w:p>
    <w:p w14:paraId="2221A61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drogowym. </w:t>
      </w:r>
    </w:p>
    <w:p w14:paraId="7FEE51F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24  PN-EN-14227-14  Mieszanki związane spoiwem hydraulicznym. Specyfikacja. Cześć 14. Grunty stabilizowane popiołami lotnymi </w:t>
      </w:r>
    </w:p>
    <w:p w14:paraId="74CC649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25  PN-EN ISO 10318-1  </w:t>
      </w:r>
      <w:proofErr w:type="spellStart"/>
      <w:r w:rsidRPr="00021789">
        <w:rPr>
          <w:rFonts w:asciiTheme="minorHAnsi" w:hAnsiTheme="minorHAnsi"/>
          <w:sz w:val="16"/>
          <w:szCs w:val="16"/>
        </w:rPr>
        <w:t>Geosyntetyki</w:t>
      </w:r>
      <w:proofErr w:type="spellEnd"/>
      <w:r w:rsidRPr="00021789">
        <w:rPr>
          <w:rFonts w:asciiTheme="minorHAnsi" w:hAnsiTheme="minorHAnsi"/>
          <w:sz w:val="16"/>
          <w:szCs w:val="16"/>
        </w:rPr>
        <w:t xml:space="preserve">. Część 1: Terminy i definicje. </w:t>
      </w:r>
    </w:p>
    <w:p w14:paraId="603C2E0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26  PN-EN ISO 13251  </w:t>
      </w:r>
      <w:proofErr w:type="spellStart"/>
      <w:r w:rsidRPr="00021789">
        <w:rPr>
          <w:rFonts w:asciiTheme="minorHAnsi" w:hAnsiTheme="minorHAnsi"/>
          <w:sz w:val="16"/>
          <w:szCs w:val="16"/>
        </w:rPr>
        <w:t>Geotekstylia</w:t>
      </w:r>
      <w:proofErr w:type="spellEnd"/>
      <w:r w:rsidRPr="00021789">
        <w:rPr>
          <w:rFonts w:asciiTheme="minorHAnsi" w:hAnsiTheme="minorHAnsi"/>
          <w:sz w:val="16"/>
          <w:szCs w:val="16"/>
        </w:rPr>
        <w:t xml:space="preserve"> i wyroby pokrewne. Właściwości wymagane w odniesieniu do wyrobów stosowanych w robotach ziemnych, fundamentowaniu i konstrukcjach oporowych. </w:t>
      </w:r>
    </w:p>
    <w:p w14:paraId="7FBDAFE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27  PN-EN 1997-1  </w:t>
      </w:r>
      <w:proofErr w:type="spellStart"/>
      <w:r w:rsidRPr="00021789">
        <w:rPr>
          <w:rFonts w:asciiTheme="minorHAnsi" w:hAnsiTheme="minorHAnsi"/>
          <w:sz w:val="16"/>
          <w:szCs w:val="16"/>
        </w:rPr>
        <w:t>Eurokod</w:t>
      </w:r>
      <w:proofErr w:type="spellEnd"/>
      <w:r w:rsidRPr="00021789">
        <w:rPr>
          <w:rFonts w:asciiTheme="minorHAnsi" w:hAnsiTheme="minorHAnsi"/>
          <w:sz w:val="16"/>
          <w:szCs w:val="16"/>
        </w:rPr>
        <w:t xml:space="preserve"> 7. Projektowanie geotechniczne . Część 1: Zasady ogólne. </w:t>
      </w:r>
    </w:p>
    <w:p w14:paraId="2B12456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28  PN-EN 1997-2  </w:t>
      </w:r>
      <w:proofErr w:type="spellStart"/>
      <w:r w:rsidRPr="00021789">
        <w:rPr>
          <w:rFonts w:asciiTheme="minorHAnsi" w:hAnsiTheme="minorHAnsi"/>
          <w:sz w:val="16"/>
          <w:szCs w:val="16"/>
        </w:rPr>
        <w:t>Eurokod</w:t>
      </w:r>
      <w:proofErr w:type="spellEnd"/>
      <w:r w:rsidRPr="00021789">
        <w:rPr>
          <w:rFonts w:asciiTheme="minorHAnsi" w:hAnsiTheme="minorHAnsi"/>
          <w:sz w:val="16"/>
          <w:szCs w:val="16"/>
        </w:rPr>
        <w:t xml:space="preserve"> 7. Projektowanie geotechniczne . Część 2: Rozpoznanie i badanie podłoża gruntowego. </w:t>
      </w:r>
    </w:p>
    <w:p w14:paraId="76FE410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29  PN-EN 1744-1  Badania chemicznych właściwości kruszyw .Analiza chemiczna </w:t>
      </w:r>
    </w:p>
    <w:p w14:paraId="1311D95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2ECB2416"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10.2.  Inne dokumenty </w:t>
      </w:r>
    </w:p>
    <w:p w14:paraId="42343F2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L.p.  Tytuł  </w:t>
      </w:r>
    </w:p>
    <w:p w14:paraId="696788D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1  ZTV E-</w:t>
      </w:r>
      <w:proofErr w:type="spellStart"/>
      <w:r w:rsidRPr="00021789">
        <w:rPr>
          <w:rFonts w:asciiTheme="minorHAnsi" w:hAnsiTheme="minorHAnsi"/>
          <w:sz w:val="16"/>
          <w:szCs w:val="16"/>
        </w:rPr>
        <w:t>StB</w:t>
      </w:r>
      <w:proofErr w:type="spellEnd"/>
      <w:r w:rsidRPr="00021789">
        <w:rPr>
          <w:rFonts w:asciiTheme="minorHAnsi" w:hAnsiTheme="minorHAnsi"/>
          <w:sz w:val="16"/>
          <w:szCs w:val="16"/>
        </w:rPr>
        <w:t xml:space="preserve"> </w:t>
      </w:r>
      <w:proofErr w:type="spellStart"/>
      <w:r w:rsidRPr="00021789">
        <w:rPr>
          <w:rFonts w:asciiTheme="minorHAnsi" w:hAnsiTheme="minorHAnsi"/>
          <w:sz w:val="16"/>
          <w:szCs w:val="16"/>
        </w:rPr>
        <w:t>Zusätzliche</w:t>
      </w:r>
      <w:proofErr w:type="spellEnd"/>
      <w:r w:rsidRPr="00021789">
        <w:rPr>
          <w:rFonts w:asciiTheme="minorHAnsi" w:hAnsiTheme="minorHAnsi"/>
          <w:sz w:val="16"/>
          <w:szCs w:val="16"/>
        </w:rPr>
        <w:t xml:space="preserve"> </w:t>
      </w:r>
      <w:proofErr w:type="spellStart"/>
      <w:r w:rsidRPr="00021789">
        <w:rPr>
          <w:rFonts w:asciiTheme="minorHAnsi" w:hAnsiTheme="minorHAnsi"/>
          <w:sz w:val="16"/>
          <w:szCs w:val="16"/>
        </w:rPr>
        <w:t>Technische</w:t>
      </w:r>
      <w:proofErr w:type="spellEnd"/>
      <w:r w:rsidRPr="00021789">
        <w:rPr>
          <w:rFonts w:asciiTheme="minorHAnsi" w:hAnsiTheme="minorHAnsi"/>
          <w:sz w:val="16"/>
          <w:szCs w:val="16"/>
        </w:rPr>
        <w:t xml:space="preserve"> </w:t>
      </w:r>
      <w:proofErr w:type="spellStart"/>
      <w:r w:rsidRPr="00021789">
        <w:rPr>
          <w:rFonts w:asciiTheme="minorHAnsi" w:hAnsiTheme="minorHAnsi"/>
          <w:sz w:val="16"/>
          <w:szCs w:val="16"/>
        </w:rPr>
        <w:t>Vertragsbedingungen</w:t>
      </w:r>
      <w:proofErr w:type="spellEnd"/>
      <w:r w:rsidRPr="00021789">
        <w:rPr>
          <w:rFonts w:asciiTheme="minorHAnsi" w:hAnsiTheme="minorHAnsi"/>
          <w:sz w:val="16"/>
          <w:szCs w:val="16"/>
        </w:rPr>
        <w:t xml:space="preserve"> </w:t>
      </w:r>
      <w:proofErr w:type="spellStart"/>
      <w:r w:rsidRPr="00021789">
        <w:rPr>
          <w:rFonts w:asciiTheme="minorHAnsi" w:hAnsiTheme="minorHAnsi"/>
          <w:sz w:val="16"/>
          <w:szCs w:val="16"/>
        </w:rPr>
        <w:t>und</w:t>
      </w:r>
      <w:proofErr w:type="spellEnd"/>
      <w:r w:rsidRPr="00021789">
        <w:rPr>
          <w:rFonts w:asciiTheme="minorHAnsi" w:hAnsiTheme="minorHAnsi"/>
          <w:sz w:val="16"/>
          <w:szCs w:val="16"/>
        </w:rPr>
        <w:t xml:space="preserve"> </w:t>
      </w:r>
      <w:proofErr w:type="spellStart"/>
      <w:r w:rsidRPr="00021789">
        <w:rPr>
          <w:rFonts w:asciiTheme="minorHAnsi" w:hAnsiTheme="minorHAnsi"/>
          <w:sz w:val="16"/>
          <w:szCs w:val="16"/>
        </w:rPr>
        <w:t>Richtlinien</w:t>
      </w:r>
      <w:proofErr w:type="spellEnd"/>
      <w:r w:rsidRPr="00021789">
        <w:rPr>
          <w:rFonts w:asciiTheme="minorHAnsi" w:hAnsiTheme="minorHAnsi"/>
          <w:sz w:val="16"/>
          <w:szCs w:val="16"/>
        </w:rPr>
        <w:t xml:space="preserve"> </w:t>
      </w:r>
      <w:proofErr w:type="spellStart"/>
      <w:r w:rsidRPr="00021789">
        <w:rPr>
          <w:rFonts w:asciiTheme="minorHAnsi" w:hAnsiTheme="minorHAnsi"/>
          <w:sz w:val="16"/>
          <w:szCs w:val="16"/>
        </w:rPr>
        <w:t>für</w:t>
      </w:r>
      <w:proofErr w:type="spellEnd"/>
      <w:r w:rsidRPr="00021789">
        <w:rPr>
          <w:rFonts w:asciiTheme="minorHAnsi" w:hAnsiTheme="minorHAnsi"/>
          <w:sz w:val="16"/>
          <w:szCs w:val="16"/>
        </w:rPr>
        <w:t xml:space="preserve"> </w:t>
      </w:r>
      <w:proofErr w:type="spellStart"/>
      <w:r w:rsidRPr="00021789">
        <w:rPr>
          <w:rFonts w:asciiTheme="minorHAnsi" w:hAnsiTheme="minorHAnsi"/>
          <w:sz w:val="16"/>
          <w:szCs w:val="16"/>
        </w:rPr>
        <w:t>Erdarbeiten</w:t>
      </w:r>
      <w:proofErr w:type="spellEnd"/>
      <w:r w:rsidRPr="00021789">
        <w:rPr>
          <w:rFonts w:asciiTheme="minorHAnsi" w:hAnsiTheme="minorHAnsi"/>
          <w:sz w:val="16"/>
          <w:szCs w:val="16"/>
        </w:rPr>
        <w:t xml:space="preserve"> im </w:t>
      </w:r>
      <w:proofErr w:type="spellStart"/>
      <w:r w:rsidRPr="00021789">
        <w:rPr>
          <w:rFonts w:asciiTheme="minorHAnsi" w:hAnsiTheme="minorHAnsi"/>
          <w:sz w:val="16"/>
          <w:szCs w:val="16"/>
        </w:rPr>
        <w:t>Straßenbau</w:t>
      </w:r>
      <w:proofErr w:type="spellEnd"/>
      <w:r w:rsidRPr="00021789">
        <w:rPr>
          <w:rFonts w:asciiTheme="minorHAnsi" w:hAnsiTheme="minorHAnsi"/>
          <w:sz w:val="16"/>
          <w:szCs w:val="16"/>
        </w:rPr>
        <w:t xml:space="preserve">. Wydanie 2017. </w:t>
      </w:r>
    </w:p>
    <w:p w14:paraId="43FA945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  Wytyczne  wykonywania  badań  podłoża  gruntowego  na  potrzeby  budownictwa drogowego. Załącznik do zarządzenia nr 22 Generalnego Dyrektora Dróg Krajowych i Autostrad z dnia 27.06.2019 r., </w:t>
      </w:r>
    </w:p>
    <w:p w14:paraId="7F1A032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  Instrukcja  badań  podłoża  gruntowego  budowli  drogowych  i  mostowych,  </w:t>
      </w:r>
      <w:proofErr w:type="spellStart"/>
      <w:r w:rsidRPr="00021789">
        <w:rPr>
          <w:rFonts w:asciiTheme="minorHAnsi" w:hAnsiTheme="minorHAnsi"/>
          <w:sz w:val="16"/>
          <w:szCs w:val="16"/>
        </w:rPr>
        <w:t>IBDiM</w:t>
      </w:r>
      <w:proofErr w:type="spellEnd"/>
      <w:r w:rsidRPr="00021789">
        <w:rPr>
          <w:rFonts w:asciiTheme="minorHAnsi" w:hAnsiTheme="minorHAnsi"/>
          <w:sz w:val="16"/>
          <w:szCs w:val="16"/>
        </w:rPr>
        <w:t xml:space="preserve">, Warszawa, 1998. </w:t>
      </w:r>
    </w:p>
    <w:p w14:paraId="23F7F3C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4  Wytyczne  wzmacniania  podłoża  gruntowego  w  budownictwie  drogowym,  </w:t>
      </w:r>
      <w:proofErr w:type="spellStart"/>
      <w:r w:rsidRPr="00021789">
        <w:rPr>
          <w:rFonts w:asciiTheme="minorHAnsi" w:hAnsiTheme="minorHAnsi"/>
          <w:sz w:val="16"/>
          <w:szCs w:val="16"/>
        </w:rPr>
        <w:t>IBDiM</w:t>
      </w:r>
      <w:proofErr w:type="spellEnd"/>
      <w:r w:rsidRPr="00021789">
        <w:rPr>
          <w:rFonts w:asciiTheme="minorHAnsi" w:hAnsiTheme="minorHAnsi"/>
          <w:sz w:val="16"/>
          <w:szCs w:val="16"/>
        </w:rPr>
        <w:t xml:space="preserve">, Warszawa 2002. </w:t>
      </w:r>
    </w:p>
    <w:p w14:paraId="7A5079B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5  Katalog typowych konstrukcji nawierzchni sztywnych. Załącznik do zarządzenia Nr 30 Generalnego Dyrektora Dróg Krajowych i Autostrad z dnia 16.06.2014 r. </w:t>
      </w:r>
    </w:p>
    <w:p w14:paraId="7C59C8C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6  Katalog  typowych  konstrukcji  nawierzchni  podatnych  i  półsztywnych.  Załącznik  do zarządzenia  Nr  31  Generalnego  Dyrektora  Dróg  Krajowych  i  Autostrad  z  dnia 16.06.2014 r. </w:t>
      </w:r>
    </w:p>
    <w:p w14:paraId="1B77705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7  Rozporządzenie  Ministra  Transportu,  Budownictwa  i  Gospodarki  Morskiej  z  dnia  25 kwietnia  2012  r.  w  sprawie  ustalania  geotechnicznych  warunków  </w:t>
      </w:r>
      <w:proofErr w:type="spellStart"/>
      <w:r w:rsidRPr="00021789">
        <w:rPr>
          <w:rFonts w:asciiTheme="minorHAnsi" w:hAnsiTheme="minorHAnsi"/>
          <w:sz w:val="16"/>
          <w:szCs w:val="16"/>
        </w:rPr>
        <w:t>posadawiania</w:t>
      </w:r>
      <w:proofErr w:type="spellEnd"/>
      <w:r w:rsidRPr="00021789">
        <w:rPr>
          <w:rFonts w:asciiTheme="minorHAnsi" w:hAnsiTheme="minorHAnsi"/>
          <w:sz w:val="16"/>
          <w:szCs w:val="16"/>
        </w:rPr>
        <w:t xml:space="preserve"> obiektów budowlanych. </w:t>
      </w:r>
    </w:p>
    <w:p w14:paraId="501DF74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28A321D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155571BF" w14:textId="77777777" w:rsidR="00105AB9" w:rsidRPr="00021789" w:rsidRDefault="00105AB9" w:rsidP="00105AB9">
      <w:pPr>
        <w:pStyle w:val="Pro-Inwest"/>
        <w:jc w:val="both"/>
        <w:rPr>
          <w:rFonts w:asciiTheme="minorHAnsi" w:hAnsiTheme="minorHAnsi"/>
          <w:sz w:val="16"/>
          <w:szCs w:val="16"/>
        </w:rPr>
      </w:pPr>
    </w:p>
    <w:p w14:paraId="565C2E67" w14:textId="77777777" w:rsidR="002B232E" w:rsidRPr="00021789" w:rsidRDefault="002B232E" w:rsidP="00105AB9">
      <w:pPr>
        <w:pStyle w:val="Pro-Inwest"/>
        <w:jc w:val="both"/>
        <w:rPr>
          <w:rFonts w:asciiTheme="minorHAnsi" w:hAnsiTheme="minorHAnsi"/>
          <w:sz w:val="16"/>
          <w:szCs w:val="16"/>
        </w:rPr>
      </w:pPr>
    </w:p>
    <w:p w14:paraId="58FBD0F2" w14:textId="77777777" w:rsidR="002B232E" w:rsidRPr="00021789" w:rsidRDefault="002B232E" w:rsidP="00105AB9">
      <w:pPr>
        <w:pStyle w:val="Pro-Inwest"/>
        <w:jc w:val="both"/>
        <w:rPr>
          <w:rFonts w:asciiTheme="minorHAnsi" w:hAnsiTheme="minorHAnsi"/>
          <w:sz w:val="16"/>
          <w:szCs w:val="16"/>
        </w:rPr>
      </w:pPr>
    </w:p>
    <w:p w14:paraId="3CA3F624" w14:textId="77777777" w:rsidR="002B232E" w:rsidRPr="00021789" w:rsidRDefault="002B232E" w:rsidP="00105AB9">
      <w:pPr>
        <w:pStyle w:val="Pro-Inwest"/>
        <w:jc w:val="both"/>
        <w:rPr>
          <w:rFonts w:asciiTheme="minorHAnsi" w:hAnsiTheme="minorHAnsi"/>
          <w:sz w:val="16"/>
          <w:szCs w:val="16"/>
        </w:rPr>
      </w:pPr>
    </w:p>
    <w:p w14:paraId="5636F962" w14:textId="77777777" w:rsidR="002B232E" w:rsidRPr="00021789" w:rsidRDefault="002B232E" w:rsidP="00105AB9">
      <w:pPr>
        <w:pStyle w:val="Pro-Inwest"/>
        <w:jc w:val="both"/>
        <w:rPr>
          <w:rFonts w:asciiTheme="minorHAnsi" w:hAnsiTheme="minorHAnsi"/>
          <w:sz w:val="16"/>
          <w:szCs w:val="16"/>
        </w:rPr>
      </w:pPr>
    </w:p>
    <w:p w14:paraId="1975BB16" w14:textId="77777777" w:rsidR="002B232E" w:rsidRPr="00021789" w:rsidRDefault="002B232E" w:rsidP="00105AB9">
      <w:pPr>
        <w:pStyle w:val="Pro-Inwest"/>
        <w:jc w:val="both"/>
        <w:rPr>
          <w:rFonts w:asciiTheme="minorHAnsi" w:hAnsiTheme="minorHAnsi"/>
          <w:sz w:val="16"/>
          <w:szCs w:val="16"/>
        </w:rPr>
      </w:pPr>
    </w:p>
    <w:p w14:paraId="3F1EAE0E" w14:textId="77777777" w:rsidR="002B232E" w:rsidRPr="00021789" w:rsidRDefault="002B232E" w:rsidP="00105AB9">
      <w:pPr>
        <w:pStyle w:val="Pro-Inwest"/>
        <w:jc w:val="both"/>
        <w:rPr>
          <w:rFonts w:asciiTheme="minorHAnsi" w:hAnsiTheme="minorHAnsi"/>
          <w:sz w:val="16"/>
          <w:szCs w:val="16"/>
        </w:rPr>
      </w:pPr>
    </w:p>
    <w:p w14:paraId="31390533" w14:textId="77777777" w:rsidR="002B232E" w:rsidRPr="00021789" w:rsidRDefault="002B232E" w:rsidP="00105AB9">
      <w:pPr>
        <w:pStyle w:val="Pro-Inwest"/>
        <w:jc w:val="both"/>
        <w:rPr>
          <w:rFonts w:asciiTheme="minorHAnsi" w:hAnsiTheme="minorHAnsi"/>
          <w:sz w:val="16"/>
          <w:szCs w:val="16"/>
        </w:rPr>
      </w:pPr>
    </w:p>
    <w:p w14:paraId="7349B6C0" w14:textId="77777777" w:rsidR="002B232E" w:rsidRPr="00021789" w:rsidRDefault="002B232E" w:rsidP="00105AB9">
      <w:pPr>
        <w:pStyle w:val="Pro-Inwest"/>
        <w:jc w:val="both"/>
        <w:rPr>
          <w:rFonts w:asciiTheme="minorHAnsi" w:hAnsiTheme="minorHAnsi"/>
          <w:sz w:val="16"/>
          <w:szCs w:val="16"/>
        </w:rPr>
      </w:pPr>
    </w:p>
    <w:p w14:paraId="67F94C74" w14:textId="77777777" w:rsidR="002B232E" w:rsidRPr="00021789" w:rsidRDefault="002B232E" w:rsidP="00105AB9">
      <w:pPr>
        <w:pStyle w:val="Pro-Inwest"/>
        <w:jc w:val="both"/>
        <w:rPr>
          <w:rFonts w:asciiTheme="minorHAnsi" w:hAnsiTheme="minorHAnsi"/>
          <w:sz w:val="16"/>
          <w:szCs w:val="16"/>
        </w:rPr>
      </w:pPr>
    </w:p>
    <w:p w14:paraId="5840ED67" w14:textId="77777777" w:rsidR="002B232E" w:rsidRPr="00021789" w:rsidRDefault="002B232E" w:rsidP="00105AB9">
      <w:pPr>
        <w:pStyle w:val="Pro-Inwest"/>
        <w:jc w:val="both"/>
        <w:rPr>
          <w:rFonts w:asciiTheme="minorHAnsi" w:hAnsiTheme="minorHAnsi"/>
          <w:sz w:val="16"/>
          <w:szCs w:val="16"/>
        </w:rPr>
      </w:pPr>
    </w:p>
    <w:p w14:paraId="3631781D" w14:textId="77777777" w:rsidR="002B232E" w:rsidRPr="00021789" w:rsidRDefault="002B232E" w:rsidP="00105AB9">
      <w:pPr>
        <w:pStyle w:val="Pro-Inwest"/>
        <w:jc w:val="both"/>
        <w:rPr>
          <w:rFonts w:asciiTheme="minorHAnsi" w:hAnsiTheme="minorHAnsi"/>
          <w:sz w:val="16"/>
          <w:szCs w:val="16"/>
        </w:rPr>
      </w:pPr>
    </w:p>
    <w:p w14:paraId="14F9BBCC" w14:textId="77777777" w:rsidR="002B232E" w:rsidRPr="00021789" w:rsidRDefault="002B232E" w:rsidP="00105AB9">
      <w:pPr>
        <w:pStyle w:val="Pro-Inwest"/>
        <w:jc w:val="both"/>
        <w:rPr>
          <w:rFonts w:asciiTheme="minorHAnsi" w:hAnsiTheme="minorHAnsi"/>
          <w:sz w:val="16"/>
          <w:szCs w:val="16"/>
        </w:rPr>
      </w:pPr>
    </w:p>
    <w:p w14:paraId="41CEF514" w14:textId="77777777" w:rsidR="002B232E" w:rsidRPr="00021789" w:rsidRDefault="002B232E" w:rsidP="00105AB9">
      <w:pPr>
        <w:pStyle w:val="Pro-Inwest"/>
        <w:jc w:val="both"/>
        <w:rPr>
          <w:rFonts w:asciiTheme="minorHAnsi" w:hAnsiTheme="minorHAnsi"/>
          <w:sz w:val="16"/>
          <w:szCs w:val="16"/>
        </w:rPr>
      </w:pPr>
    </w:p>
    <w:p w14:paraId="0BCF8AD4" w14:textId="77777777" w:rsidR="002B232E" w:rsidRPr="00021789" w:rsidRDefault="002B232E" w:rsidP="00105AB9">
      <w:pPr>
        <w:pStyle w:val="Pro-Inwest"/>
        <w:jc w:val="both"/>
        <w:rPr>
          <w:rFonts w:asciiTheme="minorHAnsi" w:hAnsiTheme="minorHAnsi"/>
          <w:sz w:val="16"/>
          <w:szCs w:val="16"/>
        </w:rPr>
      </w:pPr>
    </w:p>
    <w:p w14:paraId="09F97AEA" w14:textId="77777777" w:rsidR="00105AB9" w:rsidRPr="00021789" w:rsidRDefault="00105AB9" w:rsidP="00105AB9">
      <w:pPr>
        <w:pStyle w:val="Pro-Inwest"/>
        <w:jc w:val="both"/>
        <w:rPr>
          <w:rFonts w:asciiTheme="minorHAnsi" w:hAnsiTheme="minorHAnsi"/>
          <w:sz w:val="16"/>
          <w:szCs w:val="16"/>
        </w:rPr>
      </w:pPr>
    </w:p>
    <w:p w14:paraId="42ED2445"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lastRenderedPageBreak/>
        <w:t xml:space="preserve">ZAŁĄCZNIK 1 </w:t>
      </w:r>
    </w:p>
    <w:p w14:paraId="1E954CE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60B4DC1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Z1.A. Wymagany wskaźnik zagęszczania w nasypach i w wykopach. </w:t>
      </w:r>
    </w:p>
    <w:p w14:paraId="156D315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190A59D5"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6129C3B8" wp14:editId="1A464A47">
            <wp:extent cx="4649107" cy="3072409"/>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63987" cy="3082243"/>
                    </a:xfrm>
                    <a:prstGeom prst="rect">
                      <a:avLst/>
                    </a:prstGeom>
                    <a:noFill/>
                    <a:ln>
                      <a:noFill/>
                    </a:ln>
                  </pic:spPr>
                </pic:pic>
              </a:graphicData>
            </a:graphic>
          </wp:inline>
        </w:drawing>
      </w:r>
    </w:p>
    <w:p w14:paraId="3D24EC96"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Z1.B. Nośność  </w:t>
      </w:r>
    </w:p>
    <w:p w14:paraId="4C9516C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1.  Podane schematy uwzględniają typowe rozwiązania występujące w </w:t>
      </w:r>
      <w:proofErr w:type="spellStart"/>
      <w:r w:rsidRPr="00021789">
        <w:rPr>
          <w:rFonts w:asciiTheme="minorHAnsi" w:hAnsiTheme="minorHAnsi"/>
          <w:sz w:val="16"/>
          <w:szCs w:val="16"/>
        </w:rPr>
        <w:t>KTKNPiP</w:t>
      </w:r>
      <w:proofErr w:type="spellEnd"/>
      <w:r w:rsidRPr="00021789">
        <w:rPr>
          <w:rFonts w:asciiTheme="minorHAnsi" w:hAnsiTheme="minorHAnsi"/>
          <w:sz w:val="16"/>
          <w:szCs w:val="16"/>
        </w:rPr>
        <w:t xml:space="preserve"> oraz w KTKNS. </w:t>
      </w:r>
    </w:p>
    <w:p w14:paraId="0E97936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  W  przypadku  rozwiązań  indywidualnych  wymagania  dla  nośności  należy  określić  w Dokumentacji Technicznej. </w:t>
      </w:r>
    </w:p>
    <w:p w14:paraId="67FFB33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3.  Oznaczenia: </w:t>
      </w:r>
    </w:p>
    <w:p w14:paraId="578AE6B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GWN     górna warstwa nasypu, </w:t>
      </w:r>
    </w:p>
    <w:p w14:paraId="06C130D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UPG    ulepszone podłoże gruntowe, </w:t>
      </w:r>
    </w:p>
    <w:p w14:paraId="3C7AF9A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H(GWN)   grubość górnej warstwy nasypu, </w:t>
      </w:r>
    </w:p>
    <w:p w14:paraId="54C83DD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H(UPG)    grubość warstwy ulepszonego podłoża gruntowego. </w:t>
      </w:r>
    </w:p>
    <w:p w14:paraId="20F8D6C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0553F480"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159C56DE" wp14:editId="29BD4AA8">
            <wp:extent cx="3087584" cy="1543792"/>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10522" cy="1555261"/>
                    </a:xfrm>
                    <a:prstGeom prst="rect">
                      <a:avLst/>
                    </a:prstGeom>
                    <a:noFill/>
                    <a:ln>
                      <a:noFill/>
                    </a:ln>
                  </pic:spPr>
                </pic:pic>
              </a:graphicData>
            </a:graphic>
          </wp:inline>
        </w:drawing>
      </w:r>
    </w:p>
    <w:p w14:paraId="00D7771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Rysunek Z1.3. Nośność dla wykopów dla kategorii ruchu KR1-KR2 </w:t>
      </w:r>
    </w:p>
    <w:p w14:paraId="64FF933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3BBFFFEC"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5DE5D7DC" wp14:editId="5597020A">
            <wp:extent cx="4037924" cy="1687358"/>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45937" cy="1690707"/>
                    </a:xfrm>
                    <a:prstGeom prst="rect">
                      <a:avLst/>
                    </a:prstGeom>
                    <a:noFill/>
                    <a:ln>
                      <a:noFill/>
                    </a:ln>
                  </pic:spPr>
                </pic:pic>
              </a:graphicData>
            </a:graphic>
          </wp:inline>
        </w:drawing>
      </w:r>
    </w:p>
    <w:p w14:paraId="4FC9DC99" w14:textId="77777777" w:rsidR="00105AB9" w:rsidRPr="00021789" w:rsidRDefault="00105AB9" w:rsidP="00105AB9">
      <w:pPr>
        <w:pStyle w:val="Pro-Inwest"/>
        <w:jc w:val="center"/>
        <w:rPr>
          <w:rFonts w:asciiTheme="minorHAnsi" w:hAnsiTheme="minorHAnsi"/>
          <w:sz w:val="16"/>
          <w:szCs w:val="16"/>
        </w:rPr>
      </w:pPr>
    </w:p>
    <w:p w14:paraId="0E20A79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Rysunek Z1.4. Nośność dla nasypów dla kategorii ruchu KR1-KR2 </w:t>
      </w:r>
    </w:p>
    <w:p w14:paraId="15C9DC5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7C16CDF1" w14:textId="77777777" w:rsidR="00105AB9" w:rsidRPr="00021789" w:rsidRDefault="00105AB9" w:rsidP="00105AB9">
      <w:pPr>
        <w:pStyle w:val="Pro-Inwest"/>
        <w:jc w:val="both"/>
        <w:rPr>
          <w:rFonts w:asciiTheme="minorHAnsi" w:hAnsiTheme="minorHAnsi"/>
          <w:sz w:val="16"/>
          <w:szCs w:val="16"/>
        </w:rPr>
      </w:pPr>
    </w:p>
    <w:p w14:paraId="11E79CAD"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lastRenderedPageBreak/>
        <w:t xml:space="preserve">ZAŁĄCZNIK 2 </w:t>
      </w:r>
    </w:p>
    <w:p w14:paraId="7D7251B7"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 </w:t>
      </w:r>
    </w:p>
    <w:p w14:paraId="25B5D484"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METODY WYKONANIA BADAŃ KONTROLNYCH W ROBOTACH ZIEMNYCH </w:t>
      </w:r>
    </w:p>
    <w:p w14:paraId="4BA68952"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 </w:t>
      </w:r>
    </w:p>
    <w:p w14:paraId="4EEEDF90"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Z2.A  OZNACZANIE  WILGOTNOŚCI  OPTYMALNEJ  I  MAKSYMALNEJ  GĘSTOSCI OBJĘTOŚCIOWEJ SZKIELETU (BADANIE PROCTORA) </w:t>
      </w:r>
    </w:p>
    <w:p w14:paraId="3D0369CF"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Z2.B  OZNACZANIE WSKAŹNIKA ZAGĘSZCZENIA </w:t>
      </w:r>
    </w:p>
    <w:p w14:paraId="46FF0383"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Z2.C  OZNACZANIE MODUŁU ODKSZTAŁCENIA PODŁOŻA PRZEZ OBCIĄŻENIE PŁYTĄ (POD OBCIĄŻENIEM STATYCZNYM) </w:t>
      </w:r>
    </w:p>
    <w:p w14:paraId="4036A636"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Z2.D  OZNACZANIE  MODUŁU  ODKSZTAŁCENIA  PODŁOŻA  POD  OBCIĄŻENIEM DYNAMICZNYM LEKKĄ PŁYTĄ LPD </w:t>
      </w:r>
    </w:p>
    <w:p w14:paraId="0B93357F"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Z2.E  OZNACZANIE WSKAŹNIKA NOŚNOŚCI CBR I PĘCZNIENIA LINIOWEGO </w:t>
      </w:r>
    </w:p>
    <w:p w14:paraId="2977EE61"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Z2.F   OZNACZANIE WSKAŹNIKA PIASKOWEGO </w:t>
      </w:r>
    </w:p>
    <w:p w14:paraId="7900BD47"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Z2.G   OZNACZANIE WILGOTNOŚCI </w:t>
      </w:r>
    </w:p>
    <w:p w14:paraId="2C6A35EB"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Z2.H  OZNACZANIE UZIARNIENIA </w:t>
      </w:r>
    </w:p>
    <w:p w14:paraId="01A34C38"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Z2.I  OZNACZANIE GRANICY PLASTYCZNOŚCI W P  I GRANICY PŁYNNOSCI W L  </w:t>
      </w:r>
    </w:p>
    <w:p w14:paraId="70AFBDA2"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Z2.J   OZNACZANIE WSPÓŁCZYNNIKA WODOPRZEPUSZCZALNOŚCI k </w:t>
      </w:r>
    </w:p>
    <w:p w14:paraId="210AE006"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Z2.K   OZNACZANIE ZAWARTOŚCI SUBSATNCJI ORGANICZNYCH </w:t>
      </w:r>
    </w:p>
    <w:p w14:paraId="3941020C"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Z2.L  POŚREDNIE  OZNACZANIE  WSKAŹNIKA  ZAGĘSZCZENIA  NA  PODSTAWIE STOPNIA ZAGĘSZCZENIA OKREŚLONEGO W BADANIU SONDĄ DYNAMICZNĄ </w:t>
      </w:r>
    </w:p>
    <w:p w14:paraId="0D4FED8A" w14:textId="340D9F23"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4E587297"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UWAGA: </w:t>
      </w:r>
    </w:p>
    <w:p w14:paraId="3230F22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Uwzględniając zróżnicowanie gruntów i materiałów, które mogą być zastosowane w robotach ziemnych kontrola właściwości może być oparta o zastosowanie metod badań określonych w odniesieniu do gruntów, kruszyw lub do mieszanek. Metoda badania określonej właściwości konkretnego gruntu/materiału zostanie wybrana na  podstawie  Załącznika  2  i  przedstawiona  przez  Wykonawcę  do  akceptacji Inżyniera/Inspektora nadzoru.  </w:t>
      </w:r>
    </w:p>
    <w:p w14:paraId="1AC7BB0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7B5FFAF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Dopuszcza  się  stosowanie  innych  metod  kontroli  niż  wskazane  w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pod  warunkiem  spełnienia  warunków  określonych  w  punkcie  6.1.3.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2C2B2794" w14:textId="77777777" w:rsidR="00105AB9" w:rsidRPr="00021789" w:rsidRDefault="00105AB9" w:rsidP="00105AB9">
      <w:pPr>
        <w:pStyle w:val="Pro-Inwest"/>
        <w:jc w:val="both"/>
        <w:rPr>
          <w:rFonts w:asciiTheme="minorHAnsi" w:hAnsiTheme="minorHAnsi"/>
          <w:sz w:val="16"/>
          <w:szCs w:val="16"/>
        </w:rPr>
      </w:pPr>
    </w:p>
    <w:p w14:paraId="0E9A1071"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Z2.A  OZNACZANIE WILGOTNOŚCI OPTYMALNEJ I MAKSYMALNEJ GĘSTOSCI OBJĘTOŚCIOWEJ SZKIELETU (BADANIE PROCTORA) </w:t>
      </w:r>
    </w:p>
    <w:p w14:paraId="477570F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Procedura  badania  wilgotności  optymalnej  i  maksymalnej  gęstości  objętościowej  szkieletu gruntów zawarta jest w normie PN-B-04481:1988 w punkcie 8. </w:t>
      </w:r>
    </w:p>
    <w:p w14:paraId="7F7B196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Procedura  badania  wilgotności  optymalnej  i  maksymalnej  gęstości  objętości  szkieletu mieszanek kruszyw zawarta jest w normie PN-EN 13286-2.  </w:t>
      </w:r>
    </w:p>
    <w:p w14:paraId="308B742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 oznaczeniu wilgotności optymalnej i maksymalnej gęstości objętościowej szkieletu gruntów  i mieszanek kruszyw oraz wartości wskaźnika zagęszczenia I s  należy stosować badanie </w:t>
      </w:r>
      <w:proofErr w:type="spellStart"/>
      <w:r w:rsidRPr="00021789">
        <w:rPr>
          <w:rFonts w:asciiTheme="minorHAnsi" w:hAnsiTheme="minorHAnsi"/>
          <w:sz w:val="16"/>
          <w:szCs w:val="16"/>
        </w:rPr>
        <w:t>Proctora</w:t>
      </w:r>
      <w:proofErr w:type="spellEnd"/>
      <w:r w:rsidRPr="00021789">
        <w:rPr>
          <w:rFonts w:asciiTheme="minorHAnsi" w:hAnsiTheme="minorHAnsi"/>
          <w:sz w:val="16"/>
          <w:szCs w:val="16"/>
        </w:rPr>
        <w:t xml:space="preserve">  i energię zagęszczania dobraną odpowiednio do stosowanej metody badawczej.  </w:t>
      </w:r>
    </w:p>
    <w:p w14:paraId="69797529"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Z2.B   OZNACZANIE WSKAŹNIKA ZAGĘSZCZENIA </w:t>
      </w:r>
    </w:p>
    <w:p w14:paraId="7390A31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Procedura  oznaczania  wskaźnika  zagęszczenia  I s   zawarta  jest  w  normie  BN-77/8931-12. </w:t>
      </w:r>
    </w:p>
    <w:p w14:paraId="0ECDE3E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Maksymalną  gęstość  objętościową  szkieletu  należy  określić  według  procedury  wskazanej  w załączniku Z2.A. </w:t>
      </w:r>
    </w:p>
    <w:p w14:paraId="287839B9"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Z2.C   OZNACZANIE MODUŁU ODKSZTAŁCENIA PODŁOŻA PRZEZ OBCIĄŻENIE PŁYTĄ (POD OBCIĄŻENIEM STATYCZNYM) </w:t>
      </w:r>
    </w:p>
    <w:p w14:paraId="274B252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Procedura  oznaczania  modułu  odkształcenia  podłoża  z  zastosowaniem  płyty  obciążonej statycznie zawarta jest w załączniku B</w:t>
      </w:r>
      <w:r w:rsidRPr="00021789">
        <w:rPr>
          <w:rFonts w:asciiTheme="minorHAnsi" w:hAnsiTheme="minorHAnsi"/>
          <w:sz w:val="16"/>
          <w:szCs w:val="16"/>
        </w:rPr>
        <w:br/>
        <w:t xml:space="preserve">do normy PN-S-02205:1988. </w:t>
      </w:r>
    </w:p>
    <w:p w14:paraId="08DC424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Oznaczenie modułu odkształcenia odnosi się do nośności warstwy w  chwili przeprowadzenia badania. Wartość modułu można uznać</w:t>
      </w:r>
      <w:r w:rsidRPr="00021789">
        <w:rPr>
          <w:rFonts w:asciiTheme="minorHAnsi" w:hAnsiTheme="minorHAnsi"/>
          <w:sz w:val="16"/>
          <w:szCs w:val="16"/>
        </w:rPr>
        <w:br/>
        <w:t xml:space="preserve">za miarodajną w odniesieniu do kryteriów określonych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jeżeli wilgotność gruntu/materiału warstwy w czasie badania nie jest wyższa od wilgotności jaką miał on w czasie zagęszczania oraz jest od niej niższa nie więcej niż o 2%.  </w:t>
      </w:r>
    </w:p>
    <w:p w14:paraId="04E8394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  przypadku  badania  warstwy  o  wilgotności  poza  wymienionym  przedziałem  należy wprowadzić odpowiednie współczynniki korygujące wartość modułu. </w:t>
      </w:r>
    </w:p>
    <w:p w14:paraId="157EEA8C"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Z2.D   OZNACZANIE MODUŁU ODKSZTAŁCENIA PODŁOŻA POD OBCIĄŻENIEM DYNAMICZNYM LEKKĄ PŁYTĄ (LPD). </w:t>
      </w:r>
    </w:p>
    <w:p w14:paraId="40F8ADB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Badanie  Lekką  Płytą  Dynamiczną  (LPD)  można  stosować  wyłącznie  w  kontroli  warstw wykonanych  z  gruntów  i  materiałów  niespoistych.  Należy  stosować  płytę  o średnicy 30 cm. Stosowanie płyty o innej średnicy jest możliwe pod warunkiem spełnienia warunków określonych w punkcie 6.1.3. niniejszych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w:t>
      </w:r>
    </w:p>
    <w:p w14:paraId="1F2D097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Głębokość oddziaływania LPD jest równa średnicy płyty. Oznacza to, że w przypadku stosowania płyty o średnicy 30 cm nie należy poddawać badaniu warstw grubszych niż 30 cm. W przypadku badania  warstw  cieńszych  niż  średnica  płyty  należy  wykluczyć  możliwość  wpływu  warstwy leżącej niżej na wynik oznaczenia. </w:t>
      </w:r>
    </w:p>
    <w:p w14:paraId="1DD0043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Oznaczenie modułu odkształcenia odnosi się do nośności warstwy w  chwili przeprowadzenia badania. Wartość modułu można uznać za miarodajną w odniesieniu do kryteriów określonych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jeżeli wilgotność gruntu/materiału warstwy w czasie badania nie jest wyższa od wilgotności jaką miał on w czasie zagęszczania oraz jest od niej niższa nie więcej niż o 2%. W przypadku badania warstwy o wilgotności poza wymienionym przedziałem należy wprowadzić odpowiednie współczynniki korygujące wartość modułu. </w:t>
      </w:r>
    </w:p>
    <w:p w14:paraId="503EE62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Stosowane urządzenie musi mieć ważny dokument certyfikacji. Uwzględniając zróżnicowanie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D-02.00.01 konstrukcyjne  urządzeń  pomiarowych,  określanych  jako  Lekka  Płyta  Dynamiczna  (LPD)  w kontroli warstwy należy stosować jeden typ urządzenia. Należy ściśle przestrzegać procedury oznaczania  modułu  odkształcenia  podłoża  pod  obciążeniem  dynamicznym,  określonej  przez producenta w instrukcji stosowania urządzenia.  </w:t>
      </w:r>
    </w:p>
    <w:p w14:paraId="18116CF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lastRenderedPageBreak/>
        <w:t xml:space="preserve">Badanie LPD może być wykorzystane jako pośrednia metoda oceny zagęszczenia i/lub nośności warstwy na podstawie zaakceptowanych przez Inżyniera/Inspektora nadzoru  korelacji wartości dynamicznego  modułu  odkształcenia  E </w:t>
      </w:r>
      <w:proofErr w:type="spellStart"/>
      <w:r w:rsidRPr="00021789">
        <w:rPr>
          <w:rFonts w:asciiTheme="minorHAnsi" w:hAnsiTheme="minorHAnsi"/>
          <w:sz w:val="16"/>
          <w:szCs w:val="16"/>
        </w:rPr>
        <w:t>vd</w:t>
      </w:r>
      <w:proofErr w:type="spellEnd"/>
      <w:r w:rsidRPr="00021789">
        <w:rPr>
          <w:rFonts w:asciiTheme="minorHAnsi" w:hAnsiTheme="minorHAnsi"/>
          <w:sz w:val="16"/>
          <w:szCs w:val="16"/>
        </w:rPr>
        <w:t xml:space="preserve">   z  wartościami  wskaźnika  zagęszczenia  I s   i/lub wtórnego modułu odkształcenia E 2  </w:t>
      </w:r>
    </w:p>
    <w:p w14:paraId="6439DB3C"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Z2.E   OZNACZANIE WSKAŹNIKA NOŚNOŚCI CBR I PĘCZNIENIA LINIOWEGO </w:t>
      </w:r>
    </w:p>
    <w:p w14:paraId="1A9C8A4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Procedura  badania  wskaźnika  nośności  CBR  i  pęcznienia  liniowego  gruntów  zawarta  jest  w załączniku A do normy PN-S-02205:1988. </w:t>
      </w:r>
    </w:p>
    <w:p w14:paraId="02728F5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Procedura badania wskaźnika nośności CBR i pęcznienia liniowego mieszanek kruszyw zawarta jest w normie PN-EN 13286-47. Wilgotność materiału do uformowania próbek należy określić według  zasady  podanej  w  załączniku  A  do  normy  PN-S-02205:1988.  W  czasie  pomiaru pęcznienia  próbkę  należy  nasycać  wodą  przez  4  doby.  Projektant  określi  jakie  obciążenie zastosować na czas pęcznienia próbki. </w:t>
      </w:r>
    </w:p>
    <w:p w14:paraId="69A8B54D"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Z2.F   OZNACZANIE WSKAŹNIKA PIASKOWEGO </w:t>
      </w:r>
    </w:p>
    <w:p w14:paraId="0840397F"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Procedura oznaczenia oznaczania wskaźnika piaskowego gruntów WP zawarta jest w normie  BN-64/8931-01. </w:t>
      </w:r>
    </w:p>
    <w:p w14:paraId="22EA6D8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Możliwe jest zastosowanie do gruntów badania wskaźnika piaskowego SE 4  według normy PN-EN  933-8,  odnoszącej  się  do  kruszyw,  pod  warunkiem  określenia  kryterium  oceny  wyniku oznaczenia dla nowej normy. </w:t>
      </w:r>
    </w:p>
    <w:p w14:paraId="16792E0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Procedura  oznaczenia  wskaźnika  piaskowego  kruszyw  (mieszanek  kruszyw)  zawarta  jest  w normie PN-EN 933-8. Należy stosować badanie wskaźnika piaskowego SE 4 .  </w:t>
      </w:r>
    </w:p>
    <w:p w14:paraId="52EA3E5A"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Z2.G   OZNACZANIE WILGOTNOŚCI </w:t>
      </w:r>
    </w:p>
    <w:p w14:paraId="7F66EBB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Procedura oznaczenia wilgotności gruntów zawarta jest w normie PN-B-04481:1988 lub w PN-EN ISO 17892-1. Procedura oznaczenia wilgotności mieszanek kruszyw zawarta jest w normie PN-EN 1097-5. </w:t>
      </w:r>
    </w:p>
    <w:p w14:paraId="7775D151"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Z2.H   OZNACZANIE UZIARNIENIA </w:t>
      </w:r>
    </w:p>
    <w:p w14:paraId="7DEC0B4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Procedura oznaczenia uziarnienia gruntów zawarta jest w normie PN-88/B-04481 lub w PN-EN ISO 17892-4. Procedura oznaczenia uziarnienia mieszanek kruszyw zawarta jest w normie PN-EN 933-1. </w:t>
      </w:r>
    </w:p>
    <w:p w14:paraId="740C1A1E"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Z2.I  OZNACZANIE GRANICY PLASTYCZNOŚCI W P  I GRANICY PŁYNNOSCI W L .  </w:t>
      </w:r>
    </w:p>
    <w:p w14:paraId="0F52F83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Procedura  oznaczenia  granicy  plastyczności  W P   i  granicy  płynności  W L   (granice  </w:t>
      </w:r>
      <w:proofErr w:type="spellStart"/>
      <w:r w:rsidRPr="00021789">
        <w:rPr>
          <w:rFonts w:asciiTheme="minorHAnsi" w:hAnsiTheme="minorHAnsi"/>
          <w:sz w:val="16"/>
          <w:szCs w:val="16"/>
        </w:rPr>
        <w:t>Atterberga</w:t>
      </w:r>
      <w:proofErr w:type="spellEnd"/>
      <w:r w:rsidRPr="00021789">
        <w:rPr>
          <w:rFonts w:asciiTheme="minorHAnsi" w:hAnsiTheme="minorHAnsi"/>
          <w:sz w:val="16"/>
          <w:szCs w:val="16"/>
        </w:rPr>
        <w:t xml:space="preserve">) gruntów drobnoziarnistych (spoistych) jest określona w normie PN-B-04481:1988 lub w PN-EN ISO 17892-12.  </w:t>
      </w:r>
    </w:p>
    <w:p w14:paraId="7D0957F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Na  podstawie  wartości  granicy  plastyczności  W P   i  granicy  płynności  W L  określa  się  wskaźnik </w:t>
      </w:r>
      <w:proofErr w:type="spellStart"/>
      <w:r w:rsidRPr="00021789">
        <w:rPr>
          <w:rFonts w:asciiTheme="minorHAnsi" w:hAnsiTheme="minorHAnsi"/>
          <w:sz w:val="16"/>
          <w:szCs w:val="16"/>
        </w:rPr>
        <w:t>SWiORB</w:t>
      </w:r>
      <w:proofErr w:type="spellEnd"/>
      <w:r w:rsidRPr="00021789">
        <w:rPr>
          <w:rFonts w:asciiTheme="minorHAnsi" w:hAnsiTheme="minorHAnsi"/>
          <w:sz w:val="16"/>
          <w:szCs w:val="16"/>
        </w:rPr>
        <w:t xml:space="preserve">  D-02.00.01 v04   plastyczności I P  = W L  – W P , charakteryzujący plastyczność (spoistość) gruntu.  </w:t>
      </w:r>
    </w:p>
    <w:p w14:paraId="6A8117A4"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Z2.J   OZNACZANIE WSPÓŁCZYNNIKA FILTRACJI k </w:t>
      </w:r>
    </w:p>
    <w:p w14:paraId="7574D84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W  przypadku  stosowania  kryteriów  odnoszących  się  do  wartości  współczynnika  filtracji  k, określonych  według  metody zawartej</w:t>
      </w:r>
      <w:r w:rsidRPr="00021789">
        <w:rPr>
          <w:rFonts w:asciiTheme="minorHAnsi" w:hAnsiTheme="minorHAnsi"/>
          <w:sz w:val="16"/>
          <w:szCs w:val="16"/>
        </w:rPr>
        <w:br/>
        <w:t xml:space="preserve"> w  normie  PN-55/B-04492,  należy stosować procedurę badania próbek i oznaczenia współczynnika filtracji k, określoną w tej normie.  </w:t>
      </w:r>
    </w:p>
    <w:p w14:paraId="1E9AE72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Dopuszcza  się  pośrednią  metodę  oceny  właściwości  filtracyjnych  gruntów  gruboziarnistych  (wg  klasyfikacji  PN-EN  ISO  14688-2)</w:t>
      </w:r>
      <w:r w:rsidRPr="00021789">
        <w:rPr>
          <w:rFonts w:asciiTheme="minorHAnsi" w:hAnsiTheme="minorHAnsi"/>
          <w:sz w:val="16"/>
          <w:szCs w:val="16"/>
        </w:rPr>
        <w:br/>
        <w:t xml:space="preserve">na  podstawie  obliczenia  współczynnika  filtracji  k  z zastosowaniem wzoru amerykańskiego USBSC: </w:t>
      </w:r>
    </w:p>
    <w:p w14:paraId="37A198DB" w14:textId="77777777" w:rsidR="00105AB9" w:rsidRPr="00021789" w:rsidRDefault="00105AB9" w:rsidP="00105AB9">
      <w:pPr>
        <w:pStyle w:val="Pro-Inwest"/>
        <w:jc w:val="center"/>
        <w:rPr>
          <w:rFonts w:asciiTheme="minorHAnsi" w:hAnsiTheme="minorHAnsi"/>
          <w:sz w:val="16"/>
          <w:szCs w:val="16"/>
        </w:rPr>
      </w:pPr>
      <w:r w:rsidRPr="00021789">
        <w:rPr>
          <w:rFonts w:asciiTheme="minorHAnsi" w:hAnsiTheme="minorHAnsi"/>
          <w:noProof/>
          <w:sz w:val="16"/>
          <w:szCs w:val="16"/>
        </w:rPr>
        <w:drawing>
          <wp:inline distT="0" distB="0" distL="0" distR="0" wp14:anchorId="1D3621C9" wp14:editId="40BAE1EE">
            <wp:extent cx="825335" cy="235296"/>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78948" cy="250580"/>
                    </a:xfrm>
                    <a:prstGeom prst="rect">
                      <a:avLst/>
                    </a:prstGeom>
                    <a:noFill/>
                    <a:ln>
                      <a:noFill/>
                    </a:ln>
                  </pic:spPr>
                </pic:pic>
              </a:graphicData>
            </a:graphic>
          </wp:inline>
        </w:drawing>
      </w:r>
      <w:r w:rsidRPr="00021789">
        <w:rPr>
          <w:rFonts w:asciiTheme="minorHAnsi" w:hAnsiTheme="minorHAnsi"/>
          <w:sz w:val="16"/>
          <w:szCs w:val="16"/>
        </w:rPr>
        <w:t>gdzie:</w:t>
      </w:r>
    </w:p>
    <w:p w14:paraId="4D71E86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k   współczynnik filtracji [m/s] </w:t>
      </w:r>
    </w:p>
    <w:p w14:paraId="25EE291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 20    średnica zastępcza [mm], odpowiadająca zawartości 20% ziaren na krzywej uziarnienia gruntu.  </w:t>
      </w:r>
    </w:p>
    <w:p w14:paraId="3CAA1CA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Stosowanie w badaniu próbek gruntów procedury oznaczenia współczynnika filtracji k, zawartej  w  normie  PN-EN  ISO  17892-11  wymaga  stosowania  wymagań  określonych  w  odniesieniu  do  tej  metody  badania.  Możliwe  jest  zweryfikowanie  lub  potwierdzenia  kryterium  oceny określonego na podstawie badania według normy PN-55/B-04492.  </w:t>
      </w:r>
    </w:p>
    <w:p w14:paraId="18A55CB2"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Z2.K  OZNACZANIE ZAWARTOŚCI SUBSTANCJI ORGANICZNYCH   </w:t>
      </w:r>
    </w:p>
    <w:p w14:paraId="1AE1E52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Procedura  oznaczenia  zawartości  substancji  organicznych  zawarta  jest  w  normie  PN-B-04481:1988  lub  w  normie  PN-EN  1744-1.  Metodą  referencyjną  jest  procedura  zawarta  w normie PN-B-04481:1988 </w:t>
      </w:r>
    </w:p>
    <w:p w14:paraId="078E90A0"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Z2.L  POŚREDNIE OZNACZANIE WSKAŹNIKA ZAGĘSZCZENIA NA PODSTAWIE STOPNIA ZAGĘSZCZENIA OKREŚLONEGO W BADANIU SONDĄ DYNAMICZNĄ  </w:t>
      </w:r>
    </w:p>
    <w:p w14:paraId="034EFC0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Do  dodatkowej  kontroli  zagęszczenia  nasypów  wykonanych  z  gruntów  niespoistych  można stosować sondy dynamiczne. Procedura wykonywania badania sondą dynamiczną zawarta jest w  normie  PN-B-04452.  Orientacyjną  wartość  wskaźnika  zagęszczenia  I S   można  określić  na podstawie zależności korelacyjnej: </w:t>
      </w:r>
    </w:p>
    <w:p w14:paraId="08277156" w14:textId="77777777" w:rsidR="00105AB9" w:rsidRPr="00021789" w:rsidRDefault="00105AB9" w:rsidP="00105AB9">
      <w:pPr>
        <w:pStyle w:val="Pro-Inwest"/>
        <w:jc w:val="center"/>
        <w:rPr>
          <w:rFonts w:asciiTheme="minorHAnsi" w:hAnsiTheme="minorHAnsi"/>
          <w:sz w:val="16"/>
          <w:szCs w:val="16"/>
        </w:rPr>
      </w:pPr>
      <w:r w:rsidRPr="00021789">
        <w:rPr>
          <w:rFonts w:ascii="Cambria Math" w:hAnsi="Cambria Math" w:cs="Cambria Math"/>
          <w:noProof/>
          <w:sz w:val="16"/>
          <w:szCs w:val="16"/>
        </w:rPr>
        <w:drawing>
          <wp:inline distT="0" distB="0" distL="0" distR="0" wp14:anchorId="5C7A2CFE" wp14:editId="561CFBB1">
            <wp:extent cx="914400" cy="324697"/>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37592" cy="332932"/>
                    </a:xfrm>
                    <a:prstGeom prst="rect">
                      <a:avLst/>
                    </a:prstGeom>
                    <a:noFill/>
                    <a:ln>
                      <a:noFill/>
                    </a:ln>
                  </pic:spPr>
                </pic:pic>
              </a:graphicData>
            </a:graphic>
          </wp:inline>
        </w:drawing>
      </w:r>
    </w:p>
    <w:p w14:paraId="6C33AD1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gdzie: </w:t>
      </w:r>
    </w:p>
    <w:p w14:paraId="1584025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I D   stopień  zagęszczenia  gruntów  niespoistych  wyznaczony  w  oparciu  o  liczbę  uderzeń młota (N K ) potrzebną do zagłębienia końcówki o 0,1 m (sondy DPL, DPM), 0,2 m (DPSH)  na podstawie wzorów: </w:t>
      </w:r>
    </w:p>
    <w:p w14:paraId="045AC11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DPL    I D  = 0,071+0,429 </w:t>
      </w:r>
      <w:proofErr w:type="spellStart"/>
      <w:r w:rsidRPr="00021789">
        <w:rPr>
          <w:rFonts w:asciiTheme="minorHAnsi" w:hAnsiTheme="minorHAnsi"/>
          <w:sz w:val="16"/>
          <w:szCs w:val="16"/>
        </w:rPr>
        <w:t>lg</w:t>
      </w:r>
      <w:proofErr w:type="spellEnd"/>
      <w:r w:rsidRPr="00021789">
        <w:rPr>
          <w:rFonts w:asciiTheme="minorHAnsi" w:hAnsiTheme="minorHAnsi"/>
          <w:sz w:val="16"/>
          <w:szCs w:val="16"/>
        </w:rPr>
        <w:t xml:space="preserve"> NK </w:t>
      </w:r>
    </w:p>
    <w:p w14:paraId="28AF328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DPM    I D  = 0,176+0,431 </w:t>
      </w:r>
      <w:proofErr w:type="spellStart"/>
      <w:r w:rsidRPr="00021789">
        <w:rPr>
          <w:rFonts w:asciiTheme="minorHAnsi" w:hAnsiTheme="minorHAnsi"/>
          <w:sz w:val="16"/>
          <w:szCs w:val="16"/>
        </w:rPr>
        <w:t>lg</w:t>
      </w:r>
      <w:proofErr w:type="spellEnd"/>
      <w:r w:rsidRPr="00021789">
        <w:rPr>
          <w:rFonts w:asciiTheme="minorHAnsi" w:hAnsiTheme="minorHAnsi"/>
          <w:sz w:val="16"/>
          <w:szCs w:val="16"/>
        </w:rPr>
        <w:t xml:space="preserve"> NK   </w:t>
      </w:r>
    </w:p>
    <w:p w14:paraId="6432395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DPH    I D  = 0,271+0,441 </w:t>
      </w:r>
      <w:proofErr w:type="spellStart"/>
      <w:r w:rsidRPr="00021789">
        <w:rPr>
          <w:rFonts w:asciiTheme="minorHAnsi" w:hAnsiTheme="minorHAnsi"/>
          <w:sz w:val="16"/>
          <w:szCs w:val="16"/>
        </w:rPr>
        <w:t>lg</w:t>
      </w:r>
      <w:proofErr w:type="spellEnd"/>
      <w:r w:rsidRPr="00021789">
        <w:rPr>
          <w:rFonts w:asciiTheme="minorHAnsi" w:hAnsiTheme="minorHAnsi"/>
          <w:sz w:val="16"/>
          <w:szCs w:val="16"/>
        </w:rPr>
        <w:t xml:space="preserve"> NK  </w:t>
      </w:r>
    </w:p>
    <w:p w14:paraId="75CE7F5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DPSH    I D  = 0,196+0,441 </w:t>
      </w:r>
      <w:proofErr w:type="spellStart"/>
      <w:r w:rsidRPr="00021789">
        <w:rPr>
          <w:rFonts w:asciiTheme="minorHAnsi" w:hAnsiTheme="minorHAnsi"/>
          <w:sz w:val="16"/>
          <w:szCs w:val="16"/>
        </w:rPr>
        <w:t>lg</w:t>
      </w:r>
      <w:proofErr w:type="spellEnd"/>
      <w:r w:rsidRPr="00021789">
        <w:rPr>
          <w:rFonts w:asciiTheme="minorHAnsi" w:hAnsiTheme="minorHAnsi"/>
          <w:sz w:val="16"/>
          <w:szCs w:val="16"/>
        </w:rPr>
        <w:t xml:space="preserve"> NK </w:t>
      </w:r>
    </w:p>
    <w:p w14:paraId="0DF82A6A"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
    <w:p w14:paraId="047FD71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Wyniki sondowania należy interpretować dopiero poniżej głębokości krytycznej (t c ) wynoszącej dla sondy DPL t c =0,6 m, dla sond DPM oraz DPH t c =1,0 m, dla sondy DPSH t c =1,5 m.</w:t>
      </w:r>
    </w:p>
    <w:p w14:paraId="376B31C5" w14:textId="77777777" w:rsidR="00105AB9" w:rsidRPr="00021789" w:rsidRDefault="00105AB9" w:rsidP="00105AB9">
      <w:pPr>
        <w:pStyle w:val="Pro-Inwest"/>
        <w:rPr>
          <w:rFonts w:asciiTheme="minorHAnsi" w:hAnsiTheme="minorHAnsi"/>
          <w:b/>
          <w:sz w:val="16"/>
          <w:szCs w:val="16"/>
        </w:rPr>
      </w:pPr>
    </w:p>
    <w:p w14:paraId="2661370C" w14:textId="77777777" w:rsidR="00105AB9" w:rsidRPr="00021789" w:rsidRDefault="00105AB9" w:rsidP="00105AB9">
      <w:pPr>
        <w:pStyle w:val="Pro-Inwest"/>
        <w:rPr>
          <w:rFonts w:asciiTheme="minorHAnsi" w:hAnsiTheme="minorHAnsi"/>
          <w:b/>
          <w:sz w:val="16"/>
          <w:szCs w:val="16"/>
        </w:rPr>
      </w:pPr>
    </w:p>
    <w:p w14:paraId="5330A7CC" w14:textId="77777777" w:rsidR="00924392" w:rsidRPr="00021789" w:rsidRDefault="00924392" w:rsidP="00924392">
      <w:pPr>
        <w:pStyle w:val="Pro-Inwest"/>
        <w:rPr>
          <w:rFonts w:asciiTheme="minorHAnsi" w:hAnsiTheme="minorHAnsi"/>
          <w:b/>
          <w:sz w:val="16"/>
          <w:szCs w:val="16"/>
        </w:rPr>
      </w:pPr>
    </w:p>
    <w:p w14:paraId="4D98766B" w14:textId="77777777" w:rsidR="00105AB9" w:rsidRPr="00021789" w:rsidRDefault="00105AB9" w:rsidP="00924392">
      <w:pPr>
        <w:pStyle w:val="Pro-Inwest"/>
        <w:rPr>
          <w:rFonts w:asciiTheme="minorHAnsi" w:hAnsiTheme="minorHAnsi"/>
          <w:b/>
          <w:sz w:val="16"/>
          <w:szCs w:val="16"/>
        </w:rPr>
      </w:pPr>
    </w:p>
    <w:p w14:paraId="454C890C" w14:textId="77777777" w:rsidR="00105AB9" w:rsidRPr="00021789" w:rsidRDefault="00105AB9" w:rsidP="00924392">
      <w:pPr>
        <w:pStyle w:val="Pro-Inwest"/>
        <w:rPr>
          <w:rFonts w:asciiTheme="minorHAnsi" w:hAnsiTheme="minorHAnsi"/>
          <w:b/>
          <w:sz w:val="16"/>
          <w:szCs w:val="16"/>
        </w:rPr>
      </w:pPr>
    </w:p>
    <w:p w14:paraId="431A85A5" w14:textId="77777777" w:rsidR="002B055B" w:rsidRPr="00021789" w:rsidRDefault="00846F9F" w:rsidP="002B055B">
      <w:pPr>
        <w:pStyle w:val="Pro-Inwest"/>
        <w:spacing w:line="240" w:lineRule="auto"/>
        <w:rPr>
          <w:rFonts w:asciiTheme="minorHAnsi" w:hAnsiTheme="minorHAnsi"/>
          <w:b/>
          <w:sz w:val="18"/>
          <w:szCs w:val="18"/>
        </w:rPr>
      </w:pPr>
      <w:r w:rsidRPr="00021789">
        <w:rPr>
          <w:rFonts w:asciiTheme="minorHAnsi" w:hAnsiTheme="minorHAnsi"/>
          <w:b/>
          <w:sz w:val="18"/>
          <w:szCs w:val="18"/>
        </w:rPr>
        <w:lastRenderedPageBreak/>
        <w:t>D.04.00.00 PODBUDOWY</w:t>
      </w:r>
    </w:p>
    <w:p w14:paraId="2FCA4513" w14:textId="77777777" w:rsidR="00272F75" w:rsidRPr="00021789" w:rsidRDefault="00272F75" w:rsidP="000F6F9E">
      <w:pPr>
        <w:pStyle w:val="Pro-Inwest"/>
        <w:spacing w:line="240" w:lineRule="auto"/>
        <w:rPr>
          <w:rFonts w:asciiTheme="minorHAnsi" w:hAnsiTheme="minorHAnsi"/>
          <w:b/>
          <w:sz w:val="18"/>
          <w:szCs w:val="18"/>
        </w:rPr>
      </w:pPr>
    </w:p>
    <w:p w14:paraId="6B85E980" w14:textId="69BA6BE6" w:rsidR="000F6F9E" w:rsidRPr="00021789" w:rsidRDefault="000F6F9E" w:rsidP="000F6F9E">
      <w:pPr>
        <w:pStyle w:val="Pro-Inwest"/>
        <w:spacing w:line="240" w:lineRule="auto"/>
        <w:rPr>
          <w:rFonts w:asciiTheme="minorHAnsi" w:hAnsiTheme="minorHAnsi"/>
          <w:b/>
          <w:sz w:val="18"/>
          <w:szCs w:val="18"/>
        </w:rPr>
      </w:pPr>
      <w:r w:rsidRPr="00021789">
        <w:rPr>
          <w:rFonts w:asciiTheme="minorHAnsi" w:hAnsiTheme="minorHAnsi"/>
          <w:b/>
          <w:sz w:val="18"/>
          <w:szCs w:val="18"/>
        </w:rPr>
        <w:t>D.04.01</w:t>
      </w:r>
      <w:r w:rsidR="00272F75" w:rsidRPr="00021789">
        <w:rPr>
          <w:rFonts w:asciiTheme="minorHAnsi" w:hAnsiTheme="minorHAnsi"/>
          <w:b/>
          <w:sz w:val="18"/>
          <w:szCs w:val="18"/>
        </w:rPr>
        <w:t>.01 KORYTO WRAZ Z PROFILOWANIEM I ZAGĘSZCZANIEM PODŁOŻA</w:t>
      </w:r>
    </w:p>
    <w:p w14:paraId="0B5BB62F" w14:textId="77777777" w:rsidR="009F2B50" w:rsidRPr="00021789" w:rsidRDefault="009F2B50" w:rsidP="009F2B50">
      <w:pPr>
        <w:pStyle w:val="Pro-Inwest"/>
        <w:rPr>
          <w:rFonts w:asciiTheme="minorHAnsi" w:hAnsiTheme="minorHAnsi"/>
          <w:b/>
          <w:sz w:val="16"/>
          <w:szCs w:val="16"/>
        </w:rPr>
      </w:pPr>
    </w:p>
    <w:p w14:paraId="5868E517"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1. WSTĘP</w:t>
      </w:r>
    </w:p>
    <w:p w14:paraId="4B299027"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 xml:space="preserve">1.1. Przedmiot </w:t>
      </w:r>
      <w:proofErr w:type="spellStart"/>
      <w:r w:rsidRPr="00021789">
        <w:rPr>
          <w:rFonts w:asciiTheme="minorHAnsi" w:hAnsiTheme="minorHAnsi"/>
          <w:b/>
          <w:sz w:val="16"/>
          <w:szCs w:val="16"/>
        </w:rPr>
        <w:t>STWiORB</w:t>
      </w:r>
      <w:proofErr w:type="spellEnd"/>
    </w:p>
    <w:p w14:paraId="148BF81F" w14:textId="77777777" w:rsidR="009F2B50" w:rsidRPr="00021789" w:rsidRDefault="009F2B50" w:rsidP="009F2B50">
      <w:pPr>
        <w:pStyle w:val="Pro-Inwest"/>
        <w:jc w:val="both"/>
        <w:rPr>
          <w:rFonts w:asciiTheme="minorHAnsi" w:hAnsiTheme="minorHAnsi"/>
          <w:sz w:val="16"/>
          <w:szCs w:val="16"/>
        </w:rPr>
      </w:pPr>
      <w:r w:rsidRPr="00021789">
        <w:rPr>
          <w:rFonts w:asciiTheme="minorHAnsi" w:hAnsiTheme="minorHAnsi"/>
          <w:sz w:val="16"/>
          <w:szCs w:val="16"/>
        </w:rPr>
        <w:tab/>
        <w:t>Przedmiotem niniejszej specyfikacji technicznej wykonania i odbioru robót budowlanych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są wymagania dotyczące wykonania i odbioru robót związanych z wykonywaniem koryta wraz z profilowaniem i zagęszczaniem podłoża gruntowego.</w:t>
      </w:r>
    </w:p>
    <w:p w14:paraId="58BA6978"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 xml:space="preserve">1.2. Zakres stosowania </w:t>
      </w:r>
      <w:proofErr w:type="spellStart"/>
      <w:r w:rsidRPr="00021789">
        <w:rPr>
          <w:rFonts w:asciiTheme="minorHAnsi" w:hAnsiTheme="minorHAnsi"/>
          <w:b/>
          <w:sz w:val="16"/>
          <w:szCs w:val="16"/>
        </w:rPr>
        <w:t>STWiORB</w:t>
      </w:r>
      <w:proofErr w:type="spellEnd"/>
    </w:p>
    <w:p w14:paraId="026D00E1" w14:textId="77777777" w:rsidR="009F2B50" w:rsidRPr="00021789" w:rsidRDefault="009F2B50" w:rsidP="009F2B50">
      <w:pPr>
        <w:pStyle w:val="Pro-Inwest"/>
        <w:jc w:val="both"/>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Specyfikacja techniczna wykonania i odbioru robót budowlanych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jest stosowana jako dokument przetargowy</w:t>
      </w:r>
      <w:r w:rsidRPr="00021789">
        <w:rPr>
          <w:rFonts w:asciiTheme="minorHAnsi" w:hAnsiTheme="minorHAnsi"/>
          <w:sz w:val="16"/>
          <w:szCs w:val="16"/>
        </w:rPr>
        <w:br/>
        <w:t>i kontraktowy przy zlecaniu i realizacji robót drogowych.</w:t>
      </w:r>
    </w:p>
    <w:p w14:paraId="2AC77AE0"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 xml:space="preserve">1.3. Zakres robót objętych </w:t>
      </w:r>
      <w:proofErr w:type="spellStart"/>
      <w:r w:rsidRPr="00021789">
        <w:rPr>
          <w:rFonts w:asciiTheme="minorHAnsi" w:hAnsiTheme="minorHAnsi"/>
          <w:b/>
          <w:sz w:val="16"/>
          <w:szCs w:val="16"/>
        </w:rPr>
        <w:t>STWiORB</w:t>
      </w:r>
      <w:proofErr w:type="spellEnd"/>
    </w:p>
    <w:p w14:paraId="41C1B3A0"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Ustalenia zawarte w niniejszej specyfikacji dotyczą zasad prowadzenia robót związanych z wykonaniem koryta przeznaczonego do ułożenia konstrukcji nawierzchni.</w:t>
      </w:r>
    </w:p>
    <w:p w14:paraId="3F14E036"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1.4. Określenia podstawowe</w:t>
      </w:r>
    </w:p>
    <w:p w14:paraId="1EEA3E5A"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 xml:space="preserve">Określenia podstawowe są zgodne z obowiązującymi, odpowiednimi polskimi normami i definicjami podanymi w </w:t>
      </w:r>
      <w:proofErr w:type="spellStart"/>
      <w:r w:rsidR="001A03D0"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w:t>
      </w:r>
      <w:r w:rsidR="001A03D0" w:rsidRPr="00021789">
        <w:rPr>
          <w:rFonts w:asciiTheme="minorHAnsi" w:hAnsiTheme="minorHAnsi"/>
          <w:sz w:val="16"/>
          <w:szCs w:val="16"/>
        </w:rPr>
        <w:t>o</w:t>
      </w:r>
      <w:r w:rsidRPr="00021789">
        <w:rPr>
          <w:rFonts w:asciiTheme="minorHAnsi" w:hAnsiTheme="minorHAnsi"/>
          <w:sz w:val="16"/>
          <w:szCs w:val="16"/>
        </w:rPr>
        <w:t>gólne” pkt 1.4.</w:t>
      </w:r>
    </w:p>
    <w:p w14:paraId="1B66C828"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1.5. Ogólne wymagania dotyczące robót</w:t>
      </w:r>
    </w:p>
    <w:p w14:paraId="5119689E" w14:textId="77777777" w:rsidR="009F2B50" w:rsidRPr="00021789" w:rsidRDefault="009F2B50" w:rsidP="009F2B50">
      <w:pPr>
        <w:pStyle w:val="Pro-Inwest"/>
        <w:rPr>
          <w:rFonts w:asciiTheme="minorHAnsi" w:hAnsiTheme="minorHAnsi"/>
          <w:b/>
          <w:i/>
          <w:sz w:val="16"/>
          <w:szCs w:val="16"/>
        </w:rPr>
      </w:pPr>
      <w:r w:rsidRPr="00021789">
        <w:rPr>
          <w:rFonts w:asciiTheme="minorHAnsi" w:hAnsiTheme="minorHAnsi"/>
          <w:b/>
          <w:i/>
          <w:sz w:val="16"/>
          <w:szCs w:val="16"/>
        </w:rPr>
        <w:tab/>
        <w:t xml:space="preserve">Ogólne wymagania dotyczące robót podano w </w:t>
      </w:r>
      <w:proofErr w:type="spellStart"/>
      <w:r w:rsidR="001A03D0" w:rsidRPr="00021789">
        <w:rPr>
          <w:rFonts w:asciiTheme="minorHAnsi" w:hAnsiTheme="minorHAnsi"/>
          <w:b/>
          <w:i/>
          <w:sz w:val="16"/>
          <w:szCs w:val="16"/>
        </w:rPr>
        <w:t>STWiORB</w:t>
      </w:r>
      <w:proofErr w:type="spellEnd"/>
      <w:r w:rsidRPr="00021789">
        <w:rPr>
          <w:rFonts w:asciiTheme="minorHAnsi" w:hAnsiTheme="minorHAnsi"/>
          <w:b/>
          <w:i/>
          <w:sz w:val="16"/>
          <w:szCs w:val="16"/>
        </w:rPr>
        <w:t xml:space="preserve"> D-M-00.00.00 „Wymagania ogólne” pkt 1.5.</w:t>
      </w:r>
    </w:p>
    <w:p w14:paraId="56CF572E" w14:textId="77777777" w:rsidR="009F2B50" w:rsidRPr="00021789" w:rsidRDefault="009F2B50" w:rsidP="009F2B50">
      <w:pPr>
        <w:pStyle w:val="Pro-Inwest"/>
        <w:rPr>
          <w:rFonts w:asciiTheme="minorHAnsi" w:hAnsiTheme="minorHAnsi"/>
          <w:b/>
          <w:sz w:val="16"/>
          <w:szCs w:val="16"/>
        </w:rPr>
      </w:pPr>
    </w:p>
    <w:p w14:paraId="6B505B1F"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2. MATERIAŁY</w:t>
      </w:r>
    </w:p>
    <w:p w14:paraId="04C4A52F"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ab/>
        <w:t>Nie występują.</w:t>
      </w:r>
    </w:p>
    <w:p w14:paraId="0701A55D" w14:textId="77777777" w:rsidR="009F2B50" w:rsidRPr="00021789" w:rsidRDefault="009F2B50" w:rsidP="009F2B50">
      <w:pPr>
        <w:pStyle w:val="Pro-Inwest"/>
        <w:rPr>
          <w:rFonts w:asciiTheme="minorHAnsi" w:hAnsiTheme="minorHAnsi"/>
          <w:b/>
          <w:sz w:val="16"/>
          <w:szCs w:val="16"/>
        </w:rPr>
      </w:pPr>
    </w:p>
    <w:p w14:paraId="6531977B"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3. SPRZĘT</w:t>
      </w:r>
    </w:p>
    <w:p w14:paraId="3A8D3A74"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3.1. Ogólne wymagania dotyczące sprzętu</w:t>
      </w:r>
    </w:p>
    <w:p w14:paraId="570835C7"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 xml:space="preserve">Ogólne wymagania dotyczące sprzętu podano w </w:t>
      </w:r>
      <w:proofErr w:type="spellStart"/>
      <w:r w:rsidR="001A03D0"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3.</w:t>
      </w:r>
    </w:p>
    <w:p w14:paraId="7103F1A0"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3.2. Sprzęt do wykonania robót</w:t>
      </w:r>
    </w:p>
    <w:p w14:paraId="3F597B44"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Wykonawca przystępujący do wykonania koryta i profilowania podłoża powinien wykazać się możliwością korzystania</w:t>
      </w:r>
      <w:r w:rsidR="001A03D0" w:rsidRPr="00021789">
        <w:rPr>
          <w:rFonts w:asciiTheme="minorHAnsi" w:hAnsiTheme="minorHAnsi"/>
          <w:sz w:val="16"/>
          <w:szCs w:val="16"/>
        </w:rPr>
        <w:br/>
      </w:r>
      <w:r w:rsidRPr="00021789">
        <w:rPr>
          <w:rFonts w:asciiTheme="minorHAnsi" w:hAnsiTheme="minorHAnsi"/>
          <w:sz w:val="16"/>
          <w:szCs w:val="16"/>
        </w:rPr>
        <w:t>z następującego sprzętu:</w:t>
      </w:r>
    </w:p>
    <w:p w14:paraId="66DAA828" w14:textId="77777777" w:rsidR="009F2B50" w:rsidRPr="00021789" w:rsidRDefault="009F2B50" w:rsidP="004E4B77">
      <w:pPr>
        <w:pStyle w:val="Pro-Inwest"/>
        <w:numPr>
          <w:ilvl w:val="0"/>
          <w:numId w:val="43"/>
        </w:numPr>
        <w:rPr>
          <w:rFonts w:asciiTheme="minorHAnsi" w:hAnsiTheme="minorHAnsi"/>
          <w:sz w:val="16"/>
          <w:szCs w:val="16"/>
        </w:rPr>
      </w:pPr>
      <w:r w:rsidRPr="00021789">
        <w:rPr>
          <w:rFonts w:asciiTheme="minorHAnsi" w:hAnsiTheme="minorHAnsi"/>
          <w:sz w:val="16"/>
          <w:szCs w:val="16"/>
        </w:rPr>
        <w:t>równiarek lub spycharek uniwersalnych z ukośnie ustawianym lemieszem; Inżynier może dopuścić wykonanie koryta i profilowanie podłoża z zastosowaniem spycharki z lemieszem ustawionym prostopadle do kierunku pracy maszyny,</w:t>
      </w:r>
    </w:p>
    <w:p w14:paraId="6D71F92B" w14:textId="77777777" w:rsidR="009F2B50" w:rsidRPr="00021789" w:rsidRDefault="009F2B50" w:rsidP="004E4B77">
      <w:pPr>
        <w:pStyle w:val="Pro-Inwest"/>
        <w:numPr>
          <w:ilvl w:val="0"/>
          <w:numId w:val="43"/>
        </w:numPr>
        <w:rPr>
          <w:rFonts w:asciiTheme="minorHAnsi" w:hAnsiTheme="minorHAnsi"/>
          <w:sz w:val="16"/>
          <w:szCs w:val="16"/>
        </w:rPr>
      </w:pPr>
      <w:r w:rsidRPr="00021789">
        <w:rPr>
          <w:rFonts w:asciiTheme="minorHAnsi" w:hAnsiTheme="minorHAnsi"/>
          <w:sz w:val="16"/>
          <w:szCs w:val="16"/>
        </w:rPr>
        <w:t>koparek z czerpakami profilowymi (przy wykonywaniu wąskich koryt),</w:t>
      </w:r>
    </w:p>
    <w:p w14:paraId="4870E360" w14:textId="77777777" w:rsidR="009F2B50" w:rsidRPr="00021789" w:rsidRDefault="009F2B50" w:rsidP="004E4B77">
      <w:pPr>
        <w:pStyle w:val="Pro-Inwest"/>
        <w:numPr>
          <w:ilvl w:val="0"/>
          <w:numId w:val="43"/>
        </w:numPr>
        <w:rPr>
          <w:rFonts w:asciiTheme="minorHAnsi" w:hAnsiTheme="minorHAnsi"/>
          <w:sz w:val="16"/>
          <w:szCs w:val="16"/>
        </w:rPr>
      </w:pPr>
      <w:r w:rsidRPr="00021789">
        <w:rPr>
          <w:rFonts w:asciiTheme="minorHAnsi" w:hAnsiTheme="minorHAnsi"/>
          <w:sz w:val="16"/>
          <w:szCs w:val="16"/>
        </w:rPr>
        <w:t>walców statycznych, wibracyjnych lub płyt wibracyjnych.</w:t>
      </w:r>
    </w:p>
    <w:p w14:paraId="2DCFC459"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Stosowany sprzęt nie może spowodować niekorzystnego wpływu na właściwości gruntu podłoża.</w:t>
      </w:r>
    </w:p>
    <w:p w14:paraId="16AC6872" w14:textId="77777777" w:rsidR="009F2B50" w:rsidRPr="00021789" w:rsidRDefault="009F2B50" w:rsidP="009F2B50">
      <w:pPr>
        <w:pStyle w:val="Pro-Inwest"/>
        <w:rPr>
          <w:rFonts w:asciiTheme="minorHAnsi" w:hAnsiTheme="minorHAnsi"/>
          <w:b/>
          <w:sz w:val="16"/>
          <w:szCs w:val="16"/>
        </w:rPr>
      </w:pPr>
    </w:p>
    <w:p w14:paraId="6F2F9648"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4. TRANSPORT</w:t>
      </w:r>
    </w:p>
    <w:p w14:paraId="0FA54331"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4.1. Ogólne wymagania dotyczące transportu</w:t>
      </w:r>
    </w:p>
    <w:p w14:paraId="520F6C2B"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ab/>
        <w:t xml:space="preserve">Ogólne wymagania dotyczące transportu podano w </w:t>
      </w:r>
      <w:proofErr w:type="spellStart"/>
      <w:r w:rsidR="001A03D0"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4.</w:t>
      </w:r>
    </w:p>
    <w:p w14:paraId="34B57E65"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4.2. Transport materiałów</w:t>
      </w:r>
    </w:p>
    <w:p w14:paraId="31BEBB30"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ab/>
        <w:t xml:space="preserve">Wymagania dotyczące transportu materiałów podano w </w:t>
      </w:r>
      <w:proofErr w:type="spellStart"/>
      <w:r w:rsidR="001A03D0" w:rsidRPr="00021789">
        <w:rPr>
          <w:rFonts w:asciiTheme="minorHAnsi" w:hAnsiTheme="minorHAnsi"/>
          <w:sz w:val="16"/>
          <w:szCs w:val="16"/>
        </w:rPr>
        <w:t>STWiORB</w:t>
      </w:r>
      <w:proofErr w:type="spellEnd"/>
      <w:r w:rsidRPr="00021789">
        <w:rPr>
          <w:rFonts w:asciiTheme="minorHAnsi" w:hAnsiTheme="minorHAnsi"/>
          <w:sz w:val="16"/>
          <w:szCs w:val="16"/>
        </w:rPr>
        <w:t xml:space="preserve"> D-04.02.01, D-04.02.02, D-04.03.01 pkt 4.</w:t>
      </w:r>
    </w:p>
    <w:p w14:paraId="7D1FF9C0" w14:textId="77777777" w:rsidR="009F2B50" w:rsidRPr="00021789" w:rsidRDefault="009F2B50" w:rsidP="009F2B50">
      <w:pPr>
        <w:pStyle w:val="Pro-Inwest"/>
        <w:rPr>
          <w:rFonts w:asciiTheme="minorHAnsi" w:hAnsiTheme="minorHAnsi"/>
          <w:b/>
          <w:sz w:val="16"/>
          <w:szCs w:val="16"/>
        </w:rPr>
      </w:pPr>
    </w:p>
    <w:p w14:paraId="4EBD285F"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5. WYKONANIE ROBÓT</w:t>
      </w:r>
    </w:p>
    <w:p w14:paraId="49C29476"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5.1. Ogólne zasady wykonania robót</w:t>
      </w:r>
    </w:p>
    <w:p w14:paraId="48C64570"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 xml:space="preserve">Ogólne zasady wykonania robót podano w </w:t>
      </w:r>
      <w:proofErr w:type="spellStart"/>
      <w:r w:rsidR="001A03D0"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5.</w:t>
      </w:r>
    </w:p>
    <w:p w14:paraId="7962B9F8"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5.2. Warunki przystąpienia do robót</w:t>
      </w:r>
    </w:p>
    <w:p w14:paraId="5B854897"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Wykonawca powinien przystąpić do wykonania koryta oraz profilowania i zagęszczenia podłoża bezpośrednio</w:t>
      </w:r>
      <w:r w:rsidR="001A03D0" w:rsidRPr="00021789">
        <w:rPr>
          <w:rFonts w:asciiTheme="minorHAnsi" w:hAnsiTheme="minorHAnsi"/>
          <w:sz w:val="16"/>
          <w:szCs w:val="16"/>
        </w:rPr>
        <w:br/>
      </w:r>
      <w:r w:rsidRPr="00021789">
        <w:rPr>
          <w:rFonts w:asciiTheme="minorHAnsi" w:hAnsiTheme="minorHAnsi"/>
          <w:sz w:val="16"/>
          <w:szCs w:val="16"/>
        </w:rPr>
        <w:t>przed rozpoczęciem robót</w:t>
      </w:r>
      <w:r w:rsidR="001A03D0" w:rsidRPr="00021789">
        <w:rPr>
          <w:rFonts w:asciiTheme="minorHAnsi" w:hAnsiTheme="minorHAnsi"/>
          <w:sz w:val="16"/>
          <w:szCs w:val="16"/>
        </w:rPr>
        <w:t xml:space="preserve"> </w:t>
      </w:r>
      <w:r w:rsidRPr="00021789">
        <w:rPr>
          <w:rFonts w:asciiTheme="minorHAnsi" w:hAnsiTheme="minorHAnsi"/>
          <w:sz w:val="16"/>
          <w:szCs w:val="16"/>
        </w:rPr>
        <w:t>związanych z wykonaniem warstw nawierzchni. Wcześniejsze przystąpienie do wykonania koryta oraz profilowania i zagęszczania podłoża,</w:t>
      </w:r>
      <w:r w:rsidR="001A03D0" w:rsidRPr="00021789">
        <w:rPr>
          <w:rFonts w:asciiTheme="minorHAnsi" w:hAnsiTheme="minorHAnsi"/>
          <w:sz w:val="16"/>
          <w:szCs w:val="16"/>
        </w:rPr>
        <w:t xml:space="preserve"> </w:t>
      </w:r>
      <w:r w:rsidRPr="00021789">
        <w:rPr>
          <w:rFonts w:asciiTheme="minorHAnsi" w:hAnsiTheme="minorHAnsi"/>
          <w:sz w:val="16"/>
          <w:szCs w:val="16"/>
        </w:rPr>
        <w:t xml:space="preserve">jest </w:t>
      </w:r>
      <w:r w:rsidRPr="00021789">
        <w:rPr>
          <w:rFonts w:asciiTheme="minorHAnsi" w:hAnsiTheme="minorHAnsi"/>
          <w:sz w:val="16"/>
          <w:szCs w:val="16"/>
        </w:rPr>
        <w:tab/>
        <w:t>możliwe wyłącznie za zgodą Inżyniera, w korzystnych warunkach atmosferycznych.</w:t>
      </w:r>
    </w:p>
    <w:p w14:paraId="233EBF78"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W wykonanym korycie oraz po wyprofilowanym i zagęszczonym podłożu nie może odbywać się ruch budowlany, niezwiązany bezpośrednio z wykonaniem pierwszej warstwy nawierzchni.</w:t>
      </w:r>
    </w:p>
    <w:p w14:paraId="394426AD"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5.3. Wykonanie koryta</w:t>
      </w:r>
    </w:p>
    <w:p w14:paraId="068C8AA6"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Paliki lub szpilki do prawidłowego ukształtowania koryta w planie i profilu powinny być wcześniej przygotowane.</w:t>
      </w:r>
    </w:p>
    <w:p w14:paraId="58AFC6F0"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 xml:space="preserve">Paliki lub szpilki należy ustawiać w osi drogi i w rzędach równoległych do osi drogi lub w inny sposób zaakceptowany przez Inżyniera. </w:t>
      </w:r>
      <w:r w:rsidRPr="00021789">
        <w:rPr>
          <w:rFonts w:asciiTheme="minorHAnsi" w:hAnsiTheme="minorHAnsi"/>
          <w:sz w:val="16"/>
          <w:szCs w:val="16"/>
        </w:rPr>
        <w:tab/>
        <w:t>Rozmieszczenie palików lub szpilek powinno umożliwiać naciągnięcie sznurków lub linek do wytyczenia robót w odstępach</w:t>
      </w:r>
      <w:r w:rsidR="001A03D0" w:rsidRPr="00021789">
        <w:rPr>
          <w:rFonts w:asciiTheme="minorHAnsi" w:hAnsiTheme="minorHAnsi"/>
          <w:sz w:val="16"/>
          <w:szCs w:val="16"/>
        </w:rPr>
        <w:br/>
      </w:r>
      <w:r w:rsidRPr="00021789">
        <w:rPr>
          <w:rFonts w:asciiTheme="minorHAnsi" w:hAnsiTheme="minorHAnsi"/>
          <w:sz w:val="16"/>
          <w:szCs w:val="16"/>
        </w:rPr>
        <w:t xml:space="preserve">nie większych niż co </w:t>
      </w:r>
      <w:r w:rsidRPr="00021789">
        <w:rPr>
          <w:rFonts w:asciiTheme="minorHAnsi" w:hAnsiTheme="minorHAnsi"/>
          <w:sz w:val="16"/>
          <w:szCs w:val="16"/>
        </w:rPr>
        <w:tab/>
        <w:t>10 metrów.</w:t>
      </w:r>
    </w:p>
    <w:p w14:paraId="6A6FCDB6"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Rodzaj sprzętu, a w szczególności jego moc należy dostosować do rodzaju gruntu, w którym prowadzone są roboty i do trudności jego odspojenia.</w:t>
      </w:r>
    </w:p>
    <w:p w14:paraId="5E33A7DE"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Koryto można wykonywać ręcznie, gdy jego szerokość nie pozwala na zastosowanie maszyn, na przykład na poszerzeniach</w:t>
      </w:r>
      <w:r w:rsidR="001A03D0" w:rsidRPr="00021789">
        <w:rPr>
          <w:rFonts w:asciiTheme="minorHAnsi" w:hAnsiTheme="minorHAnsi"/>
          <w:sz w:val="16"/>
          <w:szCs w:val="16"/>
        </w:rPr>
        <w:br/>
      </w:r>
      <w:r w:rsidRPr="00021789">
        <w:rPr>
          <w:rFonts w:asciiTheme="minorHAnsi" w:hAnsiTheme="minorHAnsi"/>
          <w:sz w:val="16"/>
          <w:szCs w:val="16"/>
        </w:rPr>
        <w:t>lub w przypadku robót o małym zakresie. Sposób wykonania musi być zaakceptowany przez Inżyniera.</w:t>
      </w:r>
    </w:p>
    <w:p w14:paraId="7EBBC6F0"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Grunt odspojony w czasie wykonywania koryta powinien być wykorzystany zgodnie z ustaleniami dokumentacji projektowej</w:t>
      </w:r>
      <w:r w:rsidR="001A03D0" w:rsidRPr="00021789">
        <w:rPr>
          <w:rFonts w:asciiTheme="minorHAnsi" w:hAnsiTheme="minorHAnsi"/>
          <w:sz w:val="16"/>
          <w:szCs w:val="16"/>
        </w:rPr>
        <w:br/>
      </w:r>
      <w:r w:rsidRPr="00021789">
        <w:rPr>
          <w:rFonts w:asciiTheme="minorHAnsi" w:hAnsiTheme="minorHAnsi"/>
          <w:sz w:val="16"/>
          <w:szCs w:val="16"/>
        </w:rPr>
        <w:t xml:space="preserve">i </w:t>
      </w:r>
      <w:proofErr w:type="spellStart"/>
      <w:r w:rsidR="001A03D0" w:rsidRPr="00021789">
        <w:rPr>
          <w:rFonts w:asciiTheme="minorHAnsi" w:hAnsiTheme="minorHAnsi"/>
          <w:sz w:val="16"/>
          <w:szCs w:val="16"/>
        </w:rPr>
        <w:t>STWiORB</w:t>
      </w:r>
      <w:proofErr w:type="spellEnd"/>
      <w:r w:rsidRPr="00021789">
        <w:rPr>
          <w:rFonts w:asciiTheme="minorHAnsi" w:hAnsiTheme="minorHAnsi"/>
          <w:sz w:val="16"/>
          <w:szCs w:val="16"/>
        </w:rPr>
        <w:t>, tj. wbudowany w nasyp lub odwieziony na odkład w miejsce wskazane przez Inżyniera.</w:t>
      </w:r>
    </w:p>
    <w:p w14:paraId="04CBD67C"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Profilowanie i zagęszczenie podłoża należy wykonać zgodnie z zasadami określonymi w pkt 5.4.</w:t>
      </w:r>
    </w:p>
    <w:p w14:paraId="698FAA4B" w14:textId="77777777" w:rsidR="00213496" w:rsidRPr="00021789" w:rsidRDefault="00213496" w:rsidP="009F2B50">
      <w:pPr>
        <w:pStyle w:val="Pro-Inwest"/>
        <w:rPr>
          <w:rFonts w:asciiTheme="minorHAnsi" w:hAnsiTheme="minorHAnsi"/>
          <w:b/>
          <w:sz w:val="16"/>
          <w:szCs w:val="16"/>
        </w:rPr>
      </w:pPr>
    </w:p>
    <w:p w14:paraId="1AEFF8BD" w14:textId="0910EE39"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lastRenderedPageBreak/>
        <w:t>5.4. Profilowanie i zagęszczanie podłoża</w:t>
      </w:r>
    </w:p>
    <w:p w14:paraId="03262C27"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ab/>
        <w:t>Przed przystąpieniem do profilowania podłoże powinno być oczyszczone ze wszelkich zanieczyszczeń.</w:t>
      </w:r>
    </w:p>
    <w:p w14:paraId="6A787E33"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2B8E66EA"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w:t>
      </w:r>
      <w:r w:rsidR="001A03D0" w:rsidRPr="00021789">
        <w:rPr>
          <w:rFonts w:asciiTheme="minorHAnsi" w:hAnsiTheme="minorHAnsi"/>
          <w:sz w:val="16"/>
          <w:szCs w:val="16"/>
        </w:rPr>
        <w:br/>
      </w:r>
      <w:r w:rsidRPr="00021789">
        <w:rPr>
          <w:rFonts w:asciiTheme="minorHAnsi" w:hAnsiTheme="minorHAnsi"/>
          <w:sz w:val="16"/>
          <w:szCs w:val="16"/>
        </w:rPr>
        <w:t>do uzyskania wartości wskaźnika zagęszczenia, określonych w tablicy 1.</w:t>
      </w:r>
    </w:p>
    <w:p w14:paraId="110ED735"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Do profilowania podłoża należy stosować równiarki. Ścięty grunt powinien być wykorzystany w robotach ziemnych lub w inny sposób zaakceptowany przez Inżyniera.</w:t>
      </w:r>
    </w:p>
    <w:p w14:paraId="0162C893"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Bezpośrednio po profilowaniu podłoża należy przystąpić do jego zagęszczania. Zagęszczanie podłoża należy kontynuować</w:t>
      </w:r>
      <w:r w:rsidR="001A03D0" w:rsidRPr="00021789">
        <w:rPr>
          <w:rFonts w:asciiTheme="minorHAnsi" w:hAnsiTheme="minorHAnsi"/>
          <w:sz w:val="16"/>
          <w:szCs w:val="16"/>
        </w:rPr>
        <w:br/>
      </w:r>
      <w:r w:rsidRPr="00021789">
        <w:rPr>
          <w:rFonts w:asciiTheme="minorHAnsi" w:hAnsiTheme="minorHAnsi"/>
          <w:sz w:val="16"/>
          <w:szCs w:val="16"/>
        </w:rPr>
        <w:t>do osiągnięcia wskaźnika zagęszczenia nie mniejszego od podanego w tablicy 1. Wskaźnik zagęszczenia należy określać zgodnie z BN-77/8931-12 [5].</w:t>
      </w:r>
    </w:p>
    <w:p w14:paraId="45B56B58" w14:textId="77777777" w:rsidR="009F2B50" w:rsidRPr="00021789" w:rsidRDefault="009F2B50" w:rsidP="001A03D0">
      <w:pPr>
        <w:pStyle w:val="Pro-Inwest"/>
        <w:jc w:val="both"/>
        <w:rPr>
          <w:rFonts w:asciiTheme="minorHAnsi" w:hAnsiTheme="minorHAnsi"/>
          <w:sz w:val="16"/>
          <w:szCs w:val="16"/>
        </w:rPr>
      </w:pPr>
    </w:p>
    <w:p w14:paraId="5BE3F4CC"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Tablica 1. Minimalne wartości wskaźnika zagęszczenia podłoża (</w:t>
      </w:r>
      <w:proofErr w:type="spellStart"/>
      <w:r w:rsidRPr="00021789">
        <w:rPr>
          <w:rFonts w:asciiTheme="minorHAnsi" w:hAnsiTheme="minorHAnsi"/>
          <w:sz w:val="16"/>
          <w:szCs w:val="16"/>
        </w:rPr>
        <w:t>Is</w:t>
      </w:r>
      <w:proofErr w:type="spellEnd"/>
      <w:r w:rsidRPr="00021789">
        <w:rPr>
          <w:rFonts w:asciiTheme="minorHAnsi" w:hAnsiTheme="minorHAnsi"/>
          <w:sz w:val="16"/>
          <w:szCs w:val="16"/>
        </w:rPr>
        <w:t>)</w:t>
      </w:r>
    </w:p>
    <w:tbl>
      <w:tblPr>
        <w:tblW w:w="7745" w:type="dxa"/>
        <w:tblInd w:w="-187" w:type="dxa"/>
        <w:tblLayout w:type="fixed"/>
        <w:tblCellMar>
          <w:left w:w="10" w:type="dxa"/>
          <w:right w:w="10" w:type="dxa"/>
        </w:tblCellMar>
        <w:tblLook w:val="0000" w:firstRow="0" w:lastRow="0" w:firstColumn="0" w:lastColumn="0" w:noHBand="0" w:noVBand="0"/>
      </w:tblPr>
      <w:tblGrid>
        <w:gridCol w:w="2905"/>
        <w:gridCol w:w="1560"/>
        <w:gridCol w:w="1521"/>
        <w:gridCol w:w="1759"/>
      </w:tblGrid>
      <w:tr w:rsidR="00021789" w:rsidRPr="00021789" w14:paraId="3DE6E95C" w14:textId="77777777" w:rsidTr="001A03D0">
        <w:tc>
          <w:tcPr>
            <w:tcW w:w="2905" w:type="dxa"/>
            <w:tcBorders>
              <w:top w:val="single" w:sz="4" w:space="0" w:color="000000"/>
              <w:left w:val="single" w:sz="4" w:space="0" w:color="000000"/>
              <w:bottom w:val="single" w:sz="4" w:space="0" w:color="000000"/>
            </w:tcBorders>
            <w:tcMar>
              <w:top w:w="0" w:type="dxa"/>
              <w:left w:w="0" w:type="dxa"/>
              <w:bottom w:w="0" w:type="dxa"/>
              <w:right w:w="0" w:type="dxa"/>
            </w:tcMar>
          </w:tcPr>
          <w:p w14:paraId="533315A4" w14:textId="77777777" w:rsidR="009F2B50" w:rsidRPr="00021789" w:rsidRDefault="009F2B50" w:rsidP="009F2B50">
            <w:pPr>
              <w:pStyle w:val="Pro-Inwest"/>
              <w:rPr>
                <w:rFonts w:asciiTheme="minorHAnsi" w:hAnsiTheme="minorHAnsi"/>
                <w:sz w:val="16"/>
                <w:szCs w:val="16"/>
              </w:rPr>
            </w:pPr>
          </w:p>
        </w:tc>
        <w:tc>
          <w:tcPr>
            <w:tcW w:w="4840" w:type="dxa"/>
            <w:gridSpan w:val="3"/>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9D2251E"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 xml:space="preserve">Minimalna wartość </w:t>
            </w:r>
            <w:proofErr w:type="spellStart"/>
            <w:r w:rsidRPr="00021789">
              <w:rPr>
                <w:rFonts w:asciiTheme="minorHAnsi" w:hAnsiTheme="minorHAnsi"/>
                <w:sz w:val="16"/>
                <w:szCs w:val="16"/>
              </w:rPr>
              <w:t>Is</w:t>
            </w:r>
            <w:proofErr w:type="spellEnd"/>
            <w:r w:rsidRPr="00021789">
              <w:rPr>
                <w:rFonts w:asciiTheme="minorHAnsi" w:hAnsiTheme="minorHAnsi"/>
                <w:sz w:val="16"/>
                <w:szCs w:val="16"/>
              </w:rPr>
              <w:t xml:space="preserve"> dla:</w:t>
            </w:r>
          </w:p>
        </w:tc>
      </w:tr>
      <w:tr w:rsidR="00021789" w:rsidRPr="00021789" w14:paraId="402D12B7" w14:textId="77777777" w:rsidTr="001A03D0">
        <w:tc>
          <w:tcPr>
            <w:tcW w:w="2905" w:type="dxa"/>
            <w:tcBorders>
              <w:left w:val="single" w:sz="4" w:space="0" w:color="000000"/>
              <w:bottom w:val="single" w:sz="4" w:space="0" w:color="000000"/>
            </w:tcBorders>
            <w:tcMar>
              <w:top w:w="0" w:type="dxa"/>
              <w:left w:w="0" w:type="dxa"/>
              <w:bottom w:w="0" w:type="dxa"/>
              <w:right w:w="0" w:type="dxa"/>
            </w:tcMar>
          </w:tcPr>
          <w:p w14:paraId="5E9332C1"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Strefa</w:t>
            </w:r>
          </w:p>
        </w:tc>
        <w:tc>
          <w:tcPr>
            <w:tcW w:w="1560" w:type="dxa"/>
            <w:tcBorders>
              <w:left w:val="single" w:sz="4" w:space="0" w:color="000000"/>
              <w:bottom w:val="single" w:sz="4" w:space="0" w:color="000000"/>
            </w:tcBorders>
            <w:tcMar>
              <w:top w:w="0" w:type="dxa"/>
              <w:left w:w="0" w:type="dxa"/>
              <w:bottom w:w="0" w:type="dxa"/>
              <w:right w:w="0" w:type="dxa"/>
            </w:tcMar>
          </w:tcPr>
          <w:p w14:paraId="500F0921"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Autostrad i dróg</w:t>
            </w:r>
          </w:p>
        </w:tc>
        <w:tc>
          <w:tcPr>
            <w:tcW w:w="3280" w:type="dxa"/>
            <w:gridSpan w:val="2"/>
            <w:tcBorders>
              <w:left w:val="single" w:sz="4" w:space="0" w:color="000000"/>
              <w:bottom w:val="single" w:sz="4" w:space="0" w:color="000000"/>
              <w:right w:val="single" w:sz="4" w:space="0" w:color="000000"/>
            </w:tcBorders>
            <w:tcMar>
              <w:top w:w="0" w:type="dxa"/>
              <w:left w:w="0" w:type="dxa"/>
              <w:bottom w:w="0" w:type="dxa"/>
              <w:right w:w="0" w:type="dxa"/>
            </w:tcMar>
          </w:tcPr>
          <w:p w14:paraId="6BDE09DB"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Innych dróg</w:t>
            </w:r>
          </w:p>
        </w:tc>
      </w:tr>
      <w:tr w:rsidR="00021789" w:rsidRPr="00021789" w14:paraId="267C527E" w14:textId="77777777" w:rsidTr="001A03D0">
        <w:tc>
          <w:tcPr>
            <w:tcW w:w="2905" w:type="dxa"/>
            <w:tcBorders>
              <w:left w:val="single" w:sz="4" w:space="0" w:color="000000"/>
              <w:bottom w:val="single" w:sz="4" w:space="0" w:color="000000"/>
            </w:tcBorders>
            <w:tcMar>
              <w:top w:w="0" w:type="dxa"/>
              <w:left w:w="0" w:type="dxa"/>
              <w:bottom w:w="0" w:type="dxa"/>
              <w:right w:w="0" w:type="dxa"/>
            </w:tcMar>
          </w:tcPr>
          <w:p w14:paraId="1C33CF93"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korpusu</w:t>
            </w:r>
          </w:p>
        </w:tc>
        <w:tc>
          <w:tcPr>
            <w:tcW w:w="1560" w:type="dxa"/>
            <w:tcBorders>
              <w:left w:val="single" w:sz="4" w:space="0" w:color="000000"/>
              <w:bottom w:val="single" w:sz="4" w:space="0" w:color="000000"/>
            </w:tcBorders>
            <w:tcMar>
              <w:top w:w="0" w:type="dxa"/>
              <w:left w:w="0" w:type="dxa"/>
              <w:bottom w:w="0" w:type="dxa"/>
              <w:right w:w="0" w:type="dxa"/>
            </w:tcMar>
          </w:tcPr>
          <w:p w14:paraId="0AAEECC2"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ekspresowych</w:t>
            </w:r>
          </w:p>
        </w:tc>
        <w:tc>
          <w:tcPr>
            <w:tcW w:w="1521" w:type="dxa"/>
            <w:tcBorders>
              <w:left w:val="single" w:sz="4" w:space="0" w:color="000000"/>
              <w:bottom w:val="single" w:sz="4" w:space="0" w:color="000000"/>
            </w:tcBorders>
            <w:tcMar>
              <w:top w:w="0" w:type="dxa"/>
              <w:left w:w="0" w:type="dxa"/>
              <w:bottom w:w="0" w:type="dxa"/>
              <w:right w:w="0" w:type="dxa"/>
            </w:tcMar>
          </w:tcPr>
          <w:p w14:paraId="73BD8459"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Ruch ciężki</w:t>
            </w:r>
          </w:p>
          <w:p w14:paraId="488B3B2D"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i bardzo ciężki</w:t>
            </w:r>
          </w:p>
        </w:tc>
        <w:tc>
          <w:tcPr>
            <w:tcW w:w="1759" w:type="dxa"/>
            <w:tcBorders>
              <w:left w:val="single" w:sz="4" w:space="0" w:color="000000"/>
              <w:bottom w:val="single" w:sz="4" w:space="0" w:color="000000"/>
              <w:right w:val="single" w:sz="4" w:space="0" w:color="000000"/>
            </w:tcBorders>
            <w:tcMar>
              <w:top w:w="0" w:type="dxa"/>
              <w:left w:w="0" w:type="dxa"/>
              <w:bottom w:w="0" w:type="dxa"/>
              <w:right w:w="0" w:type="dxa"/>
            </w:tcMar>
          </w:tcPr>
          <w:p w14:paraId="2069F61B"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Ruch mniejszy</w:t>
            </w:r>
          </w:p>
          <w:p w14:paraId="1C132B99"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od ciężkiego</w:t>
            </w:r>
          </w:p>
        </w:tc>
      </w:tr>
      <w:tr w:rsidR="00021789" w:rsidRPr="00021789" w14:paraId="28E491E1" w14:textId="77777777" w:rsidTr="001A03D0">
        <w:tc>
          <w:tcPr>
            <w:tcW w:w="2905" w:type="dxa"/>
            <w:tcBorders>
              <w:left w:val="single" w:sz="4" w:space="0" w:color="000000"/>
              <w:bottom w:val="single" w:sz="4" w:space="0" w:color="000000"/>
            </w:tcBorders>
            <w:tcMar>
              <w:top w:w="0" w:type="dxa"/>
              <w:left w:w="0" w:type="dxa"/>
              <w:bottom w:w="0" w:type="dxa"/>
              <w:right w:w="0" w:type="dxa"/>
            </w:tcMar>
          </w:tcPr>
          <w:p w14:paraId="0A75714F"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Górna warstwa o grubości 20 cm</w:t>
            </w:r>
          </w:p>
        </w:tc>
        <w:tc>
          <w:tcPr>
            <w:tcW w:w="1560" w:type="dxa"/>
            <w:tcBorders>
              <w:left w:val="single" w:sz="4" w:space="0" w:color="000000"/>
              <w:bottom w:val="single" w:sz="4" w:space="0" w:color="000000"/>
            </w:tcBorders>
            <w:tcMar>
              <w:top w:w="0" w:type="dxa"/>
              <w:left w:w="0" w:type="dxa"/>
              <w:bottom w:w="0" w:type="dxa"/>
              <w:right w:w="0" w:type="dxa"/>
            </w:tcMar>
          </w:tcPr>
          <w:p w14:paraId="5688ACC1"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1,03</w:t>
            </w:r>
          </w:p>
        </w:tc>
        <w:tc>
          <w:tcPr>
            <w:tcW w:w="1521" w:type="dxa"/>
            <w:tcBorders>
              <w:left w:val="single" w:sz="4" w:space="0" w:color="000000"/>
              <w:bottom w:val="single" w:sz="4" w:space="0" w:color="000000"/>
            </w:tcBorders>
            <w:tcMar>
              <w:top w:w="0" w:type="dxa"/>
              <w:left w:w="0" w:type="dxa"/>
              <w:bottom w:w="0" w:type="dxa"/>
              <w:right w:w="0" w:type="dxa"/>
            </w:tcMar>
          </w:tcPr>
          <w:p w14:paraId="545845C6"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1,00</w:t>
            </w:r>
          </w:p>
        </w:tc>
        <w:tc>
          <w:tcPr>
            <w:tcW w:w="1759" w:type="dxa"/>
            <w:tcBorders>
              <w:left w:val="single" w:sz="4" w:space="0" w:color="000000"/>
              <w:bottom w:val="single" w:sz="4" w:space="0" w:color="000000"/>
              <w:right w:val="single" w:sz="4" w:space="0" w:color="000000"/>
            </w:tcBorders>
            <w:tcMar>
              <w:top w:w="0" w:type="dxa"/>
              <w:left w:w="0" w:type="dxa"/>
              <w:bottom w:w="0" w:type="dxa"/>
              <w:right w:w="0" w:type="dxa"/>
            </w:tcMar>
          </w:tcPr>
          <w:p w14:paraId="597998B7"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1,00</w:t>
            </w:r>
          </w:p>
        </w:tc>
      </w:tr>
      <w:tr w:rsidR="00021789" w:rsidRPr="00021789" w14:paraId="1F8BAF3B" w14:textId="77777777" w:rsidTr="001A03D0">
        <w:tc>
          <w:tcPr>
            <w:tcW w:w="2905" w:type="dxa"/>
            <w:tcBorders>
              <w:left w:val="single" w:sz="4" w:space="0" w:color="000000"/>
              <w:bottom w:val="single" w:sz="4" w:space="0" w:color="000000"/>
            </w:tcBorders>
            <w:tcMar>
              <w:top w:w="0" w:type="dxa"/>
              <w:left w:w="0" w:type="dxa"/>
              <w:bottom w:w="0" w:type="dxa"/>
              <w:right w:w="0" w:type="dxa"/>
            </w:tcMar>
          </w:tcPr>
          <w:p w14:paraId="63BD1FB4"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Na głębokości od 20 do 50 cm od powierzchni podłoża</w:t>
            </w:r>
          </w:p>
        </w:tc>
        <w:tc>
          <w:tcPr>
            <w:tcW w:w="1560" w:type="dxa"/>
            <w:tcBorders>
              <w:left w:val="single" w:sz="4" w:space="0" w:color="000000"/>
              <w:bottom w:val="single" w:sz="4" w:space="0" w:color="000000"/>
            </w:tcBorders>
            <w:tcMar>
              <w:top w:w="0" w:type="dxa"/>
              <w:left w:w="0" w:type="dxa"/>
              <w:bottom w:w="0" w:type="dxa"/>
              <w:right w:w="0" w:type="dxa"/>
            </w:tcMar>
          </w:tcPr>
          <w:p w14:paraId="69763AB8" w14:textId="77777777" w:rsidR="009F2B50" w:rsidRPr="00021789" w:rsidRDefault="009F2B50" w:rsidP="009F2B50">
            <w:pPr>
              <w:pStyle w:val="Pro-Inwest"/>
              <w:rPr>
                <w:rFonts w:asciiTheme="minorHAnsi" w:hAnsiTheme="minorHAnsi"/>
                <w:sz w:val="16"/>
                <w:szCs w:val="16"/>
              </w:rPr>
            </w:pPr>
          </w:p>
          <w:p w14:paraId="77B7881F"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1,00</w:t>
            </w:r>
          </w:p>
        </w:tc>
        <w:tc>
          <w:tcPr>
            <w:tcW w:w="1521" w:type="dxa"/>
            <w:tcBorders>
              <w:left w:val="single" w:sz="4" w:space="0" w:color="000000"/>
              <w:bottom w:val="single" w:sz="4" w:space="0" w:color="000000"/>
            </w:tcBorders>
            <w:tcMar>
              <w:top w:w="0" w:type="dxa"/>
              <w:left w:w="0" w:type="dxa"/>
              <w:bottom w:w="0" w:type="dxa"/>
              <w:right w:w="0" w:type="dxa"/>
            </w:tcMar>
          </w:tcPr>
          <w:p w14:paraId="56EE00F3" w14:textId="77777777" w:rsidR="009F2B50" w:rsidRPr="00021789" w:rsidRDefault="009F2B50" w:rsidP="009F2B50">
            <w:pPr>
              <w:pStyle w:val="Pro-Inwest"/>
              <w:rPr>
                <w:rFonts w:asciiTheme="minorHAnsi" w:hAnsiTheme="minorHAnsi"/>
                <w:sz w:val="16"/>
                <w:szCs w:val="16"/>
              </w:rPr>
            </w:pPr>
          </w:p>
          <w:p w14:paraId="03A75581"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1,00</w:t>
            </w:r>
          </w:p>
        </w:tc>
        <w:tc>
          <w:tcPr>
            <w:tcW w:w="1759" w:type="dxa"/>
            <w:tcBorders>
              <w:left w:val="single" w:sz="4" w:space="0" w:color="000000"/>
              <w:bottom w:val="single" w:sz="4" w:space="0" w:color="000000"/>
              <w:right w:val="single" w:sz="4" w:space="0" w:color="000000"/>
            </w:tcBorders>
            <w:tcMar>
              <w:top w:w="0" w:type="dxa"/>
              <w:left w:w="0" w:type="dxa"/>
              <w:bottom w:w="0" w:type="dxa"/>
              <w:right w:w="0" w:type="dxa"/>
            </w:tcMar>
          </w:tcPr>
          <w:p w14:paraId="4587E691" w14:textId="77777777" w:rsidR="009F2B50" w:rsidRPr="00021789" w:rsidRDefault="009F2B50" w:rsidP="009F2B50">
            <w:pPr>
              <w:pStyle w:val="Pro-Inwest"/>
              <w:rPr>
                <w:rFonts w:asciiTheme="minorHAnsi" w:hAnsiTheme="minorHAnsi"/>
                <w:sz w:val="16"/>
                <w:szCs w:val="16"/>
              </w:rPr>
            </w:pPr>
          </w:p>
          <w:p w14:paraId="09A52511"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0,97</w:t>
            </w:r>
          </w:p>
        </w:tc>
      </w:tr>
    </w:tbl>
    <w:p w14:paraId="4CCE2ACC" w14:textId="77777777" w:rsidR="009F2B50" w:rsidRPr="00021789" w:rsidRDefault="009F2B50" w:rsidP="009F2B50">
      <w:pPr>
        <w:pStyle w:val="Pro-Inwest"/>
        <w:rPr>
          <w:rFonts w:asciiTheme="minorHAnsi" w:hAnsiTheme="minorHAnsi"/>
          <w:b/>
          <w:sz w:val="16"/>
          <w:szCs w:val="16"/>
        </w:rPr>
      </w:pPr>
    </w:p>
    <w:p w14:paraId="1C4CAF13"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44E53302"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Wilgotność gruntu podłoża podczas zagęszczania powinna być równa wilgotności optymalnej z tolerancją od -20% do +10%.</w:t>
      </w:r>
    </w:p>
    <w:p w14:paraId="27E2BC07"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5.5. Utrzymanie koryta oraz wyprofilowanego i zagęszczonego podłoża</w:t>
      </w:r>
      <w:r w:rsidR="001A03D0" w:rsidRPr="00021789">
        <w:rPr>
          <w:rFonts w:asciiTheme="minorHAnsi" w:hAnsiTheme="minorHAnsi"/>
          <w:sz w:val="16"/>
          <w:szCs w:val="16"/>
        </w:rPr>
        <w:t>.</w:t>
      </w:r>
    </w:p>
    <w:p w14:paraId="40542C63"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Podłoże (koryto) po wyprofilowaniu i zagęszczeniu powinno być utrzymywane w dobrym stanie.</w:t>
      </w:r>
    </w:p>
    <w:p w14:paraId="7837B59E"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Jeżeli po wykonaniu robót związanych z profilowaniem i zagęszczeniem podłoża nastąpi przerwa w robotach i Wykonawca</w:t>
      </w:r>
      <w:r w:rsidR="001A03D0" w:rsidRPr="00021789">
        <w:rPr>
          <w:rFonts w:asciiTheme="minorHAnsi" w:hAnsiTheme="minorHAnsi"/>
          <w:sz w:val="16"/>
          <w:szCs w:val="16"/>
        </w:rPr>
        <w:br/>
      </w:r>
      <w:r w:rsidRPr="00021789">
        <w:rPr>
          <w:rFonts w:asciiTheme="minorHAnsi" w:hAnsiTheme="minorHAnsi"/>
          <w:sz w:val="16"/>
          <w:szCs w:val="16"/>
        </w:rPr>
        <w:t>nie przystąpi natychmiast do układania warstw nawierzchni, to powinien on zabezpieczyć podłoże przed nadmiernym zawilgoceniem,</w:t>
      </w:r>
      <w:r w:rsidR="001A03D0" w:rsidRPr="00021789">
        <w:rPr>
          <w:rFonts w:asciiTheme="minorHAnsi" w:hAnsiTheme="minorHAnsi"/>
          <w:sz w:val="16"/>
          <w:szCs w:val="16"/>
        </w:rPr>
        <w:br/>
      </w:r>
      <w:r w:rsidRPr="00021789">
        <w:rPr>
          <w:rFonts w:asciiTheme="minorHAnsi" w:hAnsiTheme="minorHAnsi"/>
          <w:sz w:val="16"/>
          <w:szCs w:val="16"/>
        </w:rPr>
        <w:t>na przykład przez rozłożenie folii lub w inny sposób zaakceptowany przez Inżyniera.</w:t>
      </w:r>
    </w:p>
    <w:p w14:paraId="0C3F5E92"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Jeżeli wyprofilowane i zagęszczone podłoże uległo nadmiernemu zawilgoceniu, to do układania kolejnej warstwy można przystąpić dopiero po jego naturalnym osuszeniu.</w:t>
      </w:r>
    </w:p>
    <w:p w14:paraId="761BB75D" w14:textId="77777777" w:rsidR="009F2B50" w:rsidRPr="00021789" w:rsidRDefault="009F2B50" w:rsidP="001A03D0">
      <w:pPr>
        <w:pStyle w:val="Pro-Inwest"/>
        <w:jc w:val="both"/>
        <w:rPr>
          <w:rFonts w:asciiTheme="minorHAnsi" w:hAnsiTheme="minorHAnsi"/>
          <w:sz w:val="16"/>
          <w:szCs w:val="16"/>
        </w:rPr>
      </w:pPr>
      <w:r w:rsidRPr="00021789">
        <w:rPr>
          <w:rFonts w:asciiTheme="minorHAnsi" w:hAnsiTheme="minorHAnsi"/>
          <w:sz w:val="16"/>
          <w:szCs w:val="16"/>
        </w:rPr>
        <w:tab/>
        <w:t xml:space="preserve">Po osuszeniu podłoża Inżynier oceni jego stan i ewentualnie zaleci wykonanie niezbędnych napraw. Jeżeli zawilgocenie nastąpiło wskutek </w:t>
      </w:r>
      <w:r w:rsidRPr="00021789">
        <w:rPr>
          <w:rFonts w:asciiTheme="minorHAnsi" w:hAnsiTheme="minorHAnsi"/>
          <w:sz w:val="16"/>
          <w:szCs w:val="16"/>
        </w:rPr>
        <w:tab/>
        <w:t>zaniedbania Wykonawcy, to naprawę wykona on na własny koszt.</w:t>
      </w:r>
    </w:p>
    <w:p w14:paraId="2056710F" w14:textId="77777777" w:rsidR="009F2B50" w:rsidRPr="00021789" w:rsidRDefault="009F2B50" w:rsidP="009F2B50">
      <w:pPr>
        <w:pStyle w:val="Pro-Inwest"/>
        <w:rPr>
          <w:rFonts w:asciiTheme="minorHAnsi" w:hAnsiTheme="minorHAnsi"/>
          <w:b/>
          <w:sz w:val="16"/>
          <w:szCs w:val="16"/>
        </w:rPr>
      </w:pPr>
    </w:p>
    <w:p w14:paraId="2F3C131C"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6. KONTROLA JAKOŚCI ROBÓT</w:t>
      </w:r>
    </w:p>
    <w:p w14:paraId="2EB5D7AA"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6.1. Ogólne zasady kontroli jakości robót</w:t>
      </w:r>
    </w:p>
    <w:p w14:paraId="111F5AF8"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ab/>
        <w:t xml:space="preserve">Ogólne zasady kontroli jakości robót podano w </w:t>
      </w:r>
      <w:proofErr w:type="spellStart"/>
      <w:r w:rsidR="001A03D0"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6.</w:t>
      </w:r>
    </w:p>
    <w:p w14:paraId="7AF19722"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6.2. Badania w czasie robót</w:t>
      </w:r>
    </w:p>
    <w:p w14:paraId="213FF8A7"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6.2.1. Częstotliwość oraz zakres badań i pomiarów</w:t>
      </w:r>
    </w:p>
    <w:p w14:paraId="2E32D78A"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Częstotliwość oraz zakres badań i pomiarów dotyczących cech geometrycznych i zagęszczenia koryta i wyprofilowanego podłoża podaje tablica  2.</w:t>
      </w:r>
    </w:p>
    <w:p w14:paraId="6F839DCD"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Tablica 2.</w:t>
      </w:r>
      <w:r w:rsidRPr="00021789">
        <w:rPr>
          <w:rFonts w:asciiTheme="minorHAnsi" w:hAnsiTheme="minorHAnsi"/>
          <w:sz w:val="16"/>
          <w:szCs w:val="16"/>
        </w:rPr>
        <w:tab/>
        <w:t>Częstotliwość oraz zakres badań i pomiarów wykonanego koryta i wyprofilowanego podłoża</w:t>
      </w:r>
    </w:p>
    <w:tbl>
      <w:tblPr>
        <w:tblW w:w="7675" w:type="dxa"/>
        <w:tblInd w:w="-5" w:type="dxa"/>
        <w:tblLayout w:type="fixed"/>
        <w:tblCellMar>
          <w:left w:w="10" w:type="dxa"/>
          <w:right w:w="10" w:type="dxa"/>
        </w:tblCellMar>
        <w:tblLook w:val="0000" w:firstRow="0" w:lastRow="0" w:firstColumn="0" w:lastColumn="0" w:noHBand="0" w:noVBand="0"/>
      </w:tblPr>
      <w:tblGrid>
        <w:gridCol w:w="492"/>
        <w:gridCol w:w="2255"/>
        <w:gridCol w:w="4855"/>
        <w:gridCol w:w="73"/>
      </w:tblGrid>
      <w:tr w:rsidR="00021789" w:rsidRPr="00021789" w14:paraId="77FD53CD" w14:textId="77777777" w:rsidTr="001A03D0">
        <w:tc>
          <w:tcPr>
            <w:tcW w:w="492" w:type="dxa"/>
            <w:tcBorders>
              <w:top w:val="single" w:sz="4" w:space="0" w:color="000000"/>
              <w:left w:val="single" w:sz="4" w:space="0" w:color="000000"/>
              <w:bottom w:val="single" w:sz="4" w:space="0" w:color="000000"/>
            </w:tcBorders>
            <w:tcMar>
              <w:top w:w="0" w:type="dxa"/>
              <w:left w:w="0" w:type="dxa"/>
              <w:bottom w:w="0" w:type="dxa"/>
              <w:right w:w="0" w:type="dxa"/>
            </w:tcMar>
          </w:tcPr>
          <w:p w14:paraId="2749A50E"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Lp.</w:t>
            </w:r>
          </w:p>
        </w:tc>
        <w:tc>
          <w:tcPr>
            <w:tcW w:w="2255" w:type="dxa"/>
            <w:tcBorders>
              <w:top w:val="single" w:sz="4" w:space="0" w:color="000000"/>
              <w:left w:val="single" w:sz="4" w:space="0" w:color="000000"/>
              <w:bottom w:val="single" w:sz="4" w:space="0" w:color="000000"/>
            </w:tcBorders>
            <w:tcMar>
              <w:top w:w="0" w:type="dxa"/>
              <w:left w:w="0" w:type="dxa"/>
              <w:bottom w:w="0" w:type="dxa"/>
              <w:right w:w="0" w:type="dxa"/>
            </w:tcMar>
          </w:tcPr>
          <w:p w14:paraId="4F4DCCFF"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Wyszczególnienie badań</w:t>
            </w:r>
          </w:p>
          <w:p w14:paraId="76BE3457"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i pomiarów</w:t>
            </w:r>
          </w:p>
        </w:tc>
        <w:tc>
          <w:tcPr>
            <w:tcW w:w="4855" w:type="dxa"/>
            <w:tcBorders>
              <w:top w:val="single" w:sz="4" w:space="0" w:color="000000"/>
              <w:left w:val="single" w:sz="4" w:space="0" w:color="000000"/>
              <w:bottom w:val="single" w:sz="4" w:space="0" w:color="000000"/>
            </w:tcBorders>
            <w:tcMar>
              <w:top w:w="0" w:type="dxa"/>
              <w:left w:w="0" w:type="dxa"/>
              <w:bottom w:w="0" w:type="dxa"/>
              <w:right w:w="0" w:type="dxa"/>
            </w:tcMar>
          </w:tcPr>
          <w:p w14:paraId="79EAE869"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Minimalna częstotliwość</w:t>
            </w:r>
          </w:p>
          <w:p w14:paraId="43E2F942"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badań i pomiarów</w:t>
            </w:r>
          </w:p>
        </w:tc>
        <w:tc>
          <w:tcPr>
            <w:tcW w:w="73"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75812F37" w14:textId="77777777" w:rsidR="009F2B50" w:rsidRPr="00021789" w:rsidRDefault="009F2B50" w:rsidP="009F2B50">
            <w:pPr>
              <w:pStyle w:val="Pro-Inwest"/>
              <w:rPr>
                <w:rFonts w:asciiTheme="minorHAnsi" w:hAnsiTheme="minorHAnsi"/>
                <w:sz w:val="16"/>
                <w:szCs w:val="16"/>
              </w:rPr>
            </w:pPr>
          </w:p>
        </w:tc>
      </w:tr>
      <w:tr w:rsidR="00021789" w:rsidRPr="00021789" w14:paraId="0409FB49" w14:textId="77777777" w:rsidTr="001A03D0">
        <w:tc>
          <w:tcPr>
            <w:tcW w:w="492" w:type="dxa"/>
            <w:tcBorders>
              <w:left w:val="single" w:sz="4" w:space="0" w:color="000000"/>
              <w:bottom w:val="single" w:sz="4" w:space="0" w:color="000000"/>
            </w:tcBorders>
            <w:tcMar>
              <w:top w:w="0" w:type="dxa"/>
              <w:left w:w="0" w:type="dxa"/>
              <w:bottom w:w="0" w:type="dxa"/>
              <w:right w:w="0" w:type="dxa"/>
            </w:tcMar>
          </w:tcPr>
          <w:p w14:paraId="4C84E55E"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1</w:t>
            </w:r>
          </w:p>
        </w:tc>
        <w:tc>
          <w:tcPr>
            <w:tcW w:w="2255" w:type="dxa"/>
            <w:tcBorders>
              <w:left w:val="single" w:sz="4" w:space="0" w:color="000000"/>
              <w:bottom w:val="single" w:sz="4" w:space="0" w:color="000000"/>
            </w:tcBorders>
            <w:tcMar>
              <w:top w:w="0" w:type="dxa"/>
              <w:left w:w="0" w:type="dxa"/>
              <w:bottom w:w="0" w:type="dxa"/>
              <w:right w:w="0" w:type="dxa"/>
            </w:tcMar>
          </w:tcPr>
          <w:p w14:paraId="216037C5"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Szerokość koryta</w:t>
            </w:r>
          </w:p>
        </w:tc>
        <w:tc>
          <w:tcPr>
            <w:tcW w:w="4928" w:type="dxa"/>
            <w:gridSpan w:val="2"/>
            <w:tcBorders>
              <w:left w:val="single" w:sz="4" w:space="0" w:color="000000"/>
              <w:bottom w:val="single" w:sz="4" w:space="0" w:color="000000"/>
              <w:right w:val="single" w:sz="4" w:space="0" w:color="000000"/>
            </w:tcBorders>
            <w:tcMar>
              <w:top w:w="0" w:type="dxa"/>
              <w:left w:w="0" w:type="dxa"/>
              <w:bottom w:w="0" w:type="dxa"/>
              <w:right w:w="0" w:type="dxa"/>
            </w:tcMar>
          </w:tcPr>
          <w:p w14:paraId="03483445"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10 razy na 1 km</w:t>
            </w:r>
          </w:p>
        </w:tc>
      </w:tr>
      <w:tr w:rsidR="00021789" w:rsidRPr="00021789" w14:paraId="21C18B0E" w14:textId="77777777" w:rsidTr="001A03D0">
        <w:tc>
          <w:tcPr>
            <w:tcW w:w="492" w:type="dxa"/>
            <w:tcBorders>
              <w:left w:val="single" w:sz="4" w:space="0" w:color="000000"/>
              <w:bottom w:val="single" w:sz="4" w:space="0" w:color="000000"/>
            </w:tcBorders>
            <w:tcMar>
              <w:top w:w="0" w:type="dxa"/>
              <w:left w:w="0" w:type="dxa"/>
              <w:bottom w:w="0" w:type="dxa"/>
              <w:right w:w="0" w:type="dxa"/>
            </w:tcMar>
          </w:tcPr>
          <w:p w14:paraId="0DF9C630"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2</w:t>
            </w:r>
          </w:p>
        </w:tc>
        <w:tc>
          <w:tcPr>
            <w:tcW w:w="2255" w:type="dxa"/>
            <w:tcBorders>
              <w:left w:val="single" w:sz="4" w:space="0" w:color="000000"/>
              <w:bottom w:val="single" w:sz="4" w:space="0" w:color="000000"/>
            </w:tcBorders>
            <w:tcMar>
              <w:top w:w="0" w:type="dxa"/>
              <w:left w:w="0" w:type="dxa"/>
              <w:bottom w:w="0" w:type="dxa"/>
              <w:right w:w="0" w:type="dxa"/>
            </w:tcMar>
          </w:tcPr>
          <w:p w14:paraId="4234DF6B"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Równość podłużna</w:t>
            </w:r>
          </w:p>
        </w:tc>
        <w:tc>
          <w:tcPr>
            <w:tcW w:w="4928" w:type="dxa"/>
            <w:gridSpan w:val="2"/>
            <w:tcBorders>
              <w:left w:val="single" w:sz="4" w:space="0" w:color="000000"/>
              <w:bottom w:val="single" w:sz="4" w:space="0" w:color="000000"/>
              <w:right w:val="single" w:sz="4" w:space="0" w:color="000000"/>
            </w:tcBorders>
            <w:tcMar>
              <w:top w:w="0" w:type="dxa"/>
              <w:left w:w="0" w:type="dxa"/>
              <w:bottom w:w="0" w:type="dxa"/>
              <w:right w:w="0" w:type="dxa"/>
            </w:tcMar>
          </w:tcPr>
          <w:p w14:paraId="016BDB1D"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co 20 m na każdym pasie ruchu</w:t>
            </w:r>
          </w:p>
        </w:tc>
      </w:tr>
      <w:tr w:rsidR="00021789" w:rsidRPr="00021789" w14:paraId="5A075DCE" w14:textId="77777777" w:rsidTr="001A03D0">
        <w:tc>
          <w:tcPr>
            <w:tcW w:w="492" w:type="dxa"/>
            <w:tcBorders>
              <w:left w:val="single" w:sz="4" w:space="0" w:color="000000"/>
              <w:bottom w:val="single" w:sz="4" w:space="0" w:color="000000"/>
            </w:tcBorders>
            <w:tcMar>
              <w:top w:w="0" w:type="dxa"/>
              <w:left w:w="0" w:type="dxa"/>
              <w:bottom w:w="0" w:type="dxa"/>
              <w:right w:w="0" w:type="dxa"/>
            </w:tcMar>
          </w:tcPr>
          <w:p w14:paraId="19004F50"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3</w:t>
            </w:r>
          </w:p>
        </w:tc>
        <w:tc>
          <w:tcPr>
            <w:tcW w:w="2255" w:type="dxa"/>
            <w:tcBorders>
              <w:left w:val="single" w:sz="4" w:space="0" w:color="000000"/>
              <w:bottom w:val="single" w:sz="4" w:space="0" w:color="000000"/>
            </w:tcBorders>
            <w:tcMar>
              <w:top w:w="0" w:type="dxa"/>
              <w:left w:w="0" w:type="dxa"/>
              <w:bottom w:w="0" w:type="dxa"/>
              <w:right w:w="0" w:type="dxa"/>
            </w:tcMar>
          </w:tcPr>
          <w:p w14:paraId="3BEF6A05"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Równość poprzeczna</w:t>
            </w:r>
          </w:p>
        </w:tc>
        <w:tc>
          <w:tcPr>
            <w:tcW w:w="4928" w:type="dxa"/>
            <w:gridSpan w:val="2"/>
            <w:tcBorders>
              <w:left w:val="single" w:sz="4" w:space="0" w:color="000000"/>
              <w:bottom w:val="single" w:sz="4" w:space="0" w:color="000000"/>
              <w:right w:val="single" w:sz="4" w:space="0" w:color="000000"/>
            </w:tcBorders>
            <w:tcMar>
              <w:top w:w="0" w:type="dxa"/>
              <w:left w:w="0" w:type="dxa"/>
              <w:bottom w:w="0" w:type="dxa"/>
              <w:right w:w="0" w:type="dxa"/>
            </w:tcMar>
          </w:tcPr>
          <w:p w14:paraId="6AC31B9E"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10 razy na 1 km</w:t>
            </w:r>
          </w:p>
        </w:tc>
      </w:tr>
      <w:tr w:rsidR="00021789" w:rsidRPr="00021789" w14:paraId="4F9939D7" w14:textId="77777777" w:rsidTr="001A03D0">
        <w:tc>
          <w:tcPr>
            <w:tcW w:w="492" w:type="dxa"/>
            <w:tcBorders>
              <w:left w:val="single" w:sz="4" w:space="0" w:color="000000"/>
              <w:bottom w:val="single" w:sz="4" w:space="0" w:color="000000"/>
            </w:tcBorders>
            <w:tcMar>
              <w:top w:w="0" w:type="dxa"/>
              <w:left w:w="0" w:type="dxa"/>
              <w:bottom w:w="0" w:type="dxa"/>
              <w:right w:w="0" w:type="dxa"/>
            </w:tcMar>
          </w:tcPr>
          <w:p w14:paraId="67A686C5"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4</w:t>
            </w:r>
          </w:p>
        </w:tc>
        <w:tc>
          <w:tcPr>
            <w:tcW w:w="2255" w:type="dxa"/>
            <w:tcBorders>
              <w:left w:val="single" w:sz="4" w:space="0" w:color="000000"/>
              <w:bottom w:val="single" w:sz="4" w:space="0" w:color="000000"/>
            </w:tcBorders>
            <w:tcMar>
              <w:top w:w="0" w:type="dxa"/>
              <w:left w:w="0" w:type="dxa"/>
              <w:bottom w:w="0" w:type="dxa"/>
              <w:right w:w="0" w:type="dxa"/>
            </w:tcMar>
          </w:tcPr>
          <w:p w14:paraId="7A8D12B9"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Spadki poprzeczne *)</w:t>
            </w:r>
          </w:p>
        </w:tc>
        <w:tc>
          <w:tcPr>
            <w:tcW w:w="4928" w:type="dxa"/>
            <w:gridSpan w:val="2"/>
            <w:tcBorders>
              <w:left w:val="single" w:sz="4" w:space="0" w:color="000000"/>
              <w:bottom w:val="single" w:sz="4" w:space="0" w:color="000000"/>
              <w:right w:val="single" w:sz="4" w:space="0" w:color="000000"/>
            </w:tcBorders>
            <w:tcMar>
              <w:top w:w="0" w:type="dxa"/>
              <w:left w:w="0" w:type="dxa"/>
              <w:bottom w:w="0" w:type="dxa"/>
              <w:right w:w="0" w:type="dxa"/>
            </w:tcMar>
          </w:tcPr>
          <w:p w14:paraId="11143746"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10 razy na 1 km</w:t>
            </w:r>
          </w:p>
        </w:tc>
      </w:tr>
      <w:tr w:rsidR="00021789" w:rsidRPr="00021789" w14:paraId="3EE7F9BD" w14:textId="77777777" w:rsidTr="001A03D0">
        <w:tc>
          <w:tcPr>
            <w:tcW w:w="492" w:type="dxa"/>
            <w:tcBorders>
              <w:left w:val="single" w:sz="4" w:space="0" w:color="000000"/>
              <w:bottom w:val="single" w:sz="4" w:space="0" w:color="000000"/>
            </w:tcBorders>
            <w:tcMar>
              <w:top w:w="0" w:type="dxa"/>
              <w:left w:w="0" w:type="dxa"/>
              <w:bottom w:w="0" w:type="dxa"/>
              <w:right w:w="0" w:type="dxa"/>
            </w:tcMar>
          </w:tcPr>
          <w:p w14:paraId="444CDCE6"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5</w:t>
            </w:r>
          </w:p>
        </w:tc>
        <w:tc>
          <w:tcPr>
            <w:tcW w:w="2255" w:type="dxa"/>
            <w:tcBorders>
              <w:left w:val="single" w:sz="4" w:space="0" w:color="000000"/>
              <w:bottom w:val="single" w:sz="4" w:space="0" w:color="000000"/>
            </w:tcBorders>
            <w:tcMar>
              <w:top w:w="0" w:type="dxa"/>
              <w:left w:w="0" w:type="dxa"/>
              <w:bottom w:w="0" w:type="dxa"/>
              <w:right w:w="0" w:type="dxa"/>
            </w:tcMar>
          </w:tcPr>
          <w:p w14:paraId="53C33DB1"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Rzędne wysokościowe</w:t>
            </w:r>
          </w:p>
        </w:tc>
        <w:tc>
          <w:tcPr>
            <w:tcW w:w="4928" w:type="dxa"/>
            <w:gridSpan w:val="2"/>
            <w:tcBorders>
              <w:left w:val="single" w:sz="4" w:space="0" w:color="000000"/>
              <w:bottom w:val="single" w:sz="4" w:space="0" w:color="000000"/>
              <w:right w:val="single" w:sz="4" w:space="0" w:color="000000"/>
            </w:tcBorders>
            <w:tcMar>
              <w:top w:w="0" w:type="dxa"/>
              <w:left w:w="0" w:type="dxa"/>
              <w:bottom w:w="0" w:type="dxa"/>
              <w:right w:w="0" w:type="dxa"/>
            </w:tcMar>
          </w:tcPr>
          <w:p w14:paraId="04229CDA"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co 25 m w osi jezdni i na jej krawędziach dla autostrad i dróg ekspresowych, co 100 m dla pozostałych dróg</w:t>
            </w:r>
          </w:p>
        </w:tc>
      </w:tr>
      <w:tr w:rsidR="00021789" w:rsidRPr="00021789" w14:paraId="499217BB" w14:textId="77777777" w:rsidTr="001A03D0">
        <w:tc>
          <w:tcPr>
            <w:tcW w:w="492" w:type="dxa"/>
            <w:tcBorders>
              <w:left w:val="single" w:sz="4" w:space="0" w:color="000000"/>
              <w:bottom w:val="single" w:sz="4" w:space="0" w:color="000000"/>
            </w:tcBorders>
            <w:tcMar>
              <w:top w:w="0" w:type="dxa"/>
              <w:left w:w="0" w:type="dxa"/>
              <w:bottom w:w="0" w:type="dxa"/>
              <w:right w:w="0" w:type="dxa"/>
            </w:tcMar>
          </w:tcPr>
          <w:p w14:paraId="64649762"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6</w:t>
            </w:r>
          </w:p>
        </w:tc>
        <w:tc>
          <w:tcPr>
            <w:tcW w:w="2255" w:type="dxa"/>
            <w:tcBorders>
              <w:left w:val="single" w:sz="4" w:space="0" w:color="000000"/>
              <w:bottom w:val="single" w:sz="4" w:space="0" w:color="000000"/>
            </w:tcBorders>
            <w:tcMar>
              <w:top w:w="0" w:type="dxa"/>
              <w:left w:w="0" w:type="dxa"/>
              <w:bottom w:w="0" w:type="dxa"/>
              <w:right w:w="0" w:type="dxa"/>
            </w:tcMar>
          </w:tcPr>
          <w:p w14:paraId="02106EA3"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Ukształtowanie osi w planie *)</w:t>
            </w:r>
          </w:p>
        </w:tc>
        <w:tc>
          <w:tcPr>
            <w:tcW w:w="4928" w:type="dxa"/>
            <w:gridSpan w:val="2"/>
            <w:tcBorders>
              <w:left w:val="single" w:sz="4" w:space="0" w:color="000000"/>
              <w:bottom w:val="single" w:sz="4" w:space="0" w:color="000000"/>
              <w:right w:val="single" w:sz="4" w:space="0" w:color="000000"/>
            </w:tcBorders>
            <w:tcMar>
              <w:top w:w="0" w:type="dxa"/>
              <w:left w:w="0" w:type="dxa"/>
              <w:bottom w:w="0" w:type="dxa"/>
              <w:right w:w="0" w:type="dxa"/>
            </w:tcMar>
          </w:tcPr>
          <w:p w14:paraId="4B710322"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co 25 m w osi jezdni i na jej krawędziach dla autostrad i dróg ekspresowych, co 100 m dla pozostałych dróg</w:t>
            </w:r>
          </w:p>
        </w:tc>
      </w:tr>
      <w:tr w:rsidR="00021789" w:rsidRPr="00021789" w14:paraId="4347EA89" w14:textId="77777777" w:rsidTr="001A03D0">
        <w:tc>
          <w:tcPr>
            <w:tcW w:w="492" w:type="dxa"/>
            <w:tcBorders>
              <w:left w:val="single" w:sz="4" w:space="0" w:color="000000"/>
              <w:bottom w:val="single" w:sz="4" w:space="0" w:color="000000"/>
            </w:tcBorders>
            <w:tcMar>
              <w:top w:w="0" w:type="dxa"/>
              <w:left w:w="70" w:type="dxa"/>
              <w:bottom w:w="0" w:type="dxa"/>
              <w:right w:w="70" w:type="dxa"/>
            </w:tcMar>
          </w:tcPr>
          <w:p w14:paraId="04A52C64"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7</w:t>
            </w:r>
          </w:p>
        </w:tc>
        <w:tc>
          <w:tcPr>
            <w:tcW w:w="2255" w:type="dxa"/>
            <w:tcBorders>
              <w:left w:val="single" w:sz="4" w:space="0" w:color="000000"/>
              <w:bottom w:val="single" w:sz="4" w:space="0" w:color="000000"/>
            </w:tcBorders>
            <w:tcMar>
              <w:top w:w="0" w:type="dxa"/>
              <w:left w:w="70" w:type="dxa"/>
              <w:bottom w:w="0" w:type="dxa"/>
              <w:right w:w="70" w:type="dxa"/>
            </w:tcMar>
          </w:tcPr>
          <w:p w14:paraId="4FA4A86E"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Zagęszczenie, wilgotność gruntu podłoża</w:t>
            </w:r>
          </w:p>
        </w:tc>
        <w:tc>
          <w:tcPr>
            <w:tcW w:w="4928" w:type="dxa"/>
            <w:gridSpan w:val="2"/>
            <w:tcBorders>
              <w:left w:val="single" w:sz="4" w:space="0" w:color="000000"/>
              <w:bottom w:val="single" w:sz="4" w:space="0" w:color="000000"/>
              <w:right w:val="single" w:sz="4" w:space="0" w:color="000000"/>
            </w:tcBorders>
            <w:tcMar>
              <w:top w:w="0" w:type="dxa"/>
              <w:left w:w="70" w:type="dxa"/>
              <w:bottom w:w="0" w:type="dxa"/>
              <w:right w:w="70" w:type="dxa"/>
            </w:tcMar>
          </w:tcPr>
          <w:p w14:paraId="7ADE7553"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w 2 punktach na dziennej działce roboczej, lecz nie rzadziej niż raz na 600 m2</w:t>
            </w:r>
          </w:p>
        </w:tc>
      </w:tr>
    </w:tbl>
    <w:p w14:paraId="38FD6D80" w14:textId="77777777" w:rsidR="009F2B50" w:rsidRPr="00021789" w:rsidRDefault="009F2B50" w:rsidP="009F2B50">
      <w:pPr>
        <w:pStyle w:val="Pro-Inwest"/>
        <w:rPr>
          <w:rFonts w:asciiTheme="minorHAnsi" w:hAnsiTheme="minorHAnsi"/>
          <w:sz w:val="16"/>
          <w:szCs w:val="16"/>
        </w:rPr>
      </w:pPr>
    </w:p>
    <w:tbl>
      <w:tblPr>
        <w:tblW w:w="7676" w:type="dxa"/>
        <w:tblInd w:w="60" w:type="dxa"/>
        <w:tblLayout w:type="fixed"/>
        <w:tblCellMar>
          <w:left w:w="10" w:type="dxa"/>
          <w:right w:w="10" w:type="dxa"/>
        </w:tblCellMar>
        <w:tblLook w:val="0000" w:firstRow="0" w:lastRow="0" w:firstColumn="0" w:lastColumn="0" w:noHBand="0" w:noVBand="0"/>
      </w:tblPr>
      <w:tblGrid>
        <w:gridCol w:w="7676"/>
      </w:tblGrid>
      <w:tr w:rsidR="00213496" w:rsidRPr="00021789" w14:paraId="610487ED" w14:textId="77777777" w:rsidTr="001A03D0">
        <w:tc>
          <w:tcPr>
            <w:tcW w:w="767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D5E9845"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 Dodatkowe pomiary spadków poprzecznych i ukształtowania osi w planie należy wykonać w punktach głównych łuków poziomych</w:t>
            </w:r>
            <w:r w:rsidRPr="00021789">
              <w:rPr>
                <w:rFonts w:asciiTheme="minorHAnsi" w:hAnsiTheme="minorHAnsi"/>
                <w:sz w:val="16"/>
                <w:szCs w:val="16"/>
              </w:rPr>
              <w:tab/>
            </w:r>
          </w:p>
        </w:tc>
      </w:tr>
    </w:tbl>
    <w:p w14:paraId="50E43B7E" w14:textId="77777777" w:rsidR="00213496" w:rsidRPr="00021789" w:rsidRDefault="00213496" w:rsidP="009F2B50">
      <w:pPr>
        <w:pStyle w:val="Pro-Inwest"/>
        <w:rPr>
          <w:rFonts w:asciiTheme="minorHAnsi" w:hAnsiTheme="minorHAnsi"/>
          <w:sz w:val="16"/>
          <w:szCs w:val="16"/>
        </w:rPr>
      </w:pPr>
    </w:p>
    <w:p w14:paraId="05DF687E" w14:textId="4784E8D0"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lastRenderedPageBreak/>
        <w:t>6.2.2. Szerokość koryta (profilowanego podłoża)</w:t>
      </w:r>
    </w:p>
    <w:p w14:paraId="66B851A2"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ab/>
        <w:t>Szerokość koryta i profilowanego podłoża nie może różnić się od szerokości projektowanej o więcej niż +10 cm i -5 cm.</w:t>
      </w:r>
    </w:p>
    <w:p w14:paraId="4820A5F8"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6.2.3. Równość koryta (profilowanego podłoża)</w:t>
      </w:r>
    </w:p>
    <w:p w14:paraId="278BE713"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Nierówności podłużne koryta i profilowanego podłoża należy mierzyć 4-metrową łatą zgodnie z normą BN-68/8931-04 [4].</w:t>
      </w:r>
    </w:p>
    <w:p w14:paraId="3D2C7E6C"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ab/>
        <w:t>Nierówności poprzeczne należy mierzyć 4-metrową łatą.</w:t>
      </w:r>
    </w:p>
    <w:p w14:paraId="6EFAC9C0"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ab/>
        <w:t>Nierówności nie mogą przekraczać 20 mm.</w:t>
      </w:r>
    </w:p>
    <w:p w14:paraId="261AC6C2"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6.2.4. Spadki poprzeczne</w:t>
      </w:r>
    </w:p>
    <w:p w14:paraId="6C47CBA1"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ab/>
        <w:t>Spadki poprzeczne koryta i profilowanego podłoża powinny być zgodne z dokumentacją projektową z tolerancją  0,5%.</w:t>
      </w:r>
    </w:p>
    <w:p w14:paraId="195BC073"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6.2.5. Rzędne wysokościowe</w:t>
      </w:r>
    </w:p>
    <w:p w14:paraId="6FF2B10C"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ab/>
        <w:t>Różnice pomiędzy rzędnymi wysokościowymi koryta lub wyprofilowanego podłoża i rzędnymi projektowanymi nie powinny przekraczać +1 cm, -</w:t>
      </w:r>
      <w:r w:rsidRPr="00021789">
        <w:rPr>
          <w:rFonts w:asciiTheme="minorHAnsi" w:hAnsiTheme="minorHAnsi"/>
          <w:sz w:val="16"/>
          <w:szCs w:val="16"/>
        </w:rPr>
        <w:tab/>
        <w:t>2 cm.</w:t>
      </w:r>
    </w:p>
    <w:p w14:paraId="4C7F1F2E"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6.2.6. Ukształtowanie osi w planie</w:t>
      </w:r>
    </w:p>
    <w:p w14:paraId="43DC116F"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ab/>
        <w:t xml:space="preserve">Oś w planie nie może być przesunięta w stosunku do osi projektowanej o więcej niż </w:t>
      </w:r>
      <w:r w:rsidRPr="00021789">
        <w:rPr>
          <w:rFonts w:asciiTheme="minorHAnsi" w:hAnsiTheme="minorHAnsi"/>
          <w:sz w:val="16"/>
          <w:szCs w:val="16"/>
        </w:rPr>
        <w:t xml:space="preserve"> 3 cm dla autostrad i dróg ekspresowych lub więcej niż </w:t>
      </w:r>
      <w:r w:rsidRPr="00021789">
        <w:rPr>
          <w:rFonts w:asciiTheme="minorHAnsi" w:hAnsiTheme="minorHAnsi"/>
          <w:sz w:val="16"/>
          <w:szCs w:val="16"/>
        </w:rPr>
        <w:t> 5 cm dla pozostałych dróg.</w:t>
      </w:r>
    </w:p>
    <w:p w14:paraId="6C95B47A"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6.2.7. Zagęszczenie koryta (profilowanego podłoża)</w:t>
      </w:r>
    </w:p>
    <w:p w14:paraId="46398E67"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ab/>
        <w:t>Wskaźnik zagęszczenia koryta i wyprofilowanego podłoża określony wg BN-77/8931-12 [5] nie powinien być mniejszy</w:t>
      </w:r>
      <w:r w:rsidR="00246461" w:rsidRPr="00021789">
        <w:rPr>
          <w:rFonts w:asciiTheme="minorHAnsi" w:hAnsiTheme="minorHAnsi"/>
          <w:sz w:val="16"/>
          <w:szCs w:val="16"/>
        </w:rPr>
        <w:br/>
      </w:r>
      <w:r w:rsidRPr="00021789">
        <w:rPr>
          <w:rFonts w:asciiTheme="minorHAnsi" w:hAnsiTheme="minorHAnsi"/>
          <w:sz w:val="16"/>
          <w:szCs w:val="16"/>
        </w:rPr>
        <w:t>od podanego w tablicy 1.</w:t>
      </w:r>
    </w:p>
    <w:p w14:paraId="2918D66B"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ab/>
        <w:t>Jeśli jako kryterium dobrego zagęszczenia stosuje się porównanie wartości modułów odkształcenia, to wartość stosunku wtórnego do pierwotnego modułu odkształcenia, określonych zgodnie z normą BN-64/8931-02 [3] nie powinna być większa od 2,2.</w:t>
      </w:r>
    </w:p>
    <w:p w14:paraId="38E687E9"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ab/>
        <w:t>Wilgotność w czasie zagęszczania należy badać według PN-B-06714-17 [2]. Wilgotność gruntu podłoża powinna być równa wilgotności optymalnej z tolerancją od  -20% do + 10%.</w:t>
      </w:r>
    </w:p>
    <w:p w14:paraId="7EF8C298"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 xml:space="preserve"> 6.3. Zasady postępowania z wadliwie wykonanymi odcinkami koryta (profilowanego podłoża)</w:t>
      </w:r>
    </w:p>
    <w:p w14:paraId="284E2FF7"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ab/>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5A92DC30" w14:textId="77777777" w:rsidR="009F2B50" w:rsidRPr="00021789" w:rsidRDefault="009F2B50" w:rsidP="009F2B50">
      <w:pPr>
        <w:pStyle w:val="Pro-Inwest"/>
        <w:rPr>
          <w:rFonts w:asciiTheme="minorHAnsi" w:hAnsiTheme="minorHAnsi"/>
          <w:b/>
          <w:sz w:val="16"/>
          <w:szCs w:val="16"/>
        </w:rPr>
      </w:pPr>
    </w:p>
    <w:p w14:paraId="4F1605E3"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7. OBIMIAR ROBÓT</w:t>
      </w:r>
    </w:p>
    <w:p w14:paraId="1AECB740"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7.1. Ogólne zasady obmiaru robót</w:t>
      </w:r>
    </w:p>
    <w:p w14:paraId="063EC74E"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 xml:space="preserve">Ogólne zasady obmiaru robót podano w </w:t>
      </w:r>
      <w:proofErr w:type="spellStart"/>
      <w:r w:rsidR="00246461"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7.</w:t>
      </w:r>
    </w:p>
    <w:p w14:paraId="31709F87"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7.2. Jednostka obmiarowa</w:t>
      </w:r>
    </w:p>
    <w:p w14:paraId="48A4CD9E"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Jednostką obmiarową jest m2 (metr kwadratowy) wykonanego i odebranego koryta.</w:t>
      </w:r>
    </w:p>
    <w:p w14:paraId="7570FC7D" w14:textId="77777777" w:rsidR="009F2B50" w:rsidRPr="00021789" w:rsidRDefault="009F2B50" w:rsidP="009F2B50">
      <w:pPr>
        <w:pStyle w:val="Pro-Inwest"/>
        <w:rPr>
          <w:rFonts w:asciiTheme="minorHAnsi" w:hAnsiTheme="minorHAnsi"/>
          <w:b/>
          <w:sz w:val="16"/>
          <w:szCs w:val="16"/>
        </w:rPr>
      </w:pPr>
    </w:p>
    <w:p w14:paraId="0A933C4D"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8. ODBIÓR ROBÓT</w:t>
      </w:r>
    </w:p>
    <w:p w14:paraId="4D7D173C"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 xml:space="preserve">Ogólne zasady odbioru robót podano w </w:t>
      </w:r>
      <w:proofErr w:type="spellStart"/>
      <w:r w:rsidR="00246461"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8.</w:t>
      </w:r>
    </w:p>
    <w:p w14:paraId="52F13AA7" w14:textId="77777777" w:rsidR="009F2B50" w:rsidRPr="00021789" w:rsidRDefault="009F2B50" w:rsidP="00246461">
      <w:pPr>
        <w:pStyle w:val="Pro-Inwest"/>
        <w:jc w:val="both"/>
        <w:rPr>
          <w:rFonts w:asciiTheme="minorHAnsi" w:hAnsiTheme="minorHAnsi"/>
          <w:sz w:val="16"/>
          <w:szCs w:val="16"/>
        </w:rPr>
      </w:pPr>
      <w:r w:rsidRPr="00021789">
        <w:rPr>
          <w:rFonts w:asciiTheme="minorHAnsi" w:hAnsiTheme="minorHAnsi"/>
          <w:sz w:val="16"/>
          <w:szCs w:val="16"/>
        </w:rPr>
        <w:tab/>
        <w:t xml:space="preserve">Roboty uznaje się za wykonane zgodnie z dokumentacja projektową, </w:t>
      </w:r>
      <w:proofErr w:type="spellStart"/>
      <w:r w:rsidR="00246461" w:rsidRPr="00021789">
        <w:rPr>
          <w:rFonts w:asciiTheme="minorHAnsi" w:hAnsiTheme="minorHAnsi"/>
          <w:sz w:val="16"/>
          <w:szCs w:val="16"/>
        </w:rPr>
        <w:t>STWiORB</w:t>
      </w:r>
      <w:proofErr w:type="spellEnd"/>
      <w:r w:rsidRPr="00021789">
        <w:rPr>
          <w:rFonts w:asciiTheme="minorHAnsi" w:hAnsiTheme="minorHAnsi"/>
          <w:sz w:val="16"/>
          <w:szCs w:val="16"/>
        </w:rPr>
        <w:t xml:space="preserve"> i wymaganiami Inżyniera, jeżeli wszystkie pomiary i badania z </w:t>
      </w:r>
      <w:r w:rsidRPr="00021789">
        <w:rPr>
          <w:rFonts w:asciiTheme="minorHAnsi" w:hAnsiTheme="minorHAnsi"/>
          <w:sz w:val="16"/>
          <w:szCs w:val="16"/>
        </w:rPr>
        <w:tab/>
        <w:t>zachowaniem tolerancji wg punktu 6 dały wyniki pozytywne.</w:t>
      </w:r>
    </w:p>
    <w:p w14:paraId="0B63FB0D" w14:textId="77777777" w:rsidR="009F2B50" w:rsidRPr="00021789" w:rsidRDefault="009F2B50" w:rsidP="009F2B50">
      <w:pPr>
        <w:pStyle w:val="Pro-Inwest"/>
        <w:rPr>
          <w:rFonts w:asciiTheme="minorHAnsi" w:hAnsiTheme="minorHAnsi"/>
          <w:b/>
          <w:sz w:val="16"/>
          <w:szCs w:val="16"/>
        </w:rPr>
      </w:pPr>
    </w:p>
    <w:p w14:paraId="15A2E828"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9. PODSTAWA PŁATNOŚCI</w:t>
      </w:r>
    </w:p>
    <w:p w14:paraId="25B1167B"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9.1. Ogólne ustalenia dotyczące podstawy płatności</w:t>
      </w:r>
    </w:p>
    <w:p w14:paraId="15B83F42"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 xml:space="preserve">Ogólne ustalenia dotyczące podstawy płatności podano w </w:t>
      </w:r>
      <w:proofErr w:type="spellStart"/>
      <w:r w:rsidR="00246461"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9.</w:t>
      </w:r>
    </w:p>
    <w:p w14:paraId="585F80E5"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9.2. Cena jednostki obmiarowej</w:t>
      </w:r>
    </w:p>
    <w:p w14:paraId="62E0BAB0"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b/>
          <w:sz w:val="16"/>
          <w:szCs w:val="16"/>
        </w:rPr>
        <w:tab/>
      </w:r>
      <w:r w:rsidRPr="00021789">
        <w:rPr>
          <w:rFonts w:asciiTheme="minorHAnsi" w:hAnsiTheme="minorHAnsi"/>
          <w:sz w:val="16"/>
          <w:szCs w:val="16"/>
        </w:rPr>
        <w:t>Cena wykonania 1 m2 koryta obejmuje:</w:t>
      </w:r>
    </w:p>
    <w:p w14:paraId="6266E88C" w14:textId="77777777" w:rsidR="009F2B50" w:rsidRPr="00021789" w:rsidRDefault="009F2B50" w:rsidP="004E4B77">
      <w:pPr>
        <w:pStyle w:val="Pro-Inwest"/>
        <w:numPr>
          <w:ilvl w:val="0"/>
          <w:numId w:val="44"/>
        </w:numPr>
        <w:rPr>
          <w:rFonts w:asciiTheme="minorHAnsi" w:hAnsiTheme="minorHAnsi"/>
          <w:sz w:val="16"/>
          <w:szCs w:val="16"/>
        </w:rPr>
      </w:pPr>
      <w:r w:rsidRPr="00021789">
        <w:rPr>
          <w:rFonts w:asciiTheme="minorHAnsi" w:hAnsiTheme="minorHAnsi"/>
          <w:sz w:val="16"/>
          <w:szCs w:val="16"/>
        </w:rPr>
        <w:t>prace pomiarowe i roboty przygotowawcze,</w:t>
      </w:r>
    </w:p>
    <w:p w14:paraId="20F4314E" w14:textId="77777777" w:rsidR="009F2B50" w:rsidRPr="00021789" w:rsidRDefault="009F2B50" w:rsidP="004E4B77">
      <w:pPr>
        <w:pStyle w:val="Pro-Inwest"/>
        <w:numPr>
          <w:ilvl w:val="0"/>
          <w:numId w:val="44"/>
        </w:numPr>
        <w:rPr>
          <w:rFonts w:asciiTheme="minorHAnsi" w:hAnsiTheme="minorHAnsi"/>
          <w:sz w:val="16"/>
          <w:szCs w:val="16"/>
        </w:rPr>
      </w:pPr>
      <w:r w:rsidRPr="00021789">
        <w:rPr>
          <w:rFonts w:asciiTheme="minorHAnsi" w:hAnsiTheme="minorHAnsi"/>
          <w:sz w:val="16"/>
          <w:szCs w:val="16"/>
        </w:rPr>
        <w:t>odspojenie gruntu z przerzutem na pobocze i rozplantowaniem,</w:t>
      </w:r>
    </w:p>
    <w:p w14:paraId="53144D22" w14:textId="77777777" w:rsidR="009F2B50" w:rsidRPr="00021789" w:rsidRDefault="009F2B50" w:rsidP="004E4B77">
      <w:pPr>
        <w:pStyle w:val="Pro-Inwest"/>
        <w:numPr>
          <w:ilvl w:val="0"/>
          <w:numId w:val="44"/>
        </w:numPr>
        <w:rPr>
          <w:rFonts w:asciiTheme="minorHAnsi" w:hAnsiTheme="minorHAnsi"/>
          <w:sz w:val="16"/>
          <w:szCs w:val="16"/>
        </w:rPr>
      </w:pPr>
      <w:r w:rsidRPr="00021789">
        <w:rPr>
          <w:rFonts w:asciiTheme="minorHAnsi" w:hAnsiTheme="minorHAnsi"/>
          <w:sz w:val="16"/>
          <w:szCs w:val="16"/>
        </w:rPr>
        <w:t>załadunek nadmiaru odspojonego gruntu na środki transportowe i odwiezienie na odkład lub nasyp,</w:t>
      </w:r>
    </w:p>
    <w:p w14:paraId="4CDFFC59" w14:textId="77777777" w:rsidR="009F2B50" w:rsidRPr="00021789" w:rsidRDefault="009F2B50" w:rsidP="004E4B77">
      <w:pPr>
        <w:pStyle w:val="Pro-Inwest"/>
        <w:numPr>
          <w:ilvl w:val="0"/>
          <w:numId w:val="44"/>
        </w:numPr>
        <w:rPr>
          <w:rFonts w:asciiTheme="minorHAnsi" w:hAnsiTheme="minorHAnsi"/>
          <w:sz w:val="16"/>
          <w:szCs w:val="16"/>
        </w:rPr>
      </w:pPr>
      <w:r w:rsidRPr="00021789">
        <w:rPr>
          <w:rFonts w:asciiTheme="minorHAnsi" w:hAnsiTheme="minorHAnsi"/>
          <w:sz w:val="16"/>
          <w:szCs w:val="16"/>
        </w:rPr>
        <w:t>profilowanie dna koryta lub podłoża,</w:t>
      </w:r>
    </w:p>
    <w:p w14:paraId="47E0CADB" w14:textId="77777777" w:rsidR="009F2B50" w:rsidRPr="00021789" w:rsidRDefault="009F2B50" w:rsidP="004E4B77">
      <w:pPr>
        <w:pStyle w:val="Pro-Inwest"/>
        <w:numPr>
          <w:ilvl w:val="0"/>
          <w:numId w:val="44"/>
        </w:numPr>
        <w:rPr>
          <w:rFonts w:asciiTheme="minorHAnsi" w:hAnsiTheme="minorHAnsi"/>
          <w:sz w:val="16"/>
          <w:szCs w:val="16"/>
        </w:rPr>
      </w:pPr>
      <w:r w:rsidRPr="00021789">
        <w:rPr>
          <w:rFonts w:asciiTheme="minorHAnsi" w:hAnsiTheme="minorHAnsi"/>
          <w:sz w:val="16"/>
          <w:szCs w:val="16"/>
        </w:rPr>
        <w:t>zagęszczenie,</w:t>
      </w:r>
    </w:p>
    <w:p w14:paraId="15D31C50" w14:textId="77777777" w:rsidR="009F2B50" w:rsidRPr="00021789" w:rsidRDefault="009F2B50" w:rsidP="004E4B77">
      <w:pPr>
        <w:pStyle w:val="Pro-Inwest"/>
        <w:numPr>
          <w:ilvl w:val="0"/>
          <w:numId w:val="44"/>
        </w:numPr>
        <w:rPr>
          <w:rFonts w:asciiTheme="minorHAnsi" w:hAnsiTheme="minorHAnsi"/>
          <w:sz w:val="16"/>
          <w:szCs w:val="16"/>
        </w:rPr>
      </w:pPr>
      <w:r w:rsidRPr="00021789">
        <w:rPr>
          <w:rFonts w:asciiTheme="minorHAnsi" w:hAnsiTheme="minorHAnsi"/>
          <w:sz w:val="16"/>
          <w:szCs w:val="16"/>
        </w:rPr>
        <w:t>utrzymanie koryta lub podłoża,</w:t>
      </w:r>
    </w:p>
    <w:p w14:paraId="5EF1D9FD" w14:textId="77777777" w:rsidR="009F2B50" w:rsidRPr="00021789" w:rsidRDefault="009F2B50" w:rsidP="004E4B77">
      <w:pPr>
        <w:pStyle w:val="Pro-Inwest"/>
        <w:numPr>
          <w:ilvl w:val="0"/>
          <w:numId w:val="44"/>
        </w:numPr>
        <w:rPr>
          <w:rFonts w:asciiTheme="minorHAnsi" w:hAnsiTheme="minorHAnsi"/>
          <w:sz w:val="16"/>
          <w:szCs w:val="16"/>
        </w:rPr>
      </w:pPr>
      <w:r w:rsidRPr="00021789">
        <w:rPr>
          <w:rFonts w:asciiTheme="minorHAnsi" w:hAnsiTheme="minorHAnsi"/>
          <w:sz w:val="16"/>
          <w:szCs w:val="16"/>
        </w:rPr>
        <w:t>przeprowadzenie pomiarów i badań laboratoryjnych, wymaganych w specyfikacji technicznej.</w:t>
      </w:r>
    </w:p>
    <w:p w14:paraId="7F44B033" w14:textId="77777777" w:rsidR="00246461" w:rsidRPr="00021789" w:rsidRDefault="00246461" w:rsidP="009F2B50">
      <w:pPr>
        <w:pStyle w:val="Pro-Inwest"/>
        <w:rPr>
          <w:rFonts w:asciiTheme="minorHAnsi" w:hAnsiTheme="minorHAnsi"/>
          <w:b/>
          <w:sz w:val="16"/>
          <w:szCs w:val="16"/>
        </w:rPr>
      </w:pPr>
    </w:p>
    <w:p w14:paraId="092886F2" w14:textId="77777777" w:rsidR="009F2B50" w:rsidRPr="00021789" w:rsidRDefault="009F2B50" w:rsidP="009F2B50">
      <w:pPr>
        <w:pStyle w:val="Pro-Inwest"/>
        <w:rPr>
          <w:rFonts w:asciiTheme="minorHAnsi" w:hAnsiTheme="minorHAnsi"/>
          <w:b/>
          <w:sz w:val="16"/>
          <w:szCs w:val="16"/>
        </w:rPr>
      </w:pPr>
      <w:r w:rsidRPr="00021789">
        <w:rPr>
          <w:rFonts w:asciiTheme="minorHAnsi" w:hAnsiTheme="minorHAnsi"/>
          <w:b/>
          <w:sz w:val="16"/>
          <w:szCs w:val="16"/>
        </w:rPr>
        <w:t>10. PRZEPISY ZWIĄZANE</w:t>
      </w:r>
    </w:p>
    <w:p w14:paraId="72CDB379" w14:textId="77777777" w:rsidR="009F2B50" w:rsidRPr="00021789" w:rsidRDefault="00246461" w:rsidP="009F2B50">
      <w:pPr>
        <w:pStyle w:val="Pro-Inwest"/>
        <w:rPr>
          <w:rFonts w:asciiTheme="minorHAnsi" w:hAnsiTheme="minorHAnsi"/>
          <w:b/>
          <w:sz w:val="16"/>
          <w:szCs w:val="16"/>
        </w:rPr>
      </w:pPr>
      <w:r w:rsidRPr="00021789">
        <w:rPr>
          <w:rFonts w:asciiTheme="minorHAnsi" w:hAnsiTheme="minorHAnsi"/>
          <w:b/>
          <w:sz w:val="16"/>
          <w:szCs w:val="16"/>
        </w:rPr>
        <w:t xml:space="preserve">10.1. </w:t>
      </w:r>
      <w:r w:rsidR="009F2B50" w:rsidRPr="00021789">
        <w:rPr>
          <w:rFonts w:asciiTheme="minorHAnsi" w:hAnsiTheme="minorHAnsi"/>
          <w:b/>
          <w:sz w:val="16"/>
          <w:szCs w:val="16"/>
        </w:rPr>
        <w:t>Normy</w:t>
      </w:r>
    </w:p>
    <w:tbl>
      <w:tblPr>
        <w:tblW w:w="7510" w:type="dxa"/>
        <w:tblInd w:w="-70" w:type="dxa"/>
        <w:tblLayout w:type="fixed"/>
        <w:tblCellMar>
          <w:left w:w="10" w:type="dxa"/>
          <w:right w:w="10" w:type="dxa"/>
        </w:tblCellMar>
        <w:tblLook w:val="0000" w:firstRow="0" w:lastRow="0" w:firstColumn="0" w:lastColumn="0" w:noHBand="0" w:noVBand="0"/>
      </w:tblPr>
      <w:tblGrid>
        <w:gridCol w:w="496"/>
        <w:gridCol w:w="1701"/>
        <w:gridCol w:w="5313"/>
      </w:tblGrid>
      <w:tr w:rsidR="00021789" w:rsidRPr="00021789" w14:paraId="10EE8E7F" w14:textId="77777777" w:rsidTr="001A03D0">
        <w:tc>
          <w:tcPr>
            <w:tcW w:w="496" w:type="dxa"/>
            <w:tcMar>
              <w:top w:w="0" w:type="dxa"/>
              <w:left w:w="70" w:type="dxa"/>
              <w:bottom w:w="0" w:type="dxa"/>
              <w:right w:w="70" w:type="dxa"/>
            </w:tcMar>
          </w:tcPr>
          <w:p w14:paraId="586B26B0"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1.</w:t>
            </w:r>
          </w:p>
        </w:tc>
        <w:tc>
          <w:tcPr>
            <w:tcW w:w="1701" w:type="dxa"/>
            <w:tcMar>
              <w:top w:w="0" w:type="dxa"/>
              <w:left w:w="70" w:type="dxa"/>
              <w:bottom w:w="0" w:type="dxa"/>
              <w:right w:w="70" w:type="dxa"/>
            </w:tcMar>
          </w:tcPr>
          <w:p w14:paraId="21B7FFFC"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PN-B-04481</w:t>
            </w:r>
          </w:p>
        </w:tc>
        <w:tc>
          <w:tcPr>
            <w:tcW w:w="5313" w:type="dxa"/>
            <w:tcMar>
              <w:top w:w="0" w:type="dxa"/>
              <w:left w:w="70" w:type="dxa"/>
              <w:bottom w:w="0" w:type="dxa"/>
              <w:right w:w="70" w:type="dxa"/>
            </w:tcMar>
          </w:tcPr>
          <w:p w14:paraId="2AE43C6B"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Grunty budowlane. Badania próbek gruntu</w:t>
            </w:r>
          </w:p>
        </w:tc>
      </w:tr>
      <w:tr w:rsidR="00021789" w:rsidRPr="00021789" w14:paraId="1B126A9E" w14:textId="77777777" w:rsidTr="001A03D0">
        <w:tc>
          <w:tcPr>
            <w:tcW w:w="496" w:type="dxa"/>
            <w:tcMar>
              <w:top w:w="0" w:type="dxa"/>
              <w:left w:w="70" w:type="dxa"/>
              <w:bottom w:w="0" w:type="dxa"/>
              <w:right w:w="70" w:type="dxa"/>
            </w:tcMar>
          </w:tcPr>
          <w:p w14:paraId="2ADD4567"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2.</w:t>
            </w:r>
          </w:p>
        </w:tc>
        <w:tc>
          <w:tcPr>
            <w:tcW w:w="1701" w:type="dxa"/>
            <w:tcMar>
              <w:top w:w="0" w:type="dxa"/>
              <w:left w:w="70" w:type="dxa"/>
              <w:bottom w:w="0" w:type="dxa"/>
              <w:right w:w="70" w:type="dxa"/>
            </w:tcMar>
          </w:tcPr>
          <w:p w14:paraId="05BC3ACA"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PN-/B-06714-17</w:t>
            </w:r>
          </w:p>
        </w:tc>
        <w:tc>
          <w:tcPr>
            <w:tcW w:w="5313" w:type="dxa"/>
            <w:tcMar>
              <w:top w:w="0" w:type="dxa"/>
              <w:left w:w="70" w:type="dxa"/>
              <w:bottom w:w="0" w:type="dxa"/>
              <w:right w:w="70" w:type="dxa"/>
            </w:tcMar>
          </w:tcPr>
          <w:p w14:paraId="21281DF8"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Kruszywa mineralne. Badania. Oznaczanie wilgotności</w:t>
            </w:r>
          </w:p>
        </w:tc>
      </w:tr>
      <w:tr w:rsidR="00021789" w:rsidRPr="00021789" w14:paraId="52CC37D1" w14:textId="77777777" w:rsidTr="001A03D0">
        <w:tc>
          <w:tcPr>
            <w:tcW w:w="496" w:type="dxa"/>
            <w:tcMar>
              <w:top w:w="0" w:type="dxa"/>
              <w:left w:w="70" w:type="dxa"/>
              <w:bottom w:w="0" w:type="dxa"/>
              <w:right w:w="70" w:type="dxa"/>
            </w:tcMar>
          </w:tcPr>
          <w:p w14:paraId="2C90F9BB"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3.</w:t>
            </w:r>
          </w:p>
        </w:tc>
        <w:tc>
          <w:tcPr>
            <w:tcW w:w="1701" w:type="dxa"/>
            <w:tcMar>
              <w:top w:w="0" w:type="dxa"/>
              <w:left w:w="70" w:type="dxa"/>
              <w:bottom w:w="0" w:type="dxa"/>
              <w:right w:w="70" w:type="dxa"/>
            </w:tcMar>
          </w:tcPr>
          <w:p w14:paraId="50C9359A"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BN-64/8931-02</w:t>
            </w:r>
          </w:p>
        </w:tc>
        <w:tc>
          <w:tcPr>
            <w:tcW w:w="5313" w:type="dxa"/>
            <w:tcMar>
              <w:top w:w="0" w:type="dxa"/>
              <w:left w:w="70" w:type="dxa"/>
              <w:bottom w:w="0" w:type="dxa"/>
              <w:right w:w="70" w:type="dxa"/>
            </w:tcMar>
          </w:tcPr>
          <w:p w14:paraId="521A3766"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Drogi samochodowe. Oznaczanie modułu odkształcenia nawierzchni podatnych i podłoża przez obciążenie płytą</w:t>
            </w:r>
          </w:p>
        </w:tc>
      </w:tr>
      <w:tr w:rsidR="00021789" w:rsidRPr="00021789" w14:paraId="7585CF32" w14:textId="77777777" w:rsidTr="001A03D0">
        <w:tc>
          <w:tcPr>
            <w:tcW w:w="496" w:type="dxa"/>
            <w:tcMar>
              <w:top w:w="0" w:type="dxa"/>
              <w:left w:w="70" w:type="dxa"/>
              <w:bottom w:w="0" w:type="dxa"/>
              <w:right w:w="70" w:type="dxa"/>
            </w:tcMar>
          </w:tcPr>
          <w:p w14:paraId="7F863F1D"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4.</w:t>
            </w:r>
          </w:p>
        </w:tc>
        <w:tc>
          <w:tcPr>
            <w:tcW w:w="1701" w:type="dxa"/>
            <w:tcMar>
              <w:top w:w="0" w:type="dxa"/>
              <w:left w:w="70" w:type="dxa"/>
              <w:bottom w:w="0" w:type="dxa"/>
              <w:right w:w="70" w:type="dxa"/>
            </w:tcMar>
          </w:tcPr>
          <w:p w14:paraId="5C3034D8"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BN-68/8931-04</w:t>
            </w:r>
          </w:p>
        </w:tc>
        <w:tc>
          <w:tcPr>
            <w:tcW w:w="5313" w:type="dxa"/>
            <w:tcMar>
              <w:top w:w="0" w:type="dxa"/>
              <w:left w:w="70" w:type="dxa"/>
              <w:bottom w:w="0" w:type="dxa"/>
              <w:right w:w="70" w:type="dxa"/>
            </w:tcMar>
          </w:tcPr>
          <w:p w14:paraId="40681F4E"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 xml:space="preserve">Drogi samochodowe. Pomiar równości nawierzchni </w:t>
            </w:r>
            <w:proofErr w:type="spellStart"/>
            <w:r w:rsidRPr="00021789">
              <w:rPr>
                <w:rFonts w:asciiTheme="minorHAnsi" w:hAnsiTheme="minorHAnsi"/>
                <w:sz w:val="16"/>
                <w:szCs w:val="16"/>
              </w:rPr>
              <w:t>planografem</w:t>
            </w:r>
            <w:proofErr w:type="spellEnd"/>
            <w:r w:rsidRPr="00021789">
              <w:rPr>
                <w:rFonts w:asciiTheme="minorHAnsi" w:hAnsiTheme="minorHAnsi"/>
                <w:sz w:val="16"/>
                <w:szCs w:val="16"/>
              </w:rPr>
              <w:t xml:space="preserve"> i łatą</w:t>
            </w:r>
          </w:p>
        </w:tc>
      </w:tr>
      <w:tr w:rsidR="00021789" w:rsidRPr="00021789" w14:paraId="7D7B0C49" w14:textId="77777777" w:rsidTr="001A03D0">
        <w:tc>
          <w:tcPr>
            <w:tcW w:w="496" w:type="dxa"/>
            <w:tcMar>
              <w:top w:w="0" w:type="dxa"/>
              <w:left w:w="70" w:type="dxa"/>
              <w:bottom w:w="0" w:type="dxa"/>
              <w:right w:w="70" w:type="dxa"/>
            </w:tcMar>
          </w:tcPr>
          <w:p w14:paraId="296AA588"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5.</w:t>
            </w:r>
          </w:p>
        </w:tc>
        <w:tc>
          <w:tcPr>
            <w:tcW w:w="1701" w:type="dxa"/>
            <w:tcMar>
              <w:top w:w="0" w:type="dxa"/>
              <w:left w:w="70" w:type="dxa"/>
              <w:bottom w:w="0" w:type="dxa"/>
              <w:right w:w="70" w:type="dxa"/>
            </w:tcMar>
          </w:tcPr>
          <w:p w14:paraId="7B5D0953"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BN-77/8931-12</w:t>
            </w:r>
          </w:p>
        </w:tc>
        <w:tc>
          <w:tcPr>
            <w:tcW w:w="5313" w:type="dxa"/>
            <w:tcMar>
              <w:top w:w="0" w:type="dxa"/>
              <w:left w:w="70" w:type="dxa"/>
              <w:bottom w:w="0" w:type="dxa"/>
              <w:right w:w="70" w:type="dxa"/>
            </w:tcMar>
          </w:tcPr>
          <w:p w14:paraId="3B3BBAD3" w14:textId="77777777" w:rsidR="009F2B50" w:rsidRPr="00021789" w:rsidRDefault="009F2B50" w:rsidP="009F2B50">
            <w:pPr>
              <w:pStyle w:val="Pro-Inwest"/>
              <w:rPr>
                <w:rFonts w:asciiTheme="minorHAnsi" w:hAnsiTheme="minorHAnsi"/>
                <w:sz w:val="16"/>
                <w:szCs w:val="16"/>
              </w:rPr>
            </w:pPr>
            <w:r w:rsidRPr="00021789">
              <w:rPr>
                <w:rFonts w:asciiTheme="minorHAnsi" w:hAnsiTheme="minorHAnsi"/>
                <w:sz w:val="16"/>
                <w:szCs w:val="16"/>
              </w:rPr>
              <w:t>Oznaczanie wskaźnika zagęszczenia gruntu</w:t>
            </w:r>
          </w:p>
        </w:tc>
      </w:tr>
    </w:tbl>
    <w:p w14:paraId="74935257" w14:textId="77777777" w:rsidR="000F6F9E" w:rsidRPr="00021789" w:rsidRDefault="000F6F9E" w:rsidP="002B055B">
      <w:pPr>
        <w:pStyle w:val="Pro-Inwest"/>
        <w:spacing w:line="240" w:lineRule="auto"/>
        <w:rPr>
          <w:rFonts w:asciiTheme="minorHAnsi" w:hAnsiTheme="minorHAnsi"/>
          <w:b/>
          <w:sz w:val="16"/>
          <w:szCs w:val="16"/>
        </w:rPr>
      </w:pPr>
    </w:p>
    <w:p w14:paraId="52CABD54" w14:textId="77777777" w:rsidR="000F6F9E" w:rsidRPr="00021789" w:rsidRDefault="000F6F9E" w:rsidP="002B055B">
      <w:pPr>
        <w:pStyle w:val="Pro-Inwest"/>
        <w:spacing w:line="240" w:lineRule="auto"/>
        <w:rPr>
          <w:rFonts w:asciiTheme="minorHAnsi" w:hAnsiTheme="minorHAnsi"/>
          <w:b/>
          <w:sz w:val="16"/>
          <w:szCs w:val="16"/>
        </w:rPr>
      </w:pPr>
    </w:p>
    <w:p w14:paraId="46CE24BE" w14:textId="77777777" w:rsidR="000F6F9E" w:rsidRPr="00021789" w:rsidRDefault="000F6F9E" w:rsidP="002B055B">
      <w:pPr>
        <w:pStyle w:val="Pro-Inwest"/>
        <w:spacing w:line="240" w:lineRule="auto"/>
        <w:rPr>
          <w:rFonts w:asciiTheme="minorHAnsi" w:hAnsiTheme="minorHAnsi"/>
          <w:b/>
          <w:sz w:val="16"/>
          <w:szCs w:val="16"/>
        </w:rPr>
      </w:pPr>
    </w:p>
    <w:p w14:paraId="6D647612" w14:textId="77777777" w:rsidR="000F6F9E" w:rsidRPr="00021789" w:rsidRDefault="000F6F9E" w:rsidP="002B055B">
      <w:pPr>
        <w:pStyle w:val="Pro-Inwest"/>
        <w:spacing w:line="240" w:lineRule="auto"/>
        <w:rPr>
          <w:rFonts w:asciiTheme="minorHAnsi" w:hAnsiTheme="minorHAnsi"/>
          <w:b/>
          <w:sz w:val="16"/>
          <w:szCs w:val="16"/>
        </w:rPr>
      </w:pPr>
    </w:p>
    <w:p w14:paraId="421283B4" w14:textId="77777777" w:rsidR="000F6F9E" w:rsidRPr="00021789" w:rsidRDefault="000F6F9E" w:rsidP="002B055B">
      <w:pPr>
        <w:pStyle w:val="Pro-Inwest"/>
        <w:spacing w:line="240" w:lineRule="auto"/>
        <w:rPr>
          <w:rFonts w:asciiTheme="minorHAnsi" w:hAnsiTheme="minorHAnsi"/>
          <w:b/>
          <w:sz w:val="16"/>
          <w:szCs w:val="16"/>
        </w:rPr>
      </w:pPr>
    </w:p>
    <w:p w14:paraId="5B537146" w14:textId="77777777" w:rsidR="000F6F9E" w:rsidRPr="00021789" w:rsidRDefault="000F6F9E" w:rsidP="002B055B">
      <w:pPr>
        <w:pStyle w:val="Pro-Inwest"/>
        <w:spacing w:line="240" w:lineRule="auto"/>
        <w:rPr>
          <w:rFonts w:asciiTheme="minorHAnsi" w:hAnsiTheme="minorHAnsi"/>
          <w:b/>
          <w:color w:val="FF0000"/>
          <w:sz w:val="16"/>
          <w:szCs w:val="16"/>
        </w:rPr>
      </w:pPr>
    </w:p>
    <w:p w14:paraId="1CB8C68A" w14:textId="77777777" w:rsidR="00105AB9" w:rsidRPr="00021789" w:rsidRDefault="00105AB9" w:rsidP="00105AB9">
      <w:pPr>
        <w:pStyle w:val="Nagwek1"/>
        <w:rPr>
          <w:rFonts w:ascii="Arial" w:hAnsi="Arial" w:cs="Arial"/>
          <w:sz w:val="18"/>
          <w:szCs w:val="18"/>
        </w:rPr>
      </w:pPr>
      <w:r w:rsidRPr="00021789">
        <w:rPr>
          <w:rFonts w:asciiTheme="minorHAnsi" w:eastAsiaTheme="minorHAnsi" w:hAnsiTheme="minorHAnsi" w:cstheme="minorBidi"/>
          <w:bCs w:val="0"/>
          <w:sz w:val="18"/>
          <w:szCs w:val="18"/>
        </w:rPr>
        <w:lastRenderedPageBreak/>
        <w:t>D.04.02.01a WARSTWA SEPARACYJNO - WZMACNIAJĄCA Z GEOSYNTETYKU</w:t>
      </w:r>
    </w:p>
    <w:p w14:paraId="77A55B25" w14:textId="77777777" w:rsidR="00105AB9" w:rsidRPr="00021789" w:rsidRDefault="00105AB9" w:rsidP="00105AB9">
      <w:pPr>
        <w:pStyle w:val="Pro-Inwest"/>
        <w:jc w:val="both"/>
        <w:rPr>
          <w:rFonts w:asciiTheme="minorHAnsi" w:hAnsiTheme="minorHAnsi"/>
          <w:sz w:val="16"/>
          <w:szCs w:val="16"/>
        </w:rPr>
      </w:pPr>
    </w:p>
    <w:p w14:paraId="1DA6916E"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1. WSTĘP</w:t>
      </w:r>
    </w:p>
    <w:p w14:paraId="1A25ED86"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 xml:space="preserve">1.1. Przedmiot </w:t>
      </w:r>
      <w:proofErr w:type="spellStart"/>
      <w:r w:rsidRPr="00021789">
        <w:rPr>
          <w:rFonts w:asciiTheme="minorHAnsi" w:hAnsiTheme="minorHAnsi"/>
          <w:b/>
          <w:sz w:val="16"/>
          <w:szCs w:val="16"/>
        </w:rPr>
        <w:t>STWiORB</w:t>
      </w:r>
      <w:proofErr w:type="spellEnd"/>
    </w:p>
    <w:p w14:paraId="3C15E8E0" w14:textId="77777777" w:rsidR="00105AB9" w:rsidRPr="00021789" w:rsidRDefault="00105AB9" w:rsidP="00105AB9">
      <w:pPr>
        <w:pStyle w:val="Pro-Inwest"/>
        <w:ind w:firstLine="708"/>
        <w:jc w:val="both"/>
        <w:rPr>
          <w:rFonts w:asciiTheme="minorHAnsi" w:hAnsiTheme="minorHAnsi"/>
          <w:sz w:val="16"/>
          <w:szCs w:val="16"/>
        </w:rPr>
      </w:pPr>
      <w:r w:rsidRPr="00021789">
        <w:rPr>
          <w:rFonts w:asciiTheme="minorHAnsi" w:hAnsiTheme="minorHAnsi"/>
          <w:sz w:val="16"/>
          <w:szCs w:val="16"/>
        </w:rPr>
        <w:t>Przedmiotem niniejszej specyfikacji technicznej wykonania i odbioru robót budowlanych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są wymagania dotyczące wykonania i odbioru robót związanych z wykonaniem warstwy </w:t>
      </w:r>
      <w:proofErr w:type="spellStart"/>
      <w:r w:rsidRPr="00021789">
        <w:rPr>
          <w:rFonts w:asciiTheme="minorHAnsi" w:hAnsiTheme="minorHAnsi"/>
          <w:sz w:val="16"/>
          <w:szCs w:val="16"/>
        </w:rPr>
        <w:t>separacyjno</w:t>
      </w:r>
      <w:proofErr w:type="spellEnd"/>
      <w:r w:rsidRPr="00021789">
        <w:rPr>
          <w:rFonts w:asciiTheme="minorHAnsi" w:hAnsiTheme="minorHAnsi"/>
          <w:sz w:val="16"/>
          <w:szCs w:val="16"/>
        </w:rPr>
        <w:t xml:space="preserve"> - wzmacniającej z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w:t>
      </w:r>
    </w:p>
    <w:p w14:paraId="2F939FE2"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 xml:space="preserve">1.2. Zakres stosowania </w:t>
      </w:r>
      <w:proofErr w:type="spellStart"/>
      <w:r w:rsidRPr="00021789">
        <w:rPr>
          <w:rFonts w:asciiTheme="minorHAnsi" w:hAnsiTheme="minorHAnsi"/>
          <w:b/>
          <w:sz w:val="16"/>
          <w:szCs w:val="16"/>
        </w:rPr>
        <w:t>STWiORB</w:t>
      </w:r>
      <w:proofErr w:type="spellEnd"/>
    </w:p>
    <w:p w14:paraId="4D697805" w14:textId="77777777" w:rsidR="00105AB9" w:rsidRPr="00021789" w:rsidRDefault="00105AB9" w:rsidP="00105AB9">
      <w:pPr>
        <w:pStyle w:val="Pro-Inwest"/>
        <w:ind w:firstLine="708"/>
        <w:jc w:val="both"/>
        <w:rPr>
          <w:rFonts w:asciiTheme="minorHAnsi" w:hAnsiTheme="minorHAnsi"/>
          <w:sz w:val="16"/>
          <w:szCs w:val="16"/>
        </w:rPr>
      </w:pPr>
      <w:r w:rsidRPr="00021789">
        <w:rPr>
          <w:rFonts w:asciiTheme="minorHAnsi" w:hAnsiTheme="minorHAnsi"/>
          <w:sz w:val="16"/>
          <w:szCs w:val="16"/>
        </w:rPr>
        <w:t>Specyfikacja techniczna wykonania i odbioru robót budowlanych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stanowi dokument przetargowy i kontraktowy przy zlecaniu i realizacji robót drogowych.</w:t>
      </w:r>
    </w:p>
    <w:p w14:paraId="622E2644"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 xml:space="preserve">1.3. Zakres robót objętych </w:t>
      </w:r>
      <w:proofErr w:type="spellStart"/>
      <w:r w:rsidRPr="00021789">
        <w:rPr>
          <w:rFonts w:asciiTheme="minorHAnsi" w:hAnsiTheme="minorHAnsi"/>
          <w:b/>
          <w:sz w:val="16"/>
          <w:szCs w:val="16"/>
        </w:rPr>
        <w:t>STWiORB</w:t>
      </w:r>
      <w:proofErr w:type="spellEnd"/>
    </w:p>
    <w:p w14:paraId="1F7EDF5D" w14:textId="77777777" w:rsidR="00105AB9" w:rsidRPr="00021789" w:rsidRDefault="00105AB9" w:rsidP="00105AB9">
      <w:pPr>
        <w:pStyle w:val="Pro-Inwest"/>
        <w:ind w:firstLine="708"/>
        <w:jc w:val="both"/>
        <w:rPr>
          <w:rFonts w:asciiTheme="minorHAnsi" w:hAnsiTheme="minorHAnsi"/>
          <w:sz w:val="16"/>
          <w:szCs w:val="16"/>
        </w:rPr>
      </w:pPr>
      <w:r w:rsidRPr="00021789">
        <w:rPr>
          <w:rFonts w:asciiTheme="minorHAnsi" w:hAnsiTheme="minorHAnsi"/>
          <w:sz w:val="16"/>
          <w:szCs w:val="16"/>
        </w:rPr>
        <w:t xml:space="preserve">Ustalenia zawarte w niniejszej specyfikacji dotyczą zasad prowadzenia robót związanych z wykonaniem warstw odsączających i odcinających, stanowiących część podbudowy pomocniczej, w przypadku gdy podłoże stanowi grunt </w:t>
      </w:r>
      <w:proofErr w:type="spellStart"/>
      <w:r w:rsidRPr="00021789">
        <w:rPr>
          <w:rFonts w:asciiTheme="minorHAnsi" w:hAnsiTheme="minorHAnsi"/>
          <w:sz w:val="16"/>
          <w:szCs w:val="16"/>
        </w:rPr>
        <w:t>wysadzinowy</w:t>
      </w:r>
      <w:proofErr w:type="spellEnd"/>
      <w:r w:rsidRPr="00021789">
        <w:rPr>
          <w:rFonts w:asciiTheme="minorHAnsi" w:hAnsiTheme="minorHAnsi"/>
          <w:sz w:val="16"/>
          <w:szCs w:val="16"/>
        </w:rPr>
        <w:t xml:space="preserve"> lub wątpliwy, nieulepszony spoiwem lub lepiszczem. </w:t>
      </w:r>
    </w:p>
    <w:p w14:paraId="614BB26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Zakres robót obejmuje:</w:t>
      </w:r>
    </w:p>
    <w:p w14:paraId="3007D51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warstwę separacyjno-wzmacniającą z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o wytrzymałości wzdłuż/ wszerz 50/50 </w:t>
      </w:r>
      <w:proofErr w:type="spellStart"/>
      <w:r w:rsidRPr="00021789">
        <w:rPr>
          <w:rFonts w:asciiTheme="minorHAnsi" w:hAnsiTheme="minorHAnsi"/>
          <w:sz w:val="16"/>
          <w:szCs w:val="16"/>
        </w:rPr>
        <w:t>kN</w:t>
      </w:r>
      <w:proofErr w:type="spellEnd"/>
      <w:r w:rsidRPr="00021789">
        <w:rPr>
          <w:rFonts w:asciiTheme="minorHAnsi" w:hAnsiTheme="minorHAnsi"/>
          <w:sz w:val="16"/>
          <w:szCs w:val="16"/>
        </w:rPr>
        <w:t>/m</w:t>
      </w:r>
    </w:p>
    <w:p w14:paraId="378590C4"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1.4. Określenia podstawowe</w:t>
      </w:r>
    </w:p>
    <w:p w14:paraId="1A0F93C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Określenia podstawowe są zgodne z obowiązującymi, odpowiednimi polskimi normami i z określeniami podanymi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1.4.</w:t>
      </w:r>
    </w:p>
    <w:p w14:paraId="62A44A2C"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1.5. Ogólne wymagania dotyczące robót</w:t>
      </w:r>
    </w:p>
    <w:p w14:paraId="53BE6BE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Ogólne wymagania dotyczące robót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1.5.</w:t>
      </w:r>
    </w:p>
    <w:p w14:paraId="4B3D4DCF" w14:textId="77777777" w:rsidR="00105AB9" w:rsidRPr="00021789" w:rsidRDefault="00105AB9" w:rsidP="00105AB9">
      <w:pPr>
        <w:pStyle w:val="Pro-Inwest"/>
        <w:jc w:val="both"/>
        <w:rPr>
          <w:rFonts w:asciiTheme="minorHAnsi" w:hAnsiTheme="minorHAnsi"/>
          <w:sz w:val="16"/>
          <w:szCs w:val="16"/>
        </w:rPr>
      </w:pPr>
    </w:p>
    <w:p w14:paraId="09DEEB73"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2. MATERIAŁY</w:t>
      </w:r>
    </w:p>
    <w:p w14:paraId="47FB47CF"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2.1. Ogólne wymagania dotyczące materiałów</w:t>
      </w:r>
    </w:p>
    <w:p w14:paraId="0DFEB06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Ogólne wymagania dotyczące materiałów, ich pozyskiwania i składowania,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2.</w:t>
      </w:r>
    </w:p>
    <w:p w14:paraId="7EC2684F"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2.2. Rodzaje materiałów</w:t>
      </w:r>
    </w:p>
    <w:p w14:paraId="0328997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Materiałami stosowanymi przy wykonywaniu warstw </w:t>
      </w:r>
      <w:proofErr w:type="spellStart"/>
      <w:r w:rsidRPr="00021789">
        <w:rPr>
          <w:rFonts w:asciiTheme="minorHAnsi" w:hAnsiTheme="minorHAnsi"/>
          <w:sz w:val="16"/>
          <w:szCs w:val="16"/>
        </w:rPr>
        <w:t>separacyjno</w:t>
      </w:r>
      <w:proofErr w:type="spellEnd"/>
      <w:r w:rsidRPr="00021789">
        <w:rPr>
          <w:rFonts w:asciiTheme="minorHAnsi" w:hAnsiTheme="minorHAnsi"/>
          <w:sz w:val="16"/>
          <w:szCs w:val="16"/>
        </w:rPr>
        <w:t xml:space="preserve"> - wzmacniającej są:</w:t>
      </w:r>
    </w:p>
    <w:p w14:paraId="4792FF2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 </w:t>
      </w:r>
      <w:proofErr w:type="spellStart"/>
      <w:r w:rsidRPr="00021789">
        <w:rPr>
          <w:rFonts w:asciiTheme="minorHAnsi" w:hAnsiTheme="minorHAnsi"/>
          <w:sz w:val="16"/>
          <w:szCs w:val="16"/>
        </w:rPr>
        <w:t>geotkaniny</w:t>
      </w:r>
      <w:proofErr w:type="spellEnd"/>
      <w:r w:rsidRPr="00021789">
        <w:rPr>
          <w:rFonts w:asciiTheme="minorHAnsi" w:hAnsiTheme="minorHAnsi"/>
          <w:sz w:val="16"/>
          <w:szCs w:val="16"/>
        </w:rPr>
        <w:t>,</w:t>
      </w:r>
    </w:p>
    <w:p w14:paraId="6D5468F8"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 xml:space="preserve">2.3. Wymagania dla </w:t>
      </w:r>
      <w:proofErr w:type="spellStart"/>
      <w:r w:rsidRPr="00021789">
        <w:rPr>
          <w:rFonts w:asciiTheme="minorHAnsi" w:hAnsiTheme="minorHAnsi"/>
          <w:b/>
          <w:sz w:val="16"/>
          <w:szCs w:val="16"/>
        </w:rPr>
        <w:t>geosyntetyków</w:t>
      </w:r>
      <w:proofErr w:type="spellEnd"/>
    </w:p>
    <w:p w14:paraId="5A4BDA18" w14:textId="77777777" w:rsidR="00105AB9" w:rsidRPr="00021789" w:rsidRDefault="00105AB9" w:rsidP="00105AB9">
      <w:pPr>
        <w:pStyle w:val="Pro-Inwest"/>
        <w:jc w:val="both"/>
        <w:rPr>
          <w:rFonts w:asciiTheme="minorHAnsi" w:hAnsiTheme="minorHAnsi"/>
          <w:sz w:val="16"/>
          <w:szCs w:val="16"/>
        </w:rPr>
      </w:pPr>
      <w:proofErr w:type="spellStart"/>
      <w:r w:rsidRPr="00021789">
        <w:rPr>
          <w:rFonts w:asciiTheme="minorHAnsi" w:hAnsiTheme="minorHAnsi"/>
          <w:sz w:val="16"/>
          <w:szCs w:val="16"/>
        </w:rPr>
        <w:t>Geotkanina</w:t>
      </w:r>
      <w:proofErr w:type="spellEnd"/>
      <w:r w:rsidRPr="00021789">
        <w:rPr>
          <w:rFonts w:asciiTheme="minorHAnsi" w:hAnsiTheme="minorHAnsi"/>
          <w:sz w:val="16"/>
          <w:szCs w:val="16"/>
        </w:rPr>
        <w:t xml:space="preserve"> powinny posiadać aprobatę techniczną wydaną przez uprawnioną jednostkę i być zgodna z dokumentacją techniczną.</w:t>
      </w:r>
    </w:p>
    <w:p w14:paraId="2AFAA90E" w14:textId="77777777" w:rsidR="00105AB9" w:rsidRPr="00021789" w:rsidRDefault="00105AB9" w:rsidP="00105AB9">
      <w:pPr>
        <w:pStyle w:val="Tekstpodstawowy21"/>
        <w:spacing w:line="360" w:lineRule="auto"/>
        <w:ind w:firstLine="0"/>
        <w:rPr>
          <w:rFonts w:ascii="Arial" w:hAnsi="Arial"/>
          <w:bCs/>
          <w:sz w:val="16"/>
          <w:szCs w:val="16"/>
        </w:rPr>
      </w:pPr>
    </w:p>
    <w:p w14:paraId="6D344BDC" w14:textId="77777777" w:rsidR="00105AB9" w:rsidRPr="00021789" w:rsidRDefault="00105AB9" w:rsidP="00105AB9">
      <w:pPr>
        <w:pStyle w:val="Tekstpodstawowy21"/>
        <w:spacing w:line="360" w:lineRule="auto"/>
        <w:ind w:firstLine="0"/>
        <w:rPr>
          <w:rFonts w:ascii="Arial" w:hAnsi="Arial"/>
          <w:bCs/>
          <w:sz w:val="16"/>
          <w:szCs w:val="16"/>
        </w:rPr>
      </w:pPr>
      <w:r w:rsidRPr="00021789">
        <w:rPr>
          <w:rFonts w:ascii="Arial" w:hAnsi="Arial"/>
          <w:bCs/>
          <w:sz w:val="16"/>
          <w:szCs w:val="16"/>
        </w:rPr>
        <w:t xml:space="preserve">Tablica. 1. Właściwości </w:t>
      </w:r>
      <w:proofErr w:type="spellStart"/>
      <w:r w:rsidRPr="00021789">
        <w:rPr>
          <w:rFonts w:ascii="Arial" w:hAnsi="Arial"/>
          <w:bCs/>
          <w:sz w:val="16"/>
          <w:szCs w:val="16"/>
        </w:rPr>
        <w:t>geotkaniny</w:t>
      </w:r>
      <w:proofErr w:type="spellEnd"/>
    </w:p>
    <w:tbl>
      <w:tblPr>
        <w:tblW w:w="0" w:type="auto"/>
        <w:tblInd w:w="57" w:type="dxa"/>
        <w:tblLayout w:type="fixed"/>
        <w:tblCellMar>
          <w:left w:w="57" w:type="dxa"/>
          <w:right w:w="57" w:type="dxa"/>
        </w:tblCellMar>
        <w:tblLook w:val="0000" w:firstRow="0" w:lastRow="0" w:firstColumn="0" w:lastColumn="0" w:noHBand="0" w:noVBand="0"/>
      </w:tblPr>
      <w:tblGrid>
        <w:gridCol w:w="4962"/>
        <w:gridCol w:w="1275"/>
        <w:gridCol w:w="1560"/>
      </w:tblGrid>
      <w:tr w:rsidR="00021789" w:rsidRPr="00021789" w14:paraId="42465024" w14:textId="77777777" w:rsidTr="003A7D17">
        <w:trPr>
          <w:trHeight w:val="369"/>
        </w:trPr>
        <w:tc>
          <w:tcPr>
            <w:tcW w:w="4962" w:type="dxa"/>
            <w:tcBorders>
              <w:top w:val="single" w:sz="4" w:space="0" w:color="000000"/>
              <w:left w:val="single" w:sz="4" w:space="0" w:color="000000"/>
              <w:bottom w:val="single" w:sz="4" w:space="0" w:color="000000"/>
            </w:tcBorders>
            <w:vAlign w:val="center"/>
          </w:tcPr>
          <w:p w14:paraId="3A937247" w14:textId="77777777" w:rsidR="003A7D17" w:rsidRPr="00021789" w:rsidRDefault="003A7D17" w:rsidP="00CF35EE">
            <w:pPr>
              <w:pStyle w:val="Tekstpodstawowy"/>
              <w:snapToGrid w:val="0"/>
              <w:rPr>
                <w:rFonts w:ascii="Arial" w:hAnsi="Arial" w:cs="Arial"/>
                <w:b/>
                <w:sz w:val="16"/>
                <w:szCs w:val="16"/>
              </w:rPr>
            </w:pPr>
            <w:r w:rsidRPr="00021789">
              <w:rPr>
                <w:rFonts w:ascii="Arial" w:hAnsi="Arial" w:cs="Arial"/>
                <w:b/>
                <w:sz w:val="16"/>
                <w:szCs w:val="16"/>
              </w:rPr>
              <w:t xml:space="preserve">Właściwości </w:t>
            </w:r>
          </w:p>
        </w:tc>
        <w:tc>
          <w:tcPr>
            <w:tcW w:w="1275" w:type="dxa"/>
            <w:tcBorders>
              <w:top w:val="single" w:sz="4" w:space="0" w:color="000000"/>
              <w:left w:val="single" w:sz="4" w:space="0" w:color="000000"/>
              <w:bottom w:val="single" w:sz="4" w:space="0" w:color="000000"/>
            </w:tcBorders>
            <w:vAlign w:val="center"/>
          </w:tcPr>
          <w:p w14:paraId="4593E190" w14:textId="77777777" w:rsidR="003A7D17" w:rsidRPr="00021789" w:rsidRDefault="003A7D17" w:rsidP="00CF35EE">
            <w:pPr>
              <w:pStyle w:val="Tekstpodstawowy"/>
              <w:snapToGrid w:val="0"/>
              <w:rPr>
                <w:rFonts w:ascii="Arial" w:hAnsi="Arial" w:cs="Arial"/>
                <w:b/>
                <w:sz w:val="16"/>
                <w:szCs w:val="16"/>
              </w:rPr>
            </w:pPr>
            <w:r w:rsidRPr="00021789">
              <w:rPr>
                <w:rFonts w:ascii="Arial" w:hAnsi="Arial" w:cs="Arial"/>
                <w:b/>
                <w:sz w:val="16"/>
                <w:szCs w:val="16"/>
              </w:rPr>
              <w:t>Jednostka</w:t>
            </w:r>
          </w:p>
        </w:tc>
        <w:tc>
          <w:tcPr>
            <w:tcW w:w="1560" w:type="dxa"/>
            <w:tcBorders>
              <w:top w:val="single" w:sz="4" w:space="0" w:color="000000"/>
              <w:left w:val="single" w:sz="4" w:space="0" w:color="000000"/>
              <w:bottom w:val="single" w:sz="4" w:space="0" w:color="000000"/>
              <w:right w:val="single" w:sz="4" w:space="0" w:color="000000"/>
            </w:tcBorders>
            <w:vAlign w:val="center"/>
          </w:tcPr>
          <w:p w14:paraId="55413976" w14:textId="77777777" w:rsidR="003A7D17" w:rsidRPr="00021789" w:rsidRDefault="003A7D17" w:rsidP="00CF35EE">
            <w:pPr>
              <w:pStyle w:val="Tekstpodstawowy"/>
              <w:snapToGrid w:val="0"/>
              <w:rPr>
                <w:rFonts w:ascii="Arial" w:hAnsi="Arial" w:cs="Arial"/>
                <w:b/>
                <w:sz w:val="16"/>
                <w:szCs w:val="16"/>
              </w:rPr>
            </w:pPr>
            <w:r w:rsidRPr="00021789">
              <w:rPr>
                <w:rFonts w:ascii="Arial" w:hAnsi="Arial" w:cs="Arial"/>
                <w:b/>
                <w:sz w:val="16"/>
                <w:szCs w:val="16"/>
              </w:rPr>
              <w:t>Parametry</w:t>
            </w:r>
          </w:p>
        </w:tc>
      </w:tr>
      <w:tr w:rsidR="00021789" w:rsidRPr="00021789" w14:paraId="662F773D" w14:textId="77777777" w:rsidTr="003A7D17">
        <w:trPr>
          <w:trHeight w:val="369"/>
        </w:trPr>
        <w:tc>
          <w:tcPr>
            <w:tcW w:w="4962" w:type="dxa"/>
            <w:tcBorders>
              <w:top w:val="single" w:sz="4" w:space="0" w:color="000000"/>
              <w:left w:val="single" w:sz="4" w:space="0" w:color="000000"/>
              <w:bottom w:val="single" w:sz="4" w:space="0" w:color="000000"/>
            </w:tcBorders>
            <w:vAlign w:val="center"/>
          </w:tcPr>
          <w:p w14:paraId="1E7D3A9D"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Właściwości mechaniczne</w:t>
            </w:r>
          </w:p>
        </w:tc>
        <w:tc>
          <w:tcPr>
            <w:tcW w:w="1275" w:type="dxa"/>
            <w:tcBorders>
              <w:top w:val="single" w:sz="4" w:space="0" w:color="000000"/>
              <w:bottom w:val="single" w:sz="4" w:space="0" w:color="000000"/>
            </w:tcBorders>
            <w:vAlign w:val="center"/>
          </w:tcPr>
          <w:p w14:paraId="453E6217" w14:textId="77777777" w:rsidR="003A7D17" w:rsidRPr="00021789" w:rsidRDefault="003A7D17" w:rsidP="00CF35EE">
            <w:pPr>
              <w:pStyle w:val="Tekstpodstawowy"/>
              <w:snapToGrid w:val="0"/>
              <w:rPr>
                <w:rFonts w:ascii="Arial" w:hAnsi="Arial" w:cs="Arial"/>
                <w:bCs/>
                <w:sz w:val="16"/>
                <w:szCs w:val="16"/>
              </w:rPr>
            </w:pPr>
          </w:p>
        </w:tc>
        <w:tc>
          <w:tcPr>
            <w:tcW w:w="1560" w:type="dxa"/>
            <w:tcBorders>
              <w:top w:val="single" w:sz="4" w:space="0" w:color="000000"/>
              <w:bottom w:val="single" w:sz="4" w:space="0" w:color="000000"/>
              <w:right w:val="single" w:sz="4" w:space="0" w:color="000000"/>
            </w:tcBorders>
            <w:vAlign w:val="center"/>
          </w:tcPr>
          <w:p w14:paraId="0545EA05" w14:textId="77777777" w:rsidR="003A7D17" w:rsidRPr="00021789" w:rsidRDefault="003A7D17" w:rsidP="00CF35EE">
            <w:pPr>
              <w:pStyle w:val="Tekstpodstawowy"/>
              <w:snapToGrid w:val="0"/>
              <w:rPr>
                <w:rFonts w:ascii="Arial" w:hAnsi="Arial" w:cs="Arial"/>
                <w:bCs/>
                <w:sz w:val="16"/>
                <w:szCs w:val="16"/>
              </w:rPr>
            </w:pPr>
          </w:p>
        </w:tc>
      </w:tr>
      <w:tr w:rsidR="00021789" w:rsidRPr="00021789" w14:paraId="5795E4AA" w14:textId="77777777" w:rsidTr="003A7D17">
        <w:trPr>
          <w:trHeight w:val="669"/>
        </w:trPr>
        <w:tc>
          <w:tcPr>
            <w:tcW w:w="4962" w:type="dxa"/>
            <w:tcBorders>
              <w:top w:val="single" w:sz="4" w:space="0" w:color="000000"/>
              <w:left w:val="single" w:sz="4" w:space="0" w:color="000000"/>
              <w:bottom w:val="single" w:sz="4" w:space="0" w:color="000000"/>
            </w:tcBorders>
            <w:tcMar>
              <w:left w:w="70" w:type="dxa"/>
              <w:right w:w="70" w:type="dxa"/>
            </w:tcMar>
            <w:vAlign w:val="center"/>
          </w:tcPr>
          <w:p w14:paraId="45FE4C8E" w14:textId="77777777" w:rsidR="003A7D17" w:rsidRPr="00021789" w:rsidRDefault="003A7D17" w:rsidP="00CF35EE">
            <w:pPr>
              <w:pStyle w:val="Tekstpodstawowy"/>
              <w:snapToGrid w:val="0"/>
              <w:rPr>
                <w:rFonts w:ascii="Arial" w:hAnsi="Arial" w:cs="Arial"/>
                <w:bCs/>
                <w:i/>
                <w:sz w:val="16"/>
                <w:szCs w:val="16"/>
              </w:rPr>
            </w:pPr>
            <w:r w:rsidRPr="00021789">
              <w:rPr>
                <w:rFonts w:ascii="Arial" w:hAnsi="Arial" w:cs="Arial"/>
                <w:bCs/>
                <w:sz w:val="16"/>
                <w:szCs w:val="16"/>
              </w:rPr>
              <w:t xml:space="preserve">Wytrzymałość na rozciąganie   </w:t>
            </w:r>
            <w:r w:rsidRPr="00021789">
              <w:rPr>
                <w:rFonts w:ascii="Arial" w:hAnsi="Arial" w:cs="Arial"/>
                <w:bCs/>
                <w:i/>
                <w:sz w:val="16"/>
                <w:szCs w:val="16"/>
              </w:rPr>
              <w:t>[EN ISO 10319]</w:t>
            </w:r>
          </w:p>
          <w:p w14:paraId="47CBC4EB" w14:textId="77777777" w:rsidR="003A7D17" w:rsidRPr="00021789" w:rsidRDefault="003A7D17" w:rsidP="003A7D17">
            <w:pPr>
              <w:pStyle w:val="Tekstpodstawowy"/>
              <w:numPr>
                <w:ilvl w:val="0"/>
                <w:numId w:val="127"/>
              </w:numPr>
              <w:tabs>
                <w:tab w:val="clear" w:pos="0"/>
                <w:tab w:val="num" w:pos="283"/>
              </w:tabs>
              <w:jc w:val="left"/>
              <w:rPr>
                <w:rFonts w:ascii="Arial" w:hAnsi="Arial" w:cs="Arial"/>
                <w:bCs/>
                <w:sz w:val="16"/>
                <w:szCs w:val="16"/>
              </w:rPr>
            </w:pPr>
            <w:r w:rsidRPr="00021789">
              <w:rPr>
                <w:rFonts w:ascii="Arial" w:hAnsi="Arial" w:cs="Arial"/>
                <w:bCs/>
                <w:sz w:val="16"/>
                <w:szCs w:val="16"/>
              </w:rPr>
              <w:t xml:space="preserve">wzdłuż    </w:t>
            </w:r>
          </w:p>
          <w:p w14:paraId="6F4E4356" w14:textId="77777777" w:rsidR="003A7D17" w:rsidRPr="00021789" w:rsidRDefault="003A7D17" w:rsidP="003A7D17">
            <w:pPr>
              <w:pStyle w:val="Tekstpodstawowy"/>
              <w:numPr>
                <w:ilvl w:val="0"/>
                <w:numId w:val="127"/>
              </w:numPr>
              <w:tabs>
                <w:tab w:val="clear" w:pos="0"/>
                <w:tab w:val="num" w:pos="283"/>
              </w:tabs>
              <w:jc w:val="left"/>
              <w:rPr>
                <w:rFonts w:ascii="Arial" w:hAnsi="Arial" w:cs="Arial"/>
                <w:bCs/>
                <w:sz w:val="16"/>
                <w:szCs w:val="16"/>
              </w:rPr>
            </w:pPr>
            <w:r w:rsidRPr="00021789">
              <w:rPr>
                <w:rFonts w:ascii="Arial" w:hAnsi="Arial" w:cs="Arial"/>
                <w:bCs/>
                <w:sz w:val="16"/>
                <w:szCs w:val="16"/>
              </w:rPr>
              <w:t xml:space="preserve">wszerz   </w:t>
            </w:r>
          </w:p>
        </w:tc>
        <w:tc>
          <w:tcPr>
            <w:tcW w:w="1275" w:type="dxa"/>
            <w:tcBorders>
              <w:top w:val="single" w:sz="4" w:space="0" w:color="000000"/>
              <w:left w:val="single" w:sz="4" w:space="0" w:color="000000"/>
              <w:bottom w:val="single" w:sz="4" w:space="0" w:color="000000"/>
            </w:tcBorders>
            <w:tcMar>
              <w:left w:w="70" w:type="dxa"/>
              <w:right w:w="70" w:type="dxa"/>
            </w:tcMar>
            <w:vAlign w:val="center"/>
          </w:tcPr>
          <w:p w14:paraId="287A1D86" w14:textId="77777777" w:rsidR="003A7D17" w:rsidRPr="00021789" w:rsidRDefault="003A7D17" w:rsidP="00CF35EE">
            <w:pPr>
              <w:pStyle w:val="Tekstpodstawowy"/>
              <w:snapToGrid w:val="0"/>
              <w:rPr>
                <w:rFonts w:ascii="Arial" w:hAnsi="Arial" w:cs="Arial"/>
                <w:bCs/>
                <w:sz w:val="16"/>
                <w:szCs w:val="16"/>
              </w:rPr>
            </w:pPr>
          </w:p>
          <w:p w14:paraId="6FCB6B14" w14:textId="77777777" w:rsidR="003A7D17" w:rsidRPr="00021789" w:rsidRDefault="003A7D17" w:rsidP="00CF35EE">
            <w:pPr>
              <w:pStyle w:val="Tekstpodstawowy"/>
              <w:rPr>
                <w:rFonts w:ascii="Arial" w:hAnsi="Arial" w:cs="Arial"/>
                <w:bCs/>
                <w:sz w:val="16"/>
                <w:szCs w:val="16"/>
                <w:lang w:val="de-AT"/>
              </w:rPr>
            </w:pPr>
            <w:r w:rsidRPr="00021789">
              <w:rPr>
                <w:rFonts w:ascii="Arial" w:hAnsi="Arial" w:cs="Arial"/>
                <w:bCs/>
                <w:sz w:val="16"/>
                <w:szCs w:val="16"/>
                <w:lang w:val="de-AT"/>
              </w:rPr>
              <w:t xml:space="preserve">kN/m   </w:t>
            </w:r>
          </w:p>
          <w:p w14:paraId="69D7D074" w14:textId="77777777" w:rsidR="003A7D17" w:rsidRPr="00021789" w:rsidRDefault="003A7D17" w:rsidP="00CF35EE">
            <w:pPr>
              <w:pStyle w:val="Tekstpodstawowy"/>
              <w:rPr>
                <w:rFonts w:ascii="Arial" w:hAnsi="Arial" w:cs="Arial"/>
                <w:bCs/>
                <w:sz w:val="16"/>
                <w:szCs w:val="16"/>
                <w:lang w:val="de-AT"/>
              </w:rPr>
            </w:pPr>
            <w:r w:rsidRPr="00021789">
              <w:rPr>
                <w:rFonts w:ascii="Arial" w:hAnsi="Arial" w:cs="Arial"/>
                <w:bCs/>
                <w:sz w:val="16"/>
                <w:szCs w:val="16"/>
                <w:lang w:val="de-AT"/>
              </w:rPr>
              <w:t xml:space="preserve">kN/m   </w:t>
            </w:r>
          </w:p>
        </w:tc>
        <w:tc>
          <w:tcPr>
            <w:tcW w:w="1560" w:type="dxa"/>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764EB74" w14:textId="77777777" w:rsidR="003A7D17" w:rsidRPr="00021789" w:rsidRDefault="003A7D17" w:rsidP="00CF35EE">
            <w:pPr>
              <w:pStyle w:val="Tekstpodstawowy"/>
              <w:snapToGrid w:val="0"/>
              <w:rPr>
                <w:rFonts w:ascii="Arial" w:hAnsi="Arial" w:cs="Arial"/>
                <w:bCs/>
                <w:sz w:val="16"/>
                <w:szCs w:val="16"/>
              </w:rPr>
            </w:pPr>
          </w:p>
          <w:p w14:paraId="15A9778B" w14:textId="77777777" w:rsidR="003A7D17" w:rsidRPr="00021789" w:rsidRDefault="003A7D17" w:rsidP="00CF35EE">
            <w:pPr>
              <w:pStyle w:val="Tekstpodstawowy"/>
              <w:rPr>
                <w:rFonts w:ascii="Arial" w:hAnsi="Arial" w:cs="Arial"/>
                <w:bCs/>
                <w:sz w:val="16"/>
                <w:szCs w:val="16"/>
              </w:rPr>
            </w:pPr>
            <w:r w:rsidRPr="00021789">
              <w:rPr>
                <w:rFonts w:ascii="Arial" w:hAnsi="Arial" w:cs="Arial"/>
                <w:bCs/>
                <w:sz w:val="16"/>
                <w:szCs w:val="16"/>
              </w:rPr>
              <w:t>25</w:t>
            </w:r>
          </w:p>
          <w:p w14:paraId="215BBE07" w14:textId="77777777" w:rsidR="003A7D17" w:rsidRPr="00021789" w:rsidRDefault="003A7D17" w:rsidP="00CF35EE">
            <w:pPr>
              <w:pStyle w:val="Tekstpodstawowy"/>
              <w:rPr>
                <w:rFonts w:ascii="Arial" w:hAnsi="Arial" w:cs="Arial"/>
                <w:bCs/>
                <w:sz w:val="16"/>
                <w:szCs w:val="16"/>
              </w:rPr>
            </w:pPr>
            <w:r w:rsidRPr="00021789">
              <w:rPr>
                <w:rFonts w:ascii="Arial" w:hAnsi="Arial" w:cs="Arial"/>
                <w:bCs/>
                <w:sz w:val="16"/>
                <w:szCs w:val="16"/>
              </w:rPr>
              <w:t>25</w:t>
            </w:r>
          </w:p>
        </w:tc>
      </w:tr>
      <w:tr w:rsidR="00021789" w:rsidRPr="00021789" w14:paraId="2FEB5F91" w14:textId="77777777" w:rsidTr="003A7D17">
        <w:trPr>
          <w:trHeight w:val="669"/>
        </w:trPr>
        <w:tc>
          <w:tcPr>
            <w:tcW w:w="4962" w:type="dxa"/>
            <w:tcBorders>
              <w:top w:val="single" w:sz="4" w:space="0" w:color="000000"/>
              <w:left w:val="single" w:sz="4" w:space="0" w:color="000000"/>
              <w:bottom w:val="single" w:sz="4" w:space="0" w:color="000000"/>
            </w:tcBorders>
            <w:tcMar>
              <w:left w:w="70" w:type="dxa"/>
              <w:right w:w="70" w:type="dxa"/>
            </w:tcMar>
            <w:vAlign w:val="center"/>
          </w:tcPr>
          <w:p w14:paraId="2C722A98" w14:textId="77777777" w:rsidR="003A7D17" w:rsidRPr="00021789" w:rsidRDefault="003A7D17" w:rsidP="00CF35EE">
            <w:pPr>
              <w:pStyle w:val="Tekstpodstawowy"/>
              <w:snapToGrid w:val="0"/>
              <w:rPr>
                <w:rFonts w:ascii="Arial" w:hAnsi="Arial" w:cs="Arial"/>
                <w:bCs/>
                <w:i/>
                <w:sz w:val="16"/>
                <w:szCs w:val="16"/>
              </w:rPr>
            </w:pPr>
            <w:r w:rsidRPr="00021789">
              <w:rPr>
                <w:rFonts w:ascii="Arial" w:hAnsi="Arial" w:cs="Arial"/>
                <w:bCs/>
                <w:sz w:val="16"/>
                <w:szCs w:val="16"/>
              </w:rPr>
              <w:t xml:space="preserve">Wydłużenie przy zerwaniu   </w:t>
            </w:r>
            <w:r w:rsidRPr="00021789">
              <w:rPr>
                <w:rFonts w:ascii="Arial" w:hAnsi="Arial" w:cs="Arial"/>
                <w:bCs/>
                <w:i/>
                <w:sz w:val="16"/>
                <w:szCs w:val="16"/>
              </w:rPr>
              <w:t>[EN ISO 12236]</w:t>
            </w:r>
          </w:p>
          <w:p w14:paraId="32D8E515" w14:textId="77777777" w:rsidR="003A7D17" w:rsidRPr="00021789" w:rsidRDefault="003A7D17" w:rsidP="003A7D17">
            <w:pPr>
              <w:pStyle w:val="Tekstpodstawowy"/>
              <w:numPr>
                <w:ilvl w:val="0"/>
                <w:numId w:val="127"/>
              </w:numPr>
              <w:tabs>
                <w:tab w:val="clear" w:pos="0"/>
                <w:tab w:val="num" w:pos="283"/>
              </w:tabs>
              <w:jc w:val="left"/>
              <w:rPr>
                <w:rFonts w:ascii="Arial" w:hAnsi="Arial" w:cs="Arial"/>
                <w:bCs/>
                <w:sz w:val="16"/>
                <w:szCs w:val="16"/>
              </w:rPr>
            </w:pPr>
            <w:r w:rsidRPr="00021789">
              <w:rPr>
                <w:rFonts w:ascii="Arial" w:hAnsi="Arial" w:cs="Arial"/>
                <w:bCs/>
                <w:sz w:val="16"/>
                <w:szCs w:val="16"/>
              </w:rPr>
              <w:t xml:space="preserve">wzdłuż </w:t>
            </w:r>
          </w:p>
          <w:p w14:paraId="45D924A1" w14:textId="77777777" w:rsidR="003A7D17" w:rsidRPr="00021789" w:rsidRDefault="003A7D17" w:rsidP="003A7D17">
            <w:pPr>
              <w:pStyle w:val="Tekstpodstawowy"/>
              <w:numPr>
                <w:ilvl w:val="0"/>
                <w:numId w:val="127"/>
              </w:numPr>
              <w:tabs>
                <w:tab w:val="clear" w:pos="0"/>
                <w:tab w:val="num" w:pos="283"/>
              </w:tabs>
              <w:jc w:val="left"/>
              <w:rPr>
                <w:rFonts w:ascii="Arial" w:hAnsi="Arial" w:cs="Arial"/>
                <w:bCs/>
                <w:sz w:val="16"/>
                <w:szCs w:val="16"/>
              </w:rPr>
            </w:pPr>
            <w:r w:rsidRPr="00021789">
              <w:rPr>
                <w:rFonts w:ascii="Arial" w:hAnsi="Arial" w:cs="Arial"/>
                <w:bCs/>
                <w:sz w:val="16"/>
                <w:szCs w:val="16"/>
              </w:rPr>
              <w:t>wszerz</w:t>
            </w:r>
          </w:p>
        </w:tc>
        <w:tc>
          <w:tcPr>
            <w:tcW w:w="1275" w:type="dxa"/>
            <w:tcBorders>
              <w:top w:val="single" w:sz="4" w:space="0" w:color="000000"/>
              <w:left w:val="single" w:sz="4" w:space="0" w:color="000000"/>
              <w:bottom w:val="single" w:sz="4" w:space="0" w:color="000000"/>
            </w:tcBorders>
            <w:tcMar>
              <w:left w:w="70" w:type="dxa"/>
              <w:right w:w="70" w:type="dxa"/>
            </w:tcMar>
            <w:vAlign w:val="center"/>
          </w:tcPr>
          <w:p w14:paraId="365F11B3" w14:textId="77777777" w:rsidR="003A7D17" w:rsidRPr="00021789" w:rsidRDefault="003A7D17" w:rsidP="00CF35EE">
            <w:pPr>
              <w:pStyle w:val="Tekstpodstawowy"/>
              <w:snapToGrid w:val="0"/>
              <w:rPr>
                <w:rFonts w:ascii="Arial" w:hAnsi="Arial" w:cs="Arial"/>
                <w:bCs/>
                <w:sz w:val="16"/>
                <w:szCs w:val="16"/>
              </w:rPr>
            </w:pPr>
          </w:p>
          <w:p w14:paraId="7836D85D" w14:textId="77777777" w:rsidR="003A7D17" w:rsidRPr="00021789" w:rsidRDefault="003A7D17" w:rsidP="00CF35EE">
            <w:pPr>
              <w:pStyle w:val="Tekstpodstawowy"/>
              <w:rPr>
                <w:rFonts w:ascii="Arial" w:hAnsi="Arial" w:cs="Arial"/>
                <w:bCs/>
                <w:sz w:val="16"/>
                <w:szCs w:val="16"/>
              </w:rPr>
            </w:pPr>
            <w:r w:rsidRPr="00021789">
              <w:rPr>
                <w:rFonts w:ascii="Arial" w:hAnsi="Arial" w:cs="Arial"/>
                <w:bCs/>
                <w:sz w:val="16"/>
                <w:szCs w:val="16"/>
              </w:rPr>
              <w:t>%</w:t>
            </w:r>
          </w:p>
          <w:p w14:paraId="6B176DE8" w14:textId="77777777" w:rsidR="003A7D17" w:rsidRPr="00021789" w:rsidRDefault="003A7D17" w:rsidP="00CF35EE">
            <w:pPr>
              <w:pStyle w:val="Tekstpodstawowy"/>
              <w:rPr>
                <w:rFonts w:ascii="Arial" w:hAnsi="Arial" w:cs="Arial"/>
                <w:bCs/>
                <w:sz w:val="16"/>
                <w:szCs w:val="16"/>
              </w:rPr>
            </w:pPr>
            <w:r w:rsidRPr="00021789">
              <w:rPr>
                <w:rFonts w:ascii="Arial" w:hAnsi="Arial" w:cs="Arial"/>
                <w:bCs/>
                <w:sz w:val="16"/>
                <w:szCs w:val="16"/>
              </w:rPr>
              <w:t>%</w:t>
            </w:r>
          </w:p>
        </w:tc>
        <w:tc>
          <w:tcPr>
            <w:tcW w:w="1560" w:type="dxa"/>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7CE03C83" w14:textId="77777777" w:rsidR="003A7D17" w:rsidRPr="00021789" w:rsidRDefault="003A7D17" w:rsidP="00CF35EE">
            <w:pPr>
              <w:pStyle w:val="Tekstpodstawowy"/>
              <w:snapToGrid w:val="0"/>
              <w:rPr>
                <w:rFonts w:ascii="Arial" w:hAnsi="Arial" w:cs="Arial"/>
                <w:bCs/>
                <w:sz w:val="16"/>
                <w:szCs w:val="16"/>
              </w:rPr>
            </w:pPr>
          </w:p>
          <w:p w14:paraId="417E68B3" w14:textId="77777777" w:rsidR="003A7D17" w:rsidRPr="00021789" w:rsidRDefault="003A7D17" w:rsidP="00CF35EE">
            <w:pPr>
              <w:pStyle w:val="Tekstpodstawowy"/>
              <w:rPr>
                <w:rFonts w:ascii="Arial" w:hAnsi="Arial" w:cs="Arial"/>
                <w:bCs/>
                <w:sz w:val="16"/>
                <w:szCs w:val="16"/>
              </w:rPr>
            </w:pPr>
            <w:r w:rsidRPr="00021789">
              <w:rPr>
                <w:rFonts w:ascii="Arial" w:hAnsi="Arial" w:cs="Arial"/>
                <w:bCs/>
                <w:sz w:val="16"/>
                <w:szCs w:val="16"/>
              </w:rPr>
              <w:t>100</w:t>
            </w:r>
          </w:p>
          <w:p w14:paraId="29835F4A" w14:textId="77777777" w:rsidR="003A7D17" w:rsidRPr="00021789" w:rsidRDefault="003A7D17" w:rsidP="00CF35EE">
            <w:pPr>
              <w:pStyle w:val="Tekstpodstawowy"/>
              <w:rPr>
                <w:rFonts w:ascii="Arial" w:hAnsi="Arial" w:cs="Arial"/>
                <w:bCs/>
                <w:sz w:val="16"/>
                <w:szCs w:val="16"/>
              </w:rPr>
            </w:pPr>
            <w:r w:rsidRPr="00021789">
              <w:rPr>
                <w:rFonts w:ascii="Arial" w:hAnsi="Arial" w:cs="Arial"/>
                <w:bCs/>
                <w:sz w:val="16"/>
                <w:szCs w:val="16"/>
              </w:rPr>
              <w:t>40</w:t>
            </w:r>
          </w:p>
        </w:tc>
      </w:tr>
      <w:tr w:rsidR="00021789" w:rsidRPr="00021789" w14:paraId="2FBAE979" w14:textId="77777777" w:rsidTr="003A7D17">
        <w:trPr>
          <w:trHeight w:val="369"/>
        </w:trPr>
        <w:tc>
          <w:tcPr>
            <w:tcW w:w="4962" w:type="dxa"/>
            <w:tcBorders>
              <w:top w:val="single" w:sz="4" w:space="0" w:color="000000"/>
              <w:left w:val="single" w:sz="4" w:space="0" w:color="000000"/>
              <w:bottom w:val="single" w:sz="4" w:space="0" w:color="000000"/>
            </w:tcBorders>
            <w:tcMar>
              <w:left w:w="70" w:type="dxa"/>
              <w:right w:w="70" w:type="dxa"/>
            </w:tcMar>
            <w:vAlign w:val="center"/>
          </w:tcPr>
          <w:p w14:paraId="73BE14AA"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 xml:space="preserve">Odporność na przebicie dynamiczne (metoda spadającego stożka – średnica otworu)   </w:t>
            </w:r>
            <w:r w:rsidRPr="00021789">
              <w:rPr>
                <w:rFonts w:ascii="Arial" w:hAnsi="Arial" w:cs="Arial"/>
                <w:bCs/>
                <w:i/>
                <w:sz w:val="16"/>
                <w:szCs w:val="16"/>
              </w:rPr>
              <w:t>[EN 918/2]</w:t>
            </w:r>
          </w:p>
        </w:tc>
        <w:tc>
          <w:tcPr>
            <w:tcW w:w="1275" w:type="dxa"/>
            <w:tcBorders>
              <w:top w:val="single" w:sz="4" w:space="0" w:color="000000"/>
              <w:left w:val="single" w:sz="4" w:space="0" w:color="000000"/>
              <w:bottom w:val="single" w:sz="4" w:space="0" w:color="000000"/>
            </w:tcBorders>
            <w:tcMar>
              <w:left w:w="70" w:type="dxa"/>
              <w:right w:w="70" w:type="dxa"/>
            </w:tcMar>
            <w:vAlign w:val="center"/>
          </w:tcPr>
          <w:p w14:paraId="5E2BB98A"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mm</w:t>
            </w:r>
          </w:p>
        </w:tc>
        <w:tc>
          <w:tcPr>
            <w:tcW w:w="1560" w:type="dxa"/>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4E79BFAB"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15</w:t>
            </w:r>
          </w:p>
        </w:tc>
      </w:tr>
      <w:tr w:rsidR="00021789" w:rsidRPr="00021789" w14:paraId="43762C28" w14:textId="77777777" w:rsidTr="003A7D17">
        <w:trPr>
          <w:trHeight w:val="369"/>
        </w:trPr>
        <w:tc>
          <w:tcPr>
            <w:tcW w:w="4962" w:type="dxa"/>
            <w:tcBorders>
              <w:top w:val="single" w:sz="4" w:space="0" w:color="000000"/>
              <w:left w:val="single" w:sz="4" w:space="0" w:color="000000"/>
              <w:bottom w:val="single" w:sz="4" w:space="0" w:color="000000"/>
            </w:tcBorders>
            <w:tcMar>
              <w:left w:w="70" w:type="dxa"/>
              <w:right w:w="70" w:type="dxa"/>
            </w:tcMar>
            <w:vAlign w:val="center"/>
          </w:tcPr>
          <w:p w14:paraId="309BA571" w14:textId="77777777" w:rsidR="003A7D17" w:rsidRPr="00021789" w:rsidRDefault="003A7D17" w:rsidP="00CF35EE">
            <w:pPr>
              <w:pStyle w:val="Tekstpodstawowy"/>
              <w:snapToGrid w:val="0"/>
              <w:rPr>
                <w:rFonts w:ascii="Arial" w:hAnsi="Arial" w:cs="Arial"/>
                <w:bCs/>
                <w:i/>
                <w:sz w:val="16"/>
                <w:szCs w:val="16"/>
              </w:rPr>
            </w:pPr>
            <w:r w:rsidRPr="00021789">
              <w:rPr>
                <w:rFonts w:ascii="Arial" w:hAnsi="Arial" w:cs="Arial"/>
                <w:bCs/>
                <w:sz w:val="16"/>
                <w:szCs w:val="16"/>
              </w:rPr>
              <w:t>Umowny wymiar porów O</w:t>
            </w:r>
            <w:r w:rsidRPr="00021789">
              <w:rPr>
                <w:rFonts w:ascii="Arial" w:hAnsi="Arial" w:cs="Arial"/>
                <w:bCs/>
                <w:sz w:val="16"/>
                <w:szCs w:val="16"/>
                <w:vertAlign w:val="subscript"/>
              </w:rPr>
              <w:t>90</w:t>
            </w:r>
            <w:r w:rsidRPr="00021789">
              <w:rPr>
                <w:rFonts w:ascii="Arial" w:hAnsi="Arial" w:cs="Arial"/>
                <w:bCs/>
                <w:sz w:val="16"/>
                <w:szCs w:val="16"/>
              </w:rPr>
              <w:t xml:space="preserve">  </w:t>
            </w:r>
            <w:r w:rsidRPr="00021789">
              <w:rPr>
                <w:rFonts w:ascii="Arial" w:hAnsi="Arial" w:cs="Arial"/>
                <w:bCs/>
                <w:i/>
                <w:sz w:val="16"/>
                <w:szCs w:val="16"/>
              </w:rPr>
              <w:t>[EN ISO 12956]</w:t>
            </w:r>
          </w:p>
        </w:tc>
        <w:tc>
          <w:tcPr>
            <w:tcW w:w="1275" w:type="dxa"/>
            <w:tcBorders>
              <w:top w:val="single" w:sz="4" w:space="0" w:color="000000"/>
              <w:left w:val="single" w:sz="4" w:space="0" w:color="000000"/>
              <w:bottom w:val="single" w:sz="4" w:space="0" w:color="000000"/>
            </w:tcBorders>
            <w:tcMar>
              <w:left w:w="70" w:type="dxa"/>
              <w:right w:w="70" w:type="dxa"/>
            </w:tcMar>
            <w:vAlign w:val="center"/>
          </w:tcPr>
          <w:p w14:paraId="5E26BBC3"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mm</w:t>
            </w:r>
          </w:p>
        </w:tc>
        <w:tc>
          <w:tcPr>
            <w:tcW w:w="1560" w:type="dxa"/>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0EFE0E45"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0,09</w:t>
            </w:r>
          </w:p>
        </w:tc>
      </w:tr>
      <w:tr w:rsidR="00021789" w:rsidRPr="00021789" w14:paraId="1D1F3360" w14:textId="77777777" w:rsidTr="003A7D17">
        <w:trPr>
          <w:trHeight w:val="369"/>
        </w:trPr>
        <w:tc>
          <w:tcPr>
            <w:tcW w:w="4962" w:type="dxa"/>
            <w:tcBorders>
              <w:top w:val="single" w:sz="4" w:space="0" w:color="000000"/>
              <w:left w:val="single" w:sz="4" w:space="0" w:color="000000"/>
              <w:bottom w:val="single" w:sz="4" w:space="0" w:color="000000"/>
            </w:tcBorders>
            <w:tcMar>
              <w:left w:w="70" w:type="dxa"/>
              <w:right w:w="70" w:type="dxa"/>
            </w:tcMar>
            <w:vAlign w:val="center"/>
          </w:tcPr>
          <w:p w14:paraId="2788D220"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 xml:space="preserve">Grubość - przy nacisku 2 </w:t>
            </w:r>
            <w:proofErr w:type="spellStart"/>
            <w:r w:rsidRPr="00021789">
              <w:rPr>
                <w:rFonts w:ascii="Arial" w:hAnsi="Arial" w:cs="Arial"/>
                <w:bCs/>
                <w:sz w:val="16"/>
                <w:szCs w:val="16"/>
              </w:rPr>
              <w:t>kPa</w:t>
            </w:r>
            <w:proofErr w:type="spellEnd"/>
            <w:r w:rsidRPr="00021789">
              <w:rPr>
                <w:rFonts w:ascii="Arial" w:hAnsi="Arial" w:cs="Arial"/>
                <w:bCs/>
                <w:sz w:val="16"/>
                <w:szCs w:val="16"/>
              </w:rPr>
              <w:t xml:space="preserve"> </w:t>
            </w:r>
            <w:r w:rsidRPr="00021789">
              <w:rPr>
                <w:rFonts w:ascii="Arial" w:hAnsi="Arial" w:cs="Arial"/>
                <w:bCs/>
                <w:i/>
                <w:iCs/>
                <w:sz w:val="16"/>
                <w:szCs w:val="16"/>
              </w:rPr>
              <w:t>[EN 964-1]</w:t>
            </w:r>
          </w:p>
        </w:tc>
        <w:tc>
          <w:tcPr>
            <w:tcW w:w="1275" w:type="dxa"/>
            <w:tcBorders>
              <w:top w:val="single" w:sz="4" w:space="0" w:color="000000"/>
              <w:left w:val="single" w:sz="4" w:space="0" w:color="000000"/>
              <w:bottom w:val="single" w:sz="4" w:space="0" w:color="000000"/>
            </w:tcBorders>
            <w:tcMar>
              <w:left w:w="70" w:type="dxa"/>
              <w:right w:w="70" w:type="dxa"/>
            </w:tcMar>
            <w:vAlign w:val="center"/>
          </w:tcPr>
          <w:p w14:paraId="46F1D610"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mm</w:t>
            </w:r>
          </w:p>
        </w:tc>
        <w:tc>
          <w:tcPr>
            <w:tcW w:w="1560" w:type="dxa"/>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46AE05BE"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2,9</w:t>
            </w:r>
          </w:p>
        </w:tc>
      </w:tr>
      <w:tr w:rsidR="00021789" w:rsidRPr="00021789" w14:paraId="6C5CA694" w14:textId="77777777" w:rsidTr="003A7D17">
        <w:trPr>
          <w:trHeight w:val="369"/>
        </w:trPr>
        <w:tc>
          <w:tcPr>
            <w:tcW w:w="4962" w:type="dxa"/>
            <w:tcBorders>
              <w:top w:val="single" w:sz="4" w:space="0" w:color="000000"/>
              <w:left w:val="single" w:sz="4" w:space="0" w:color="000000"/>
              <w:bottom w:val="single" w:sz="4" w:space="0" w:color="000000"/>
            </w:tcBorders>
            <w:tcMar>
              <w:left w:w="70" w:type="dxa"/>
              <w:right w:w="70" w:type="dxa"/>
            </w:tcMar>
            <w:vAlign w:val="center"/>
          </w:tcPr>
          <w:p w14:paraId="5102AC30"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 xml:space="preserve">Masa powierzchniowa </w:t>
            </w:r>
            <w:r w:rsidRPr="00021789">
              <w:rPr>
                <w:rFonts w:ascii="Arial" w:hAnsi="Arial" w:cs="Arial"/>
                <w:bCs/>
                <w:i/>
                <w:iCs/>
                <w:sz w:val="16"/>
                <w:szCs w:val="16"/>
              </w:rPr>
              <w:t>[EN 965]</w:t>
            </w:r>
          </w:p>
        </w:tc>
        <w:tc>
          <w:tcPr>
            <w:tcW w:w="1275" w:type="dxa"/>
            <w:tcBorders>
              <w:top w:val="single" w:sz="4" w:space="0" w:color="000000"/>
              <w:left w:val="single" w:sz="4" w:space="0" w:color="000000"/>
              <w:bottom w:val="single" w:sz="4" w:space="0" w:color="000000"/>
            </w:tcBorders>
            <w:tcMar>
              <w:left w:w="70" w:type="dxa"/>
              <w:right w:w="70" w:type="dxa"/>
            </w:tcMar>
            <w:vAlign w:val="center"/>
          </w:tcPr>
          <w:p w14:paraId="6E947DC2"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g/m2</w:t>
            </w:r>
          </w:p>
        </w:tc>
        <w:tc>
          <w:tcPr>
            <w:tcW w:w="1560" w:type="dxa"/>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51A970E3"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325</w:t>
            </w:r>
          </w:p>
        </w:tc>
      </w:tr>
      <w:tr w:rsidR="00021789" w:rsidRPr="00021789" w14:paraId="560345B7" w14:textId="77777777" w:rsidTr="003A7D17">
        <w:trPr>
          <w:trHeight w:val="369"/>
        </w:trPr>
        <w:tc>
          <w:tcPr>
            <w:tcW w:w="4962" w:type="dxa"/>
            <w:tcBorders>
              <w:top w:val="single" w:sz="4" w:space="0" w:color="000000"/>
              <w:left w:val="single" w:sz="4" w:space="0" w:color="000000"/>
              <w:bottom w:val="single" w:sz="4" w:space="0" w:color="000000"/>
            </w:tcBorders>
            <w:tcMar>
              <w:left w:w="70" w:type="dxa"/>
              <w:right w:w="70" w:type="dxa"/>
            </w:tcMar>
            <w:vAlign w:val="center"/>
          </w:tcPr>
          <w:p w14:paraId="396F6E1B"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Właściwości hydrauliczne</w:t>
            </w:r>
          </w:p>
        </w:tc>
        <w:tc>
          <w:tcPr>
            <w:tcW w:w="1275" w:type="dxa"/>
            <w:tcBorders>
              <w:top w:val="single" w:sz="4" w:space="0" w:color="000000"/>
              <w:bottom w:val="single" w:sz="4" w:space="0" w:color="000000"/>
            </w:tcBorders>
            <w:tcMar>
              <w:left w:w="70" w:type="dxa"/>
              <w:right w:w="70" w:type="dxa"/>
            </w:tcMar>
            <w:vAlign w:val="center"/>
          </w:tcPr>
          <w:p w14:paraId="02DFE2D8" w14:textId="77777777" w:rsidR="003A7D17" w:rsidRPr="00021789" w:rsidRDefault="003A7D17" w:rsidP="00CF35EE">
            <w:pPr>
              <w:pStyle w:val="Tekstpodstawowy"/>
              <w:snapToGrid w:val="0"/>
              <w:rPr>
                <w:rFonts w:ascii="Arial" w:hAnsi="Arial" w:cs="Arial"/>
                <w:bCs/>
                <w:sz w:val="16"/>
                <w:szCs w:val="16"/>
              </w:rPr>
            </w:pPr>
          </w:p>
        </w:tc>
        <w:tc>
          <w:tcPr>
            <w:tcW w:w="1560" w:type="dxa"/>
            <w:tcBorders>
              <w:top w:val="single" w:sz="4" w:space="0" w:color="000000"/>
              <w:bottom w:val="single" w:sz="4" w:space="0" w:color="000000"/>
              <w:right w:val="single" w:sz="4" w:space="0" w:color="000000"/>
            </w:tcBorders>
            <w:tcMar>
              <w:left w:w="70" w:type="dxa"/>
              <w:right w:w="70" w:type="dxa"/>
            </w:tcMar>
            <w:vAlign w:val="center"/>
          </w:tcPr>
          <w:p w14:paraId="620E348F" w14:textId="77777777" w:rsidR="003A7D17" w:rsidRPr="00021789" w:rsidRDefault="003A7D17" w:rsidP="00CF35EE">
            <w:pPr>
              <w:pStyle w:val="Tekstpodstawowy"/>
              <w:snapToGrid w:val="0"/>
              <w:rPr>
                <w:rFonts w:ascii="Arial" w:hAnsi="Arial" w:cs="Arial"/>
                <w:bCs/>
                <w:sz w:val="16"/>
                <w:szCs w:val="16"/>
              </w:rPr>
            </w:pPr>
          </w:p>
        </w:tc>
      </w:tr>
      <w:tr w:rsidR="003A7D17" w:rsidRPr="00021789" w14:paraId="57B09888" w14:textId="77777777" w:rsidTr="003A7D17">
        <w:trPr>
          <w:trHeight w:val="369"/>
        </w:trPr>
        <w:tc>
          <w:tcPr>
            <w:tcW w:w="4962" w:type="dxa"/>
            <w:tcBorders>
              <w:top w:val="single" w:sz="4" w:space="0" w:color="000000"/>
              <w:left w:val="single" w:sz="4" w:space="0" w:color="000000"/>
              <w:bottom w:val="single" w:sz="4" w:space="0" w:color="000000"/>
            </w:tcBorders>
            <w:tcMar>
              <w:left w:w="70" w:type="dxa"/>
              <w:right w:w="70" w:type="dxa"/>
            </w:tcMar>
            <w:vAlign w:val="center"/>
          </w:tcPr>
          <w:p w14:paraId="5696604F" w14:textId="77777777" w:rsidR="003A7D17" w:rsidRPr="00021789" w:rsidRDefault="003A7D17" w:rsidP="00CF35EE">
            <w:pPr>
              <w:pStyle w:val="Tekstpodstawowy"/>
              <w:snapToGrid w:val="0"/>
              <w:rPr>
                <w:rFonts w:ascii="Arial" w:hAnsi="Arial" w:cs="Arial"/>
                <w:bCs/>
                <w:i/>
                <w:sz w:val="16"/>
                <w:szCs w:val="16"/>
              </w:rPr>
            </w:pPr>
            <w:r w:rsidRPr="00021789">
              <w:rPr>
                <w:rFonts w:ascii="Arial" w:hAnsi="Arial" w:cs="Arial"/>
                <w:bCs/>
                <w:sz w:val="16"/>
                <w:szCs w:val="16"/>
              </w:rPr>
              <w:t xml:space="preserve">Wodoprzepuszczalność prostopadła do płaszczyzny geowłókniny przy nacisku 2kPa </w:t>
            </w:r>
            <w:r w:rsidRPr="00021789">
              <w:rPr>
                <w:rFonts w:ascii="Arial" w:hAnsi="Arial" w:cs="Arial"/>
                <w:bCs/>
                <w:i/>
                <w:sz w:val="16"/>
                <w:szCs w:val="16"/>
              </w:rPr>
              <w:t>[EN ISO 11058, h=50mm]</w:t>
            </w:r>
          </w:p>
        </w:tc>
        <w:tc>
          <w:tcPr>
            <w:tcW w:w="1275" w:type="dxa"/>
            <w:tcBorders>
              <w:top w:val="single" w:sz="4" w:space="0" w:color="000000"/>
              <w:left w:val="single" w:sz="4" w:space="0" w:color="000000"/>
              <w:bottom w:val="single" w:sz="4" w:space="0" w:color="000000"/>
            </w:tcBorders>
            <w:tcMar>
              <w:left w:w="70" w:type="dxa"/>
              <w:right w:w="70" w:type="dxa"/>
            </w:tcMar>
            <w:vAlign w:val="center"/>
          </w:tcPr>
          <w:p w14:paraId="61F9A6F1"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l/m</w:t>
            </w:r>
            <w:r w:rsidRPr="00021789">
              <w:rPr>
                <w:rFonts w:ascii="Arial" w:hAnsi="Arial" w:cs="Arial"/>
                <w:bCs/>
                <w:sz w:val="16"/>
                <w:szCs w:val="16"/>
                <w:vertAlign w:val="superscript"/>
              </w:rPr>
              <w:t>2</w:t>
            </w:r>
            <w:r w:rsidRPr="00021789">
              <w:rPr>
                <w:rFonts w:ascii="Arial" w:hAnsi="Arial" w:cs="Arial"/>
                <w:bCs/>
                <w:sz w:val="16"/>
                <w:szCs w:val="16"/>
              </w:rPr>
              <w:t>s</w:t>
            </w:r>
          </w:p>
        </w:tc>
        <w:tc>
          <w:tcPr>
            <w:tcW w:w="1560" w:type="dxa"/>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41864923" w14:textId="77777777" w:rsidR="003A7D17" w:rsidRPr="00021789" w:rsidRDefault="003A7D17" w:rsidP="00CF35EE">
            <w:pPr>
              <w:pStyle w:val="Tekstpodstawowy"/>
              <w:snapToGrid w:val="0"/>
              <w:rPr>
                <w:rFonts w:ascii="Arial" w:hAnsi="Arial" w:cs="Arial"/>
                <w:bCs/>
                <w:sz w:val="16"/>
                <w:szCs w:val="16"/>
              </w:rPr>
            </w:pPr>
            <w:r w:rsidRPr="00021789">
              <w:rPr>
                <w:rFonts w:ascii="Arial" w:hAnsi="Arial" w:cs="Arial"/>
                <w:bCs/>
                <w:sz w:val="16"/>
                <w:szCs w:val="16"/>
              </w:rPr>
              <w:t>60</w:t>
            </w:r>
          </w:p>
        </w:tc>
      </w:tr>
    </w:tbl>
    <w:p w14:paraId="3DC2C92A" w14:textId="77777777" w:rsidR="00105AB9" w:rsidRPr="00021789" w:rsidRDefault="00105AB9" w:rsidP="00105AB9">
      <w:pPr>
        <w:pStyle w:val="Tekstpodstawowy21"/>
        <w:spacing w:line="276" w:lineRule="auto"/>
        <w:rPr>
          <w:rFonts w:ascii="Calibri" w:hAnsi="Calibri" w:cs="Arial"/>
          <w:sz w:val="16"/>
          <w:szCs w:val="16"/>
        </w:rPr>
      </w:pPr>
    </w:p>
    <w:p w14:paraId="74AC3256"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2.4. Składowanie materiałów</w:t>
      </w:r>
    </w:p>
    <w:p w14:paraId="0D14048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2.4.1. Składowanie </w:t>
      </w:r>
      <w:proofErr w:type="spellStart"/>
      <w:r w:rsidRPr="00021789">
        <w:rPr>
          <w:rFonts w:asciiTheme="minorHAnsi" w:hAnsiTheme="minorHAnsi"/>
          <w:sz w:val="16"/>
          <w:szCs w:val="16"/>
        </w:rPr>
        <w:t>gesyntetyków</w:t>
      </w:r>
      <w:proofErr w:type="spellEnd"/>
    </w:p>
    <w:p w14:paraId="53FE8F7A" w14:textId="77777777" w:rsidR="00105AB9" w:rsidRPr="00021789" w:rsidRDefault="00105AB9" w:rsidP="00105AB9">
      <w:pPr>
        <w:pStyle w:val="Pro-Inwest"/>
        <w:jc w:val="both"/>
        <w:rPr>
          <w:rFonts w:asciiTheme="minorHAnsi" w:hAnsiTheme="minorHAnsi"/>
          <w:sz w:val="16"/>
          <w:szCs w:val="16"/>
        </w:rPr>
      </w:pPr>
      <w:proofErr w:type="spellStart"/>
      <w:r w:rsidRPr="00021789">
        <w:rPr>
          <w:rFonts w:asciiTheme="minorHAnsi" w:hAnsiTheme="minorHAnsi"/>
          <w:sz w:val="16"/>
          <w:szCs w:val="16"/>
        </w:rPr>
        <w:t>Geosyntetyki</w:t>
      </w:r>
      <w:proofErr w:type="spellEnd"/>
      <w:r w:rsidRPr="00021789">
        <w:rPr>
          <w:rFonts w:asciiTheme="minorHAnsi" w:hAnsiTheme="minorHAnsi"/>
          <w:sz w:val="16"/>
          <w:szCs w:val="16"/>
        </w:rPr>
        <w:t xml:space="preserve"> należy przechowywać w opakowaniach wg pkt 4.3 w pomieszczeniach czystych, suchych i wentylowanych.</w:t>
      </w:r>
    </w:p>
    <w:p w14:paraId="67D30C64" w14:textId="77777777" w:rsidR="00105AB9" w:rsidRPr="00021789" w:rsidRDefault="00105AB9" w:rsidP="00105AB9">
      <w:pPr>
        <w:pStyle w:val="Pro-Inwest"/>
        <w:jc w:val="both"/>
        <w:rPr>
          <w:rFonts w:asciiTheme="minorHAnsi" w:hAnsiTheme="minorHAnsi"/>
          <w:sz w:val="16"/>
          <w:szCs w:val="16"/>
        </w:rPr>
      </w:pPr>
    </w:p>
    <w:p w14:paraId="268F46B3"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3. SPRZĘT</w:t>
      </w:r>
    </w:p>
    <w:p w14:paraId="619809DB"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3.1. Ogólne wymagania dotyczące sprzętu</w:t>
      </w:r>
    </w:p>
    <w:p w14:paraId="20BF05A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Ogólne wymagania dotyczące sprzętu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3.</w:t>
      </w:r>
    </w:p>
    <w:p w14:paraId="5B49A5FF"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3.2. Sprzęt do wykonania robót</w:t>
      </w:r>
    </w:p>
    <w:p w14:paraId="337213E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Wykonawca przystępujący do wykonania warstwy z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powinien wykazać się możliwością korzystania</w:t>
      </w:r>
      <w:r w:rsidRPr="00021789">
        <w:rPr>
          <w:rFonts w:asciiTheme="minorHAnsi" w:hAnsiTheme="minorHAnsi"/>
          <w:sz w:val="16"/>
          <w:szCs w:val="16"/>
        </w:rPr>
        <w:br/>
        <w:t>z następującego sprzętu:</w:t>
      </w:r>
    </w:p>
    <w:p w14:paraId="3A72972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-równiarek,</w:t>
      </w:r>
    </w:p>
    <w:p w14:paraId="591E88C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lastRenderedPageBreak/>
        <w:t>-walców statycznych,</w:t>
      </w:r>
    </w:p>
    <w:p w14:paraId="0371A4DE"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-płyt wibracyjnych lub ubijaków mechanicznych.</w:t>
      </w:r>
    </w:p>
    <w:p w14:paraId="39CE8E13"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4. TRANSPORT</w:t>
      </w:r>
    </w:p>
    <w:p w14:paraId="442D35EF"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4.1. Ogólne wymagania dotyczące transportu</w:t>
      </w:r>
    </w:p>
    <w:p w14:paraId="157AF32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Ogólne wymagania dotyczące transportu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4.</w:t>
      </w:r>
    </w:p>
    <w:p w14:paraId="28CF1D80"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 xml:space="preserve">4.2. Transport </w:t>
      </w:r>
      <w:proofErr w:type="spellStart"/>
      <w:r w:rsidRPr="00021789">
        <w:rPr>
          <w:rFonts w:asciiTheme="minorHAnsi" w:hAnsiTheme="minorHAnsi"/>
          <w:b/>
          <w:sz w:val="16"/>
          <w:szCs w:val="16"/>
        </w:rPr>
        <w:t>geosyntetyków</w:t>
      </w:r>
      <w:proofErr w:type="spellEnd"/>
    </w:p>
    <w:p w14:paraId="2CAB746B" w14:textId="77777777" w:rsidR="00105AB9" w:rsidRPr="00021789" w:rsidRDefault="00105AB9" w:rsidP="00105AB9">
      <w:pPr>
        <w:pStyle w:val="Pro-Inwest"/>
        <w:jc w:val="both"/>
        <w:rPr>
          <w:rFonts w:asciiTheme="minorHAnsi" w:hAnsiTheme="minorHAnsi"/>
          <w:sz w:val="16"/>
          <w:szCs w:val="16"/>
        </w:rPr>
      </w:pPr>
      <w:proofErr w:type="spellStart"/>
      <w:r w:rsidRPr="00021789">
        <w:rPr>
          <w:rFonts w:asciiTheme="minorHAnsi" w:hAnsiTheme="minorHAnsi"/>
          <w:sz w:val="16"/>
          <w:szCs w:val="16"/>
        </w:rPr>
        <w:t>Geosyntetyki</w:t>
      </w:r>
      <w:proofErr w:type="spellEnd"/>
      <w:r w:rsidRPr="00021789">
        <w:rPr>
          <w:rFonts w:asciiTheme="minorHAnsi" w:hAnsiTheme="minorHAnsi"/>
          <w:sz w:val="16"/>
          <w:szCs w:val="16"/>
        </w:rPr>
        <w:t xml:space="preserve"> mogą być transportowane dowolnymi środkami transportu pod warunkiem:</w:t>
      </w:r>
    </w:p>
    <w:p w14:paraId="489DFA3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-opakowania bel (rolek) folią, brezentem lub tkaniną techniczną,</w:t>
      </w:r>
    </w:p>
    <w:p w14:paraId="6F943B6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-zabezpieczenia opakowanych bel przez przemieszczaniem się w czasie przewozu,</w:t>
      </w:r>
    </w:p>
    <w:p w14:paraId="24B71C0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-ochrony geowłóknin przez zawilgoceniem i nadmiernym ogrzaniem,</w:t>
      </w:r>
    </w:p>
    <w:p w14:paraId="1FBB3B7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-niedopuszczenie do kontaktu bel z chemikaliami, tłuszczami oraz przedmiotami mogącymi przebić lub rozciąć </w:t>
      </w:r>
      <w:proofErr w:type="spellStart"/>
      <w:r w:rsidRPr="00021789">
        <w:rPr>
          <w:rFonts w:asciiTheme="minorHAnsi" w:hAnsiTheme="minorHAnsi"/>
          <w:sz w:val="16"/>
          <w:szCs w:val="16"/>
        </w:rPr>
        <w:t>geosyntetyk</w:t>
      </w:r>
      <w:proofErr w:type="spellEnd"/>
      <w:r w:rsidRPr="00021789">
        <w:rPr>
          <w:rFonts w:asciiTheme="minorHAnsi" w:hAnsiTheme="minorHAnsi"/>
          <w:sz w:val="16"/>
          <w:szCs w:val="16"/>
        </w:rPr>
        <w:t>.</w:t>
      </w:r>
    </w:p>
    <w:p w14:paraId="6CE4446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Każda bela powinna być oznakowana w sposób umożliwiający jednoznaczne stwierdzenie, że jest to materiał do wykonania warstwy.</w:t>
      </w:r>
    </w:p>
    <w:p w14:paraId="0C2101E8" w14:textId="77777777" w:rsidR="00105AB9" w:rsidRPr="00021789" w:rsidRDefault="00105AB9" w:rsidP="00105AB9">
      <w:pPr>
        <w:pStyle w:val="Pro-Inwest"/>
        <w:jc w:val="both"/>
        <w:rPr>
          <w:rFonts w:asciiTheme="minorHAnsi" w:hAnsiTheme="minorHAnsi"/>
          <w:sz w:val="16"/>
          <w:szCs w:val="16"/>
        </w:rPr>
      </w:pPr>
    </w:p>
    <w:p w14:paraId="6952D6B4"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5. WYKONANIE ROBÓT</w:t>
      </w:r>
    </w:p>
    <w:p w14:paraId="2A03A4CA"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5.1. Ogólne zasady wykonania robót</w:t>
      </w:r>
    </w:p>
    <w:p w14:paraId="68D5945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Ogólne zasady wykonania robót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5.</w:t>
      </w:r>
    </w:p>
    <w:p w14:paraId="64A918A9"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5.2. Przygotowanie podłoża</w:t>
      </w:r>
    </w:p>
    <w:p w14:paraId="4623EEA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Podłoże gruntowe powinno spełniać wymagania określone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D-02.00.00 „Roboty ziemne” oraz D-04.01.01 „Koryto wraz z profilowaniem i zagęszczaniem podłoża”.</w:t>
      </w:r>
    </w:p>
    <w:p w14:paraId="6B88302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Warstwy odcinająca i wzmacniająca powinny być wytyczone w sposób umożliwiający wykonanie ich zgodnie z dokumentacją projektową, z tolerancjami określonymi w niniejszych specyfikacjach.</w:t>
      </w:r>
    </w:p>
    <w:p w14:paraId="62ACF334"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Paliki lub szpilki powinny być ustawione w osi drogi i w rzędach równoległych do osi drogi, lub w inny sposób zaakceptowany przez Inżyniera.</w:t>
      </w:r>
    </w:p>
    <w:p w14:paraId="1FFB0F6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Rozmieszczenie palików lub szpilek powinno umożliwiać naciągnięcie sznurków lub linek do wytyczenia robót w odstępach nie większych niż co 10 m.</w:t>
      </w:r>
    </w:p>
    <w:p w14:paraId="7D8A790B"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 xml:space="preserve">5.3. Rozkładanie </w:t>
      </w:r>
      <w:proofErr w:type="spellStart"/>
      <w:r w:rsidRPr="00021789">
        <w:rPr>
          <w:rFonts w:asciiTheme="minorHAnsi" w:hAnsiTheme="minorHAnsi"/>
          <w:b/>
          <w:sz w:val="16"/>
          <w:szCs w:val="16"/>
        </w:rPr>
        <w:t>geotkaniny</w:t>
      </w:r>
      <w:proofErr w:type="spellEnd"/>
    </w:p>
    <w:p w14:paraId="445295A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Warstwę </w:t>
      </w:r>
      <w:proofErr w:type="spellStart"/>
      <w:r w:rsidRPr="00021789">
        <w:rPr>
          <w:rFonts w:asciiTheme="minorHAnsi" w:hAnsiTheme="minorHAnsi"/>
          <w:sz w:val="16"/>
          <w:szCs w:val="16"/>
        </w:rPr>
        <w:t>geotkaniny</w:t>
      </w:r>
      <w:proofErr w:type="spellEnd"/>
      <w:r w:rsidRPr="00021789">
        <w:rPr>
          <w:rFonts w:asciiTheme="minorHAnsi" w:hAnsiTheme="minorHAnsi"/>
          <w:sz w:val="16"/>
          <w:szCs w:val="16"/>
        </w:rPr>
        <w:t xml:space="preserve"> należy rozkładać na wyprofilowanej powierzchni podłoża, pozbawionej ostrych elementów, które mogą spowodować uszkodzenie warstwy (na przykład kamienie, korzenie drzew i krzewów). W czasie rozkładania warstwy z </w:t>
      </w:r>
      <w:proofErr w:type="spellStart"/>
      <w:r w:rsidRPr="00021789">
        <w:rPr>
          <w:rFonts w:asciiTheme="minorHAnsi" w:hAnsiTheme="minorHAnsi"/>
          <w:sz w:val="16"/>
          <w:szCs w:val="16"/>
        </w:rPr>
        <w:t>geotkaniny</w:t>
      </w:r>
      <w:proofErr w:type="spellEnd"/>
      <w:r w:rsidRPr="00021789">
        <w:rPr>
          <w:rFonts w:asciiTheme="minorHAnsi" w:hAnsiTheme="minorHAnsi"/>
          <w:sz w:val="16"/>
          <w:szCs w:val="16"/>
        </w:rPr>
        <w:t xml:space="preserve"> należy spełnić wymagania określone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lub producenta dotyczące szerokości na jaką powinny zachodzić na siebie sąsiednie pasma geowłókniny lub zasad ich łączenia oraz ewentualnego przymocowania warstwy do podłoża gruntowego.</w:t>
      </w:r>
    </w:p>
    <w:p w14:paraId="2F440ED8"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 xml:space="preserve">5.6. Zabezpieczenie powierzchni </w:t>
      </w:r>
      <w:proofErr w:type="spellStart"/>
      <w:r w:rsidRPr="00021789">
        <w:rPr>
          <w:rFonts w:asciiTheme="minorHAnsi" w:hAnsiTheme="minorHAnsi"/>
          <w:b/>
          <w:sz w:val="16"/>
          <w:szCs w:val="16"/>
        </w:rPr>
        <w:t>geotkaniny</w:t>
      </w:r>
      <w:proofErr w:type="spellEnd"/>
    </w:p>
    <w:p w14:paraId="60FA52E0"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Po powierzchni warstwy, wykonanej z </w:t>
      </w:r>
      <w:proofErr w:type="spellStart"/>
      <w:r w:rsidRPr="00021789">
        <w:rPr>
          <w:rFonts w:asciiTheme="minorHAnsi" w:hAnsiTheme="minorHAnsi"/>
          <w:sz w:val="16"/>
          <w:szCs w:val="16"/>
        </w:rPr>
        <w:t>geotkaniny</w:t>
      </w:r>
      <w:proofErr w:type="spellEnd"/>
      <w:r w:rsidRPr="00021789">
        <w:rPr>
          <w:rFonts w:asciiTheme="minorHAnsi" w:hAnsiTheme="minorHAnsi"/>
          <w:sz w:val="16"/>
          <w:szCs w:val="16"/>
        </w:rPr>
        <w:t xml:space="preserve"> nie może odbywać się ruch jakichkolwiek pojazdów.</w:t>
      </w:r>
    </w:p>
    <w:p w14:paraId="7E4A567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Leżącą wyżej warstwę nawierzchni należy wykonywać rozkładając materiał „od czoła”, to znaczy tak, że pojazdy dowożące materiał i wykonujące czynności technologiczne poruszają się po już ułożonym materiale.</w:t>
      </w:r>
    </w:p>
    <w:p w14:paraId="04E4973C"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 xml:space="preserve">5.7. Utrzymanie warstwy </w:t>
      </w:r>
    </w:p>
    <w:p w14:paraId="508A97A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Warstwa odcinająca i wzmacniająca po wykonaniu, a przed ułożeniem następnej warstwy powinny być utrzymywane w dobrym stanie.</w:t>
      </w:r>
    </w:p>
    <w:p w14:paraId="6FE91771"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Nie dopuszcza się ruchu budowlanego po wykonanej warstwie z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w:t>
      </w:r>
    </w:p>
    <w:p w14:paraId="5C353D37"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Koszt napraw wynikłych z niewłaściwego utrzymania warstwy obciąża Wykonawcę robót.</w:t>
      </w:r>
    </w:p>
    <w:p w14:paraId="017A47DE" w14:textId="77777777" w:rsidR="00105AB9" w:rsidRPr="00021789" w:rsidRDefault="00105AB9" w:rsidP="00105AB9">
      <w:pPr>
        <w:pStyle w:val="Pro-Inwest"/>
        <w:jc w:val="both"/>
        <w:rPr>
          <w:rFonts w:asciiTheme="minorHAnsi" w:hAnsiTheme="minorHAnsi"/>
          <w:sz w:val="16"/>
          <w:szCs w:val="16"/>
        </w:rPr>
      </w:pPr>
    </w:p>
    <w:p w14:paraId="4B23BDCE"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6. KONTROLA JAKOŚCI ROBÓT</w:t>
      </w:r>
    </w:p>
    <w:p w14:paraId="35355D7B"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6.1. Ogólne zasady kontroli jakości robót</w:t>
      </w:r>
    </w:p>
    <w:p w14:paraId="5B500E3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Ogólne zasady kontroli jakości robót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6.</w:t>
      </w:r>
    </w:p>
    <w:p w14:paraId="293E990B" w14:textId="77777777" w:rsidR="00105AB9" w:rsidRPr="00021789" w:rsidRDefault="00105AB9" w:rsidP="00105AB9">
      <w:pPr>
        <w:pStyle w:val="Pro-Inwest"/>
        <w:jc w:val="both"/>
        <w:rPr>
          <w:rFonts w:asciiTheme="minorHAnsi" w:hAnsiTheme="minorHAnsi"/>
          <w:b/>
          <w:bCs/>
          <w:sz w:val="16"/>
          <w:szCs w:val="16"/>
        </w:rPr>
      </w:pPr>
      <w:r w:rsidRPr="00021789">
        <w:rPr>
          <w:rFonts w:asciiTheme="minorHAnsi" w:hAnsiTheme="minorHAnsi"/>
          <w:b/>
          <w:bCs/>
          <w:sz w:val="16"/>
          <w:szCs w:val="16"/>
        </w:rPr>
        <w:t xml:space="preserve">6.2. Badania dotyczące warstwy z </w:t>
      </w:r>
      <w:proofErr w:type="spellStart"/>
      <w:r w:rsidRPr="00021789">
        <w:rPr>
          <w:rFonts w:asciiTheme="minorHAnsi" w:hAnsiTheme="minorHAnsi"/>
          <w:b/>
          <w:bCs/>
          <w:sz w:val="16"/>
          <w:szCs w:val="16"/>
        </w:rPr>
        <w:t>geosyntetyku</w:t>
      </w:r>
      <w:proofErr w:type="spellEnd"/>
    </w:p>
    <w:p w14:paraId="618209E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 czasie układania warstwy z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należy kontrolować:</w:t>
      </w:r>
    </w:p>
    <w:p w14:paraId="54C27A4B"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-zgodność oznaczenia poszczególnych bel (rolek) geowłóknin z określonym w dokumentacji projektowej,</w:t>
      </w:r>
    </w:p>
    <w:p w14:paraId="43DA82DC"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-równość warstwy,</w:t>
      </w:r>
    </w:p>
    <w:p w14:paraId="30DB162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-wielkość zakładu przyległych pasm i sposób ich łączenia,</w:t>
      </w:r>
    </w:p>
    <w:p w14:paraId="5FEE9789"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-zamocowanie warstwy do podłoża gruntowego, o ile przewidziano to w dokumentacji projektowej.</w:t>
      </w:r>
    </w:p>
    <w:p w14:paraId="5F383EC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Ponadto należy sprawdzić, czy nie nastąpiło mechaniczne uszkodzenie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(rozerwanie, przebicie). Pasma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użyte</w:t>
      </w:r>
      <w:r w:rsidRPr="00021789">
        <w:rPr>
          <w:rFonts w:asciiTheme="minorHAnsi" w:hAnsiTheme="minorHAnsi"/>
          <w:sz w:val="16"/>
          <w:szCs w:val="16"/>
        </w:rPr>
        <w:br/>
        <w:t>do wykonania warstwy odcinającej i wzmacniającej nie powinny mieć takich uszkodzeń.</w:t>
      </w:r>
    </w:p>
    <w:p w14:paraId="0BCD5A99" w14:textId="77777777" w:rsidR="00105AB9" w:rsidRPr="00021789" w:rsidRDefault="00105AB9" w:rsidP="00105AB9">
      <w:pPr>
        <w:pStyle w:val="Pro-Inwest"/>
        <w:jc w:val="both"/>
        <w:rPr>
          <w:rFonts w:asciiTheme="minorHAnsi" w:hAnsiTheme="minorHAnsi"/>
          <w:sz w:val="16"/>
          <w:szCs w:val="16"/>
        </w:rPr>
      </w:pPr>
    </w:p>
    <w:p w14:paraId="60194E30"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7. OBMIAR ROBÓT</w:t>
      </w:r>
    </w:p>
    <w:p w14:paraId="45D96087"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7.1. Ogólne zasady obmiaru robót</w:t>
      </w:r>
    </w:p>
    <w:p w14:paraId="3F58F3C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Ogólne zasady obmiaru robót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7.</w:t>
      </w:r>
    </w:p>
    <w:p w14:paraId="528C35B6"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7.2. Jednostka obmiarowa</w:t>
      </w:r>
    </w:p>
    <w:p w14:paraId="67F577F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Jednostką obmiarową jest m2 (metr kwadratowy) warstwy </w:t>
      </w:r>
      <w:proofErr w:type="spellStart"/>
      <w:r w:rsidRPr="00021789">
        <w:rPr>
          <w:rFonts w:asciiTheme="minorHAnsi" w:hAnsiTheme="minorHAnsi"/>
          <w:sz w:val="16"/>
          <w:szCs w:val="16"/>
        </w:rPr>
        <w:t>separacyjno</w:t>
      </w:r>
      <w:proofErr w:type="spellEnd"/>
      <w:r w:rsidRPr="00021789">
        <w:rPr>
          <w:rFonts w:asciiTheme="minorHAnsi" w:hAnsiTheme="minorHAnsi"/>
          <w:sz w:val="16"/>
          <w:szCs w:val="16"/>
        </w:rPr>
        <w:t xml:space="preserve"> - wzmacniającej.</w:t>
      </w:r>
    </w:p>
    <w:p w14:paraId="4F07E0F9" w14:textId="77777777" w:rsidR="00105AB9" w:rsidRPr="00021789" w:rsidRDefault="00105AB9" w:rsidP="00105AB9">
      <w:pPr>
        <w:pStyle w:val="Pro-Inwest"/>
        <w:jc w:val="both"/>
        <w:rPr>
          <w:rFonts w:asciiTheme="minorHAnsi" w:hAnsiTheme="minorHAnsi"/>
          <w:sz w:val="16"/>
          <w:szCs w:val="16"/>
        </w:rPr>
      </w:pPr>
    </w:p>
    <w:p w14:paraId="7C4E8AAB"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8. ODBIÓR ROBÓT</w:t>
      </w:r>
    </w:p>
    <w:p w14:paraId="6C2AB6A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Ogólne zasady odbioru robót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8.</w:t>
      </w:r>
    </w:p>
    <w:p w14:paraId="3DAD5013"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Roboty uznaje się za wykonane zgodnie z dokumentacją projektową,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i wymaganiami Inżyniera, jeżeli wszystkie pomiary i badania z zachowaniem tolerancji wg pkt 6 dały wyniki pozytywne.</w:t>
      </w:r>
    </w:p>
    <w:p w14:paraId="3CE5C00B" w14:textId="77777777" w:rsidR="00105AB9" w:rsidRPr="00021789" w:rsidRDefault="00105AB9" w:rsidP="00105AB9">
      <w:pPr>
        <w:pStyle w:val="Pro-Inwest"/>
        <w:jc w:val="both"/>
        <w:rPr>
          <w:rFonts w:asciiTheme="minorHAnsi" w:hAnsiTheme="minorHAnsi"/>
          <w:sz w:val="16"/>
          <w:szCs w:val="16"/>
        </w:rPr>
      </w:pPr>
    </w:p>
    <w:p w14:paraId="7711606F" w14:textId="77777777" w:rsidR="003A7D17" w:rsidRPr="00021789" w:rsidRDefault="003A7D17" w:rsidP="00105AB9">
      <w:pPr>
        <w:pStyle w:val="Pro-Inwest"/>
        <w:jc w:val="both"/>
        <w:rPr>
          <w:rFonts w:asciiTheme="minorHAnsi" w:hAnsiTheme="minorHAnsi"/>
          <w:sz w:val="16"/>
          <w:szCs w:val="16"/>
        </w:rPr>
      </w:pPr>
    </w:p>
    <w:p w14:paraId="5505495A"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lastRenderedPageBreak/>
        <w:t>9. PODSTAWA PŁATNOŚCI</w:t>
      </w:r>
    </w:p>
    <w:p w14:paraId="46DBD5FD"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9.1. Ogólne ustalenia dotyczące podstawy płatności</w:t>
      </w:r>
    </w:p>
    <w:p w14:paraId="7AAD3202"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Ogólne ustalenia dotyczące podstawy płatności podano w </w:t>
      </w:r>
      <w:proofErr w:type="spellStart"/>
      <w:r w:rsidRPr="00021789">
        <w:rPr>
          <w:rFonts w:asciiTheme="minorHAnsi" w:hAnsiTheme="minorHAnsi"/>
          <w:sz w:val="16"/>
          <w:szCs w:val="16"/>
        </w:rPr>
        <w:t>STWiORB</w:t>
      </w:r>
      <w:proofErr w:type="spellEnd"/>
      <w:r w:rsidRPr="00021789">
        <w:rPr>
          <w:rFonts w:asciiTheme="minorHAnsi" w:hAnsiTheme="minorHAnsi"/>
          <w:sz w:val="16"/>
          <w:szCs w:val="16"/>
        </w:rPr>
        <w:t xml:space="preserve"> D-M-00.00.00 „Wymagania ogólne” pkt 9.</w:t>
      </w:r>
    </w:p>
    <w:p w14:paraId="61647488"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9.2. Cena jednostki obmiarowej</w:t>
      </w:r>
    </w:p>
    <w:p w14:paraId="65D75E58"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Cena wykonania 1m2 warstwy </w:t>
      </w:r>
      <w:proofErr w:type="spellStart"/>
      <w:r w:rsidRPr="00021789">
        <w:rPr>
          <w:rFonts w:asciiTheme="minorHAnsi" w:hAnsiTheme="minorHAnsi"/>
          <w:sz w:val="16"/>
          <w:szCs w:val="16"/>
        </w:rPr>
        <w:t>separacyjno</w:t>
      </w:r>
      <w:proofErr w:type="spellEnd"/>
      <w:r w:rsidRPr="00021789">
        <w:rPr>
          <w:rFonts w:asciiTheme="minorHAnsi" w:hAnsiTheme="minorHAnsi"/>
          <w:sz w:val="16"/>
          <w:szCs w:val="16"/>
        </w:rPr>
        <w:t xml:space="preserve"> - wzmacniającej z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 xml:space="preserve"> obejmuje:</w:t>
      </w:r>
    </w:p>
    <w:p w14:paraId="124B471D"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-prace pomiarowe,</w:t>
      </w:r>
    </w:p>
    <w:p w14:paraId="6CF3E1A6"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-dostarczenie i rozłożenie na uprzednio przygotowanym podłożu warstwy </w:t>
      </w:r>
      <w:proofErr w:type="spellStart"/>
      <w:r w:rsidRPr="00021789">
        <w:rPr>
          <w:rFonts w:asciiTheme="minorHAnsi" w:hAnsiTheme="minorHAnsi"/>
          <w:sz w:val="16"/>
          <w:szCs w:val="16"/>
        </w:rPr>
        <w:t>geosyntetyku</w:t>
      </w:r>
      <w:proofErr w:type="spellEnd"/>
      <w:r w:rsidRPr="00021789">
        <w:rPr>
          <w:rFonts w:asciiTheme="minorHAnsi" w:hAnsiTheme="minorHAnsi"/>
          <w:sz w:val="16"/>
          <w:szCs w:val="16"/>
        </w:rPr>
        <w:t>,</w:t>
      </w:r>
    </w:p>
    <w:p w14:paraId="63248D6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-pomiary kontrolne wymagane w specyfikacji technicznej,</w:t>
      </w:r>
    </w:p>
    <w:p w14:paraId="0C5151B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-utrzymanie warstwy.</w:t>
      </w:r>
    </w:p>
    <w:p w14:paraId="26B84374" w14:textId="77777777" w:rsidR="00105AB9" w:rsidRPr="00021789" w:rsidRDefault="00105AB9" w:rsidP="00105AB9">
      <w:pPr>
        <w:pStyle w:val="Pro-Inwest"/>
        <w:jc w:val="both"/>
        <w:rPr>
          <w:rFonts w:asciiTheme="minorHAnsi" w:hAnsiTheme="minorHAnsi"/>
          <w:sz w:val="16"/>
          <w:szCs w:val="16"/>
        </w:rPr>
      </w:pPr>
    </w:p>
    <w:p w14:paraId="0600838C"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10. PRZEPISY ZWIĄZANE</w:t>
      </w:r>
    </w:p>
    <w:p w14:paraId="5CC3537F"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10.1. Normy</w:t>
      </w:r>
    </w:p>
    <w:tbl>
      <w:tblPr>
        <w:tblW w:w="7515" w:type="dxa"/>
        <w:tblCellSpacing w:w="0" w:type="dxa"/>
        <w:tblCellMar>
          <w:top w:w="75" w:type="dxa"/>
          <w:left w:w="75" w:type="dxa"/>
          <w:bottom w:w="75" w:type="dxa"/>
          <w:right w:w="75" w:type="dxa"/>
        </w:tblCellMar>
        <w:tblLook w:val="04A0" w:firstRow="1" w:lastRow="0" w:firstColumn="1" w:lastColumn="0" w:noHBand="0" w:noVBand="1"/>
      </w:tblPr>
      <w:tblGrid>
        <w:gridCol w:w="367"/>
        <w:gridCol w:w="1951"/>
        <w:gridCol w:w="5197"/>
      </w:tblGrid>
      <w:tr w:rsidR="00021789" w:rsidRPr="00021789" w14:paraId="372484A6" w14:textId="77777777" w:rsidTr="007C61E1">
        <w:trPr>
          <w:tblCellSpacing w:w="0" w:type="dxa"/>
        </w:trPr>
        <w:tc>
          <w:tcPr>
            <w:tcW w:w="345" w:type="dxa"/>
            <w:hideMark/>
          </w:tcPr>
          <w:p w14:paraId="4C670D79"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1.</w:t>
            </w:r>
          </w:p>
        </w:tc>
        <w:tc>
          <w:tcPr>
            <w:tcW w:w="1830" w:type="dxa"/>
            <w:hideMark/>
          </w:tcPr>
          <w:p w14:paraId="287CA8BC"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PN-B-04481</w:t>
            </w:r>
          </w:p>
        </w:tc>
        <w:tc>
          <w:tcPr>
            <w:tcW w:w="4875" w:type="dxa"/>
            <w:hideMark/>
          </w:tcPr>
          <w:p w14:paraId="5161FC9A"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Grunty budowlane. Badania próbek gruntu</w:t>
            </w:r>
          </w:p>
        </w:tc>
      </w:tr>
      <w:tr w:rsidR="00021789" w:rsidRPr="00021789" w14:paraId="08D5974E" w14:textId="77777777" w:rsidTr="007C61E1">
        <w:trPr>
          <w:tblCellSpacing w:w="0" w:type="dxa"/>
        </w:trPr>
        <w:tc>
          <w:tcPr>
            <w:tcW w:w="345" w:type="dxa"/>
            <w:hideMark/>
          </w:tcPr>
          <w:p w14:paraId="0F01B2F1"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2.</w:t>
            </w:r>
          </w:p>
        </w:tc>
        <w:tc>
          <w:tcPr>
            <w:tcW w:w="1830" w:type="dxa"/>
            <w:hideMark/>
          </w:tcPr>
          <w:p w14:paraId="4F3A8AD6"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PN-B-06714-17</w:t>
            </w:r>
          </w:p>
        </w:tc>
        <w:tc>
          <w:tcPr>
            <w:tcW w:w="4875" w:type="dxa"/>
            <w:hideMark/>
          </w:tcPr>
          <w:p w14:paraId="13ED11EE"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Kruszywa mineralne. Badania. Oznaczanie wilgotności</w:t>
            </w:r>
          </w:p>
        </w:tc>
      </w:tr>
      <w:tr w:rsidR="00021789" w:rsidRPr="00021789" w14:paraId="5D3C1C85" w14:textId="77777777" w:rsidTr="007C61E1">
        <w:trPr>
          <w:tblCellSpacing w:w="0" w:type="dxa"/>
        </w:trPr>
        <w:tc>
          <w:tcPr>
            <w:tcW w:w="345" w:type="dxa"/>
            <w:hideMark/>
          </w:tcPr>
          <w:p w14:paraId="051A3586"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3.</w:t>
            </w:r>
          </w:p>
        </w:tc>
        <w:tc>
          <w:tcPr>
            <w:tcW w:w="1830" w:type="dxa"/>
            <w:hideMark/>
          </w:tcPr>
          <w:p w14:paraId="59841345"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PN-B-11111</w:t>
            </w:r>
          </w:p>
        </w:tc>
        <w:tc>
          <w:tcPr>
            <w:tcW w:w="4875" w:type="dxa"/>
            <w:hideMark/>
          </w:tcPr>
          <w:p w14:paraId="3AE423BF"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Kruszywa mineralne. Kruszywo naturalne do nawierzchni drogowych . Żwir i mieszanka</w:t>
            </w:r>
          </w:p>
        </w:tc>
      </w:tr>
      <w:tr w:rsidR="00021789" w:rsidRPr="00021789" w14:paraId="3AE1C201" w14:textId="77777777" w:rsidTr="007C61E1">
        <w:trPr>
          <w:tblCellSpacing w:w="0" w:type="dxa"/>
        </w:trPr>
        <w:tc>
          <w:tcPr>
            <w:tcW w:w="345" w:type="dxa"/>
            <w:hideMark/>
          </w:tcPr>
          <w:p w14:paraId="661EF4C1"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4.</w:t>
            </w:r>
          </w:p>
        </w:tc>
        <w:tc>
          <w:tcPr>
            <w:tcW w:w="1830" w:type="dxa"/>
            <w:hideMark/>
          </w:tcPr>
          <w:p w14:paraId="4CA0732B"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PN-B-11112</w:t>
            </w:r>
          </w:p>
        </w:tc>
        <w:tc>
          <w:tcPr>
            <w:tcW w:w="4875" w:type="dxa"/>
            <w:hideMark/>
          </w:tcPr>
          <w:p w14:paraId="426F1768"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Kruszywa mineralne. Kruszywo łamane do nawierzchni drogowych</w:t>
            </w:r>
          </w:p>
        </w:tc>
      </w:tr>
      <w:tr w:rsidR="00021789" w:rsidRPr="00021789" w14:paraId="1C500B13" w14:textId="77777777" w:rsidTr="007C61E1">
        <w:trPr>
          <w:tblCellSpacing w:w="0" w:type="dxa"/>
        </w:trPr>
        <w:tc>
          <w:tcPr>
            <w:tcW w:w="345" w:type="dxa"/>
            <w:hideMark/>
          </w:tcPr>
          <w:p w14:paraId="01DC764F"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5.</w:t>
            </w:r>
          </w:p>
        </w:tc>
        <w:tc>
          <w:tcPr>
            <w:tcW w:w="1830" w:type="dxa"/>
            <w:hideMark/>
          </w:tcPr>
          <w:p w14:paraId="01B3754B"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PN-B-11113</w:t>
            </w:r>
          </w:p>
        </w:tc>
        <w:tc>
          <w:tcPr>
            <w:tcW w:w="4875" w:type="dxa"/>
            <w:hideMark/>
          </w:tcPr>
          <w:p w14:paraId="5CA76163"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Kruszywa mineralne. Kruszywo naturalne do nawierzchni drogowych. Piasek</w:t>
            </w:r>
          </w:p>
        </w:tc>
      </w:tr>
      <w:tr w:rsidR="00021789" w:rsidRPr="00021789" w14:paraId="43670974" w14:textId="77777777" w:rsidTr="007C61E1">
        <w:trPr>
          <w:tblCellSpacing w:w="0" w:type="dxa"/>
        </w:trPr>
        <w:tc>
          <w:tcPr>
            <w:tcW w:w="345" w:type="dxa"/>
            <w:hideMark/>
          </w:tcPr>
          <w:p w14:paraId="45C58A41"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6.</w:t>
            </w:r>
          </w:p>
        </w:tc>
        <w:tc>
          <w:tcPr>
            <w:tcW w:w="1830" w:type="dxa"/>
            <w:hideMark/>
          </w:tcPr>
          <w:p w14:paraId="4655BBDA"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BN-64/8931-02</w:t>
            </w:r>
          </w:p>
        </w:tc>
        <w:tc>
          <w:tcPr>
            <w:tcW w:w="4875" w:type="dxa"/>
            <w:hideMark/>
          </w:tcPr>
          <w:p w14:paraId="621464AC"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Drogi samochodowe. Oznaczanie modułu odkształcenia nawierzchni podatnych i podłoża przez obciążenie płytą</w:t>
            </w:r>
          </w:p>
        </w:tc>
      </w:tr>
      <w:tr w:rsidR="00021789" w:rsidRPr="00021789" w14:paraId="5CBC6984" w14:textId="77777777" w:rsidTr="007C61E1">
        <w:trPr>
          <w:tblCellSpacing w:w="0" w:type="dxa"/>
        </w:trPr>
        <w:tc>
          <w:tcPr>
            <w:tcW w:w="345" w:type="dxa"/>
            <w:hideMark/>
          </w:tcPr>
          <w:p w14:paraId="62E2815A"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7.</w:t>
            </w:r>
          </w:p>
        </w:tc>
        <w:tc>
          <w:tcPr>
            <w:tcW w:w="1830" w:type="dxa"/>
            <w:hideMark/>
          </w:tcPr>
          <w:p w14:paraId="26894E36"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BN-68/8931-04</w:t>
            </w:r>
          </w:p>
        </w:tc>
        <w:tc>
          <w:tcPr>
            <w:tcW w:w="4875" w:type="dxa"/>
            <w:hideMark/>
          </w:tcPr>
          <w:p w14:paraId="7C8A3266"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 xml:space="preserve">Drogi samochodowe. Pomiar równości nawierzchni </w:t>
            </w:r>
            <w:proofErr w:type="spellStart"/>
            <w:r w:rsidRPr="00021789">
              <w:rPr>
                <w:rFonts w:asciiTheme="minorHAnsi" w:hAnsiTheme="minorHAnsi"/>
                <w:sz w:val="16"/>
                <w:szCs w:val="16"/>
              </w:rPr>
              <w:t>planografem</w:t>
            </w:r>
            <w:proofErr w:type="spellEnd"/>
            <w:r w:rsidRPr="00021789">
              <w:rPr>
                <w:rFonts w:asciiTheme="minorHAnsi" w:hAnsiTheme="minorHAnsi"/>
                <w:sz w:val="16"/>
                <w:szCs w:val="16"/>
              </w:rPr>
              <w:t xml:space="preserve"> i łatą</w:t>
            </w:r>
          </w:p>
        </w:tc>
      </w:tr>
      <w:tr w:rsidR="00021789" w:rsidRPr="00021789" w14:paraId="076CE7D1" w14:textId="77777777" w:rsidTr="007C61E1">
        <w:trPr>
          <w:tblCellSpacing w:w="0" w:type="dxa"/>
        </w:trPr>
        <w:tc>
          <w:tcPr>
            <w:tcW w:w="345" w:type="dxa"/>
            <w:hideMark/>
          </w:tcPr>
          <w:p w14:paraId="4328CD89"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8.</w:t>
            </w:r>
          </w:p>
        </w:tc>
        <w:tc>
          <w:tcPr>
            <w:tcW w:w="1830" w:type="dxa"/>
            <w:hideMark/>
          </w:tcPr>
          <w:p w14:paraId="0F61DFC8"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BN-77/8931-12</w:t>
            </w:r>
          </w:p>
        </w:tc>
        <w:tc>
          <w:tcPr>
            <w:tcW w:w="4875" w:type="dxa"/>
            <w:hideMark/>
          </w:tcPr>
          <w:p w14:paraId="38D2BB6C" w14:textId="77777777" w:rsidR="00105AB9" w:rsidRPr="00021789" w:rsidRDefault="00105AB9" w:rsidP="007C61E1">
            <w:pPr>
              <w:pStyle w:val="Pro-Inwest"/>
              <w:jc w:val="both"/>
              <w:rPr>
                <w:rFonts w:asciiTheme="minorHAnsi" w:hAnsiTheme="minorHAnsi"/>
                <w:sz w:val="16"/>
                <w:szCs w:val="16"/>
              </w:rPr>
            </w:pPr>
            <w:r w:rsidRPr="00021789">
              <w:rPr>
                <w:rFonts w:asciiTheme="minorHAnsi" w:hAnsiTheme="minorHAnsi"/>
                <w:sz w:val="16"/>
                <w:szCs w:val="16"/>
              </w:rPr>
              <w:t>Oznaczanie wskaźnika zagęszczenia gruntu</w:t>
            </w:r>
          </w:p>
        </w:tc>
      </w:tr>
    </w:tbl>
    <w:p w14:paraId="7805FEA3" w14:textId="77777777" w:rsidR="00105AB9" w:rsidRPr="00021789" w:rsidRDefault="00105AB9" w:rsidP="00105AB9">
      <w:pPr>
        <w:pStyle w:val="Pro-Inwest"/>
        <w:jc w:val="both"/>
        <w:rPr>
          <w:rFonts w:asciiTheme="minorHAnsi" w:hAnsiTheme="minorHAnsi"/>
          <w:b/>
          <w:sz w:val="16"/>
          <w:szCs w:val="16"/>
        </w:rPr>
      </w:pPr>
      <w:r w:rsidRPr="00021789">
        <w:rPr>
          <w:rFonts w:asciiTheme="minorHAnsi" w:hAnsiTheme="minorHAnsi"/>
          <w:b/>
          <w:sz w:val="16"/>
          <w:szCs w:val="16"/>
        </w:rPr>
        <w:t>10.2. Inne dokumenty</w:t>
      </w:r>
    </w:p>
    <w:p w14:paraId="19069885" w14:textId="77777777" w:rsidR="00105AB9" w:rsidRPr="00021789" w:rsidRDefault="00105AB9" w:rsidP="00105AB9">
      <w:pPr>
        <w:pStyle w:val="Pro-Inwest"/>
        <w:jc w:val="both"/>
        <w:rPr>
          <w:rFonts w:asciiTheme="minorHAnsi" w:hAnsiTheme="minorHAnsi"/>
          <w:sz w:val="16"/>
          <w:szCs w:val="16"/>
        </w:rPr>
      </w:pPr>
      <w:r w:rsidRPr="00021789">
        <w:rPr>
          <w:rFonts w:asciiTheme="minorHAnsi" w:hAnsiTheme="minorHAnsi"/>
          <w:sz w:val="16"/>
          <w:szCs w:val="16"/>
        </w:rPr>
        <w:t xml:space="preserve">Wytyczne budowy nasypów komunikacyjnych na słabym podłożu z zastosowaniem </w:t>
      </w:r>
      <w:proofErr w:type="spellStart"/>
      <w:r w:rsidRPr="00021789">
        <w:rPr>
          <w:rFonts w:asciiTheme="minorHAnsi" w:hAnsiTheme="minorHAnsi"/>
          <w:sz w:val="16"/>
          <w:szCs w:val="16"/>
        </w:rPr>
        <w:t>geotekstyliów</w:t>
      </w:r>
      <w:proofErr w:type="spellEnd"/>
      <w:r w:rsidRPr="00021789">
        <w:rPr>
          <w:rFonts w:asciiTheme="minorHAnsi" w:hAnsiTheme="minorHAnsi"/>
          <w:sz w:val="16"/>
          <w:szCs w:val="16"/>
        </w:rPr>
        <w:t xml:space="preserve">, </w:t>
      </w:r>
      <w:proofErr w:type="spellStart"/>
      <w:r w:rsidRPr="00021789">
        <w:rPr>
          <w:rFonts w:asciiTheme="minorHAnsi" w:hAnsiTheme="minorHAnsi"/>
          <w:sz w:val="16"/>
          <w:szCs w:val="16"/>
        </w:rPr>
        <w:t>IBDiM</w:t>
      </w:r>
      <w:proofErr w:type="spellEnd"/>
      <w:r w:rsidRPr="00021789">
        <w:rPr>
          <w:rFonts w:asciiTheme="minorHAnsi" w:hAnsiTheme="minorHAnsi"/>
          <w:sz w:val="16"/>
          <w:szCs w:val="16"/>
        </w:rPr>
        <w:t>, Warszawa 1986.</w:t>
      </w:r>
    </w:p>
    <w:p w14:paraId="2D15EFF9" w14:textId="77777777" w:rsidR="00105AB9" w:rsidRPr="00021789" w:rsidRDefault="00105AB9" w:rsidP="00105AB9">
      <w:pPr>
        <w:pStyle w:val="Pro-Inwest"/>
        <w:rPr>
          <w:rFonts w:asciiTheme="minorHAnsi" w:hAnsiTheme="minorHAnsi"/>
          <w:b/>
          <w:sz w:val="18"/>
          <w:szCs w:val="18"/>
        </w:rPr>
      </w:pPr>
    </w:p>
    <w:p w14:paraId="3DA3EC23" w14:textId="77777777" w:rsidR="00105AB9" w:rsidRPr="00021789" w:rsidRDefault="00105AB9" w:rsidP="00105AB9">
      <w:pPr>
        <w:pStyle w:val="Pro-Inwest"/>
        <w:rPr>
          <w:rFonts w:asciiTheme="minorHAnsi" w:hAnsiTheme="minorHAnsi"/>
          <w:b/>
          <w:sz w:val="18"/>
          <w:szCs w:val="18"/>
        </w:rPr>
      </w:pPr>
    </w:p>
    <w:p w14:paraId="54A6DBE5" w14:textId="77777777" w:rsidR="00105AB9" w:rsidRPr="00021789" w:rsidRDefault="00105AB9" w:rsidP="00105AB9">
      <w:pPr>
        <w:pStyle w:val="Pro-Inwest"/>
        <w:rPr>
          <w:rFonts w:asciiTheme="minorHAnsi" w:hAnsiTheme="minorHAnsi"/>
          <w:b/>
          <w:sz w:val="18"/>
          <w:szCs w:val="18"/>
        </w:rPr>
      </w:pPr>
    </w:p>
    <w:p w14:paraId="204ED096" w14:textId="77777777" w:rsidR="00105AB9" w:rsidRPr="00021789" w:rsidRDefault="00105AB9" w:rsidP="00105AB9">
      <w:pPr>
        <w:pStyle w:val="Pro-Inwest"/>
        <w:rPr>
          <w:rFonts w:asciiTheme="minorHAnsi" w:hAnsiTheme="minorHAnsi"/>
          <w:b/>
          <w:sz w:val="18"/>
          <w:szCs w:val="18"/>
        </w:rPr>
      </w:pPr>
    </w:p>
    <w:p w14:paraId="0AA4CFA8" w14:textId="77777777" w:rsidR="00105AB9" w:rsidRPr="00021789" w:rsidRDefault="00105AB9" w:rsidP="00105AB9">
      <w:pPr>
        <w:pStyle w:val="Pro-Inwest"/>
        <w:rPr>
          <w:rFonts w:asciiTheme="minorHAnsi" w:hAnsiTheme="minorHAnsi"/>
          <w:b/>
          <w:sz w:val="18"/>
          <w:szCs w:val="18"/>
        </w:rPr>
      </w:pPr>
    </w:p>
    <w:p w14:paraId="6FBF063E" w14:textId="77777777" w:rsidR="00105AB9" w:rsidRPr="00021789" w:rsidRDefault="00105AB9" w:rsidP="00105AB9">
      <w:pPr>
        <w:pStyle w:val="Pro-Inwest"/>
        <w:rPr>
          <w:rFonts w:asciiTheme="minorHAnsi" w:hAnsiTheme="minorHAnsi"/>
          <w:b/>
          <w:sz w:val="18"/>
          <w:szCs w:val="18"/>
        </w:rPr>
      </w:pPr>
    </w:p>
    <w:p w14:paraId="0E5F6ACB" w14:textId="77777777" w:rsidR="00105AB9" w:rsidRPr="00021789" w:rsidRDefault="00105AB9" w:rsidP="00105AB9">
      <w:pPr>
        <w:pStyle w:val="Pro-Inwest"/>
        <w:rPr>
          <w:rFonts w:asciiTheme="minorHAnsi" w:hAnsiTheme="minorHAnsi"/>
          <w:b/>
          <w:color w:val="FF0000"/>
          <w:sz w:val="18"/>
          <w:szCs w:val="18"/>
        </w:rPr>
      </w:pPr>
    </w:p>
    <w:p w14:paraId="69040076" w14:textId="77777777" w:rsidR="00852D33" w:rsidRPr="00021789" w:rsidRDefault="00852D33" w:rsidP="00C6562E">
      <w:pPr>
        <w:pStyle w:val="Pro-Inwest"/>
        <w:rPr>
          <w:rFonts w:asciiTheme="minorHAnsi" w:hAnsiTheme="minorHAnsi"/>
          <w:b/>
          <w:color w:val="FF0000"/>
          <w:sz w:val="18"/>
          <w:szCs w:val="18"/>
        </w:rPr>
      </w:pPr>
    </w:p>
    <w:p w14:paraId="59929D4F" w14:textId="77777777" w:rsidR="00852D33" w:rsidRPr="00021789" w:rsidRDefault="00852D33" w:rsidP="00C6562E">
      <w:pPr>
        <w:pStyle w:val="Pro-Inwest"/>
        <w:rPr>
          <w:rFonts w:asciiTheme="minorHAnsi" w:hAnsiTheme="minorHAnsi"/>
          <w:b/>
          <w:color w:val="FF0000"/>
          <w:sz w:val="18"/>
          <w:szCs w:val="18"/>
        </w:rPr>
      </w:pPr>
    </w:p>
    <w:p w14:paraId="68A9D5DC" w14:textId="77777777" w:rsidR="00852D33" w:rsidRPr="00021789" w:rsidRDefault="00852D33" w:rsidP="00C6562E">
      <w:pPr>
        <w:pStyle w:val="Pro-Inwest"/>
        <w:rPr>
          <w:rFonts w:asciiTheme="minorHAnsi" w:hAnsiTheme="minorHAnsi"/>
          <w:b/>
          <w:color w:val="FF0000"/>
          <w:sz w:val="18"/>
          <w:szCs w:val="18"/>
        </w:rPr>
      </w:pPr>
    </w:p>
    <w:p w14:paraId="567E43EB" w14:textId="77777777" w:rsidR="00852D33" w:rsidRPr="00021789" w:rsidRDefault="00852D33" w:rsidP="00C6562E">
      <w:pPr>
        <w:pStyle w:val="Pro-Inwest"/>
        <w:rPr>
          <w:rFonts w:asciiTheme="minorHAnsi" w:hAnsiTheme="minorHAnsi"/>
          <w:b/>
          <w:color w:val="FF0000"/>
          <w:sz w:val="18"/>
          <w:szCs w:val="18"/>
        </w:rPr>
      </w:pPr>
    </w:p>
    <w:p w14:paraId="450076E5" w14:textId="77777777" w:rsidR="00852D33" w:rsidRPr="00021789" w:rsidRDefault="00852D33" w:rsidP="00C6562E">
      <w:pPr>
        <w:pStyle w:val="Pro-Inwest"/>
        <w:rPr>
          <w:rFonts w:asciiTheme="minorHAnsi" w:hAnsiTheme="minorHAnsi"/>
          <w:b/>
          <w:color w:val="FF0000"/>
          <w:sz w:val="18"/>
          <w:szCs w:val="18"/>
        </w:rPr>
      </w:pPr>
    </w:p>
    <w:p w14:paraId="3DDE17F1" w14:textId="77777777" w:rsidR="00852D33" w:rsidRPr="00021789" w:rsidRDefault="00852D33" w:rsidP="00C6562E">
      <w:pPr>
        <w:pStyle w:val="Pro-Inwest"/>
        <w:rPr>
          <w:rFonts w:asciiTheme="minorHAnsi" w:hAnsiTheme="minorHAnsi"/>
          <w:b/>
          <w:color w:val="FF0000"/>
          <w:sz w:val="18"/>
          <w:szCs w:val="18"/>
        </w:rPr>
      </w:pPr>
    </w:p>
    <w:p w14:paraId="0C494FD9" w14:textId="77777777" w:rsidR="00852D33" w:rsidRPr="00021789" w:rsidRDefault="00852D33" w:rsidP="00C6562E">
      <w:pPr>
        <w:pStyle w:val="Pro-Inwest"/>
        <w:rPr>
          <w:rFonts w:asciiTheme="minorHAnsi" w:hAnsiTheme="minorHAnsi"/>
          <w:b/>
          <w:color w:val="FF0000"/>
          <w:sz w:val="18"/>
          <w:szCs w:val="18"/>
        </w:rPr>
      </w:pPr>
    </w:p>
    <w:p w14:paraId="7388DC65" w14:textId="77777777" w:rsidR="00852D33" w:rsidRPr="00021789" w:rsidRDefault="00852D33" w:rsidP="00C6562E">
      <w:pPr>
        <w:pStyle w:val="Pro-Inwest"/>
        <w:rPr>
          <w:rFonts w:asciiTheme="minorHAnsi" w:hAnsiTheme="minorHAnsi"/>
          <w:b/>
          <w:color w:val="FF0000"/>
          <w:sz w:val="18"/>
          <w:szCs w:val="18"/>
        </w:rPr>
      </w:pPr>
    </w:p>
    <w:p w14:paraId="647C011B" w14:textId="77777777" w:rsidR="00852D33" w:rsidRPr="00021789" w:rsidRDefault="00852D33" w:rsidP="00C6562E">
      <w:pPr>
        <w:pStyle w:val="Pro-Inwest"/>
        <w:rPr>
          <w:rFonts w:asciiTheme="minorHAnsi" w:hAnsiTheme="minorHAnsi"/>
          <w:b/>
          <w:color w:val="FF0000"/>
          <w:sz w:val="18"/>
          <w:szCs w:val="18"/>
        </w:rPr>
      </w:pPr>
    </w:p>
    <w:p w14:paraId="044350BD" w14:textId="77777777" w:rsidR="00852D33" w:rsidRPr="00021789" w:rsidRDefault="00852D33" w:rsidP="00C6562E">
      <w:pPr>
        <w:pStyle w:val="Pro-Inwest"/>
        <w:rPr>
          <w:rFonts w:asciiTheme="minorHAnsi" w:hAnsiTheme="minorHAnsi"/>
          <w:b/>
          <w:color w:val="FF0000"/>
          <w:sz w:val="18"/>
          <w:szCs w:val="18"/>
        </w:rPr>
      </w:pPr>
    </w:p>
    <w:p w14:paraId="257D13AA" w14:textId="77777777" w:rsidR="00852D33" w:rsidRPr="00021789" w:rsidRDefault="00852D33" w:rsidP="00C6562E">
      <w:pPr>
        <w:pStyle w:val="Pro-Inwest"/>
        <w:rPr>
          <w:rFonts w:asciiTheme="minorHAnsi" w:hAnsiTheme="minorHAnsi"/>
          <w:b/>
          <w:color w:val="FF0000"/>
          <w:sz w:val="18"/>
          <w:szCs w:val="18"/>
        </w:rPr>
      </w:pPr>
    </w:p>
    <w:p w14:paraId="4A6832A7" w14:textId="77777777" w:rsidR="00852D33" w:rsidRPr="00021789" w:rsidRDefault="00852D33" w:rsidP="00C6562E">
      <w:pPr>
        <w:pStyle w:val="Pro-Inwest"/>
        <w:rPr>
          <w:rFonts w:asciiTheme="minorHAnsi" w:hAnsiTheme="minorHAnsi"/>
          <w:b/>
          <w:color w:val="FF0000"/>
          <w:sz w:val="18"/>
          <w:szCs w:val="18"/>
        </w:rPr>
      </w:pPr>
    </w:p>
    <w:p w14:paraId="1A6C1EF7" w14:textId="77777777" w:rsidR="00852D33" w:rsidRPr="00021789" w:rsidRDefault="00852D33" w:rsidP="00C6562E">
      <w:pPr>
        <w:pStyle w:val="Pro-Inwest"/>
        <w:rPr>
          <w:rFonts w:asciiTheme="minorHAnsi" w:hAnsiTheme="minorHAnsi"/>
          <w:b/>
          <w:color w:val="FF0000"/>
          <w:sz w:val="18"/>
          <w:szCs w:val="18"/>
        </w:rPr>
      </w:pPr>
    </w:p>
    <w:p w14:paraId="40ECAB98" w14:textId="77777777" w:rsidR="00852D33" w:rsidRPr="00021789" w:rsidRDefault="00852D33" w:rsidP="00C6562E">
      <w:pPr>
        <w:pStyle w:val="Pro-Inwest"/>
        <w:rPr>
          <w:rFonts w:asciiTheme="minorHAnsi" w:hAnsiTheme="minorHAnsi"/>
          <w:b/>
          <w:color w:val="FF0000"/>
          <w:sz w:val="18"/>
          <w:szCs w:val="18"/>
        </w:rPr>
      </w:pPr>
    </w:p>
    <w:p w14:paraId="527FB318" w14:textId="77777777" w:rsidR="00852D33" w:rsidRPr="00021789" w:rsidRDefault="00852D33" w:rsidP="00C6562E">
      <w:pPr>
        <w:pStyle w:val="Pro-Inwest"/>
        <w:rPr>
          <w:rFonts w:asciiTheme="minorHAnsi" w:hAnsiTheme="minorHAnsi"/>
          <w:b/>
          <w:color w:val="FF0000"/>
          <w:sz w:val="18"/>
          <w:szCs w:val="18"/>
        </w:rPr>
      </w:pPr>
    </w:p>
    <w:p w14:paraId="08068780" w14:textId="77777777" w:rsidR="00852D33" w:rsidRPr="00021789" w:rsidRDefault="00852D33" w:rsidP="00C6562E">
      <w:pPr>
        <w:pStyle w:val="Pro-Inwest"/>
        <w:rPr>
          <w:rFonts w:asciiTheme="minorHAnsi" w:hAnsiTheme="minorHAnsi"/>
          <w:b/>
          <w:color w:val="FF0000"/>
          <w:sz w:val="18"/>
          <w:szCs w:val="18"/>
        </w:rPr>
      </w:pPr>
    </w:p>
    <w:p w14:paraId="7D88DC90" w14:textId="77777777" w:rsidR="00852D33" w:rsidRPr="00021789" w:rsidRDefault="00852D33" w:rsidP="00C6562E">
      <w:pPr>
        <w:pStyle w:val="Pro-Inwest"/>
        <w:rPr>
          <w:rFonts w:asciiTheme="minorHAnsi" w:hAnsiTheme="minorHAnsi"/>
          <w:b/>
          <w:color w:val="FF0000"/>
          <w:sz w:val="18"/>
          <w:szCs w:val="18"/>
        </w:rPr>
      </w:pPr>
    </w:p>
    <w:p w14:paraId="068280D1" w14:textId="77777777" w:rsidR="00852D33" w:rsidRPr="00021789" w:rsidRDefault="00852D33" w:rsidP="00C6562E">
      <w:pPr>
        <w:pStyle w:val="Pro-Inwest"/>
        <w:rPr>
          <w:rFonts w:asciiTheme="minorHAnsi" w:hAnsiTheme="minorHAnsi"/>
          <w:b/>
          <w:color w:val="FF0000"/>
          <w:sz w:val="18"/>
          <w:szCs w:val="18"/>
        </w:rPr>
      </w:pPr>
    </w:p>
    <w:p w14:paraId="5794992E" w14:textId="77777777" w:rsidR="00852D33" w:rsidRPr="00021789" w:rsidRDefault="00852D33" w:rsidP="00C6562E">
      <w:pPr>
        <w:pStyle w:val="Pro-Inwest"/>
        <w:rPr>
          <w:rFonts w:asciiTheme="minorHAnsi" w:hAnsiTheme="minorHAnsi"/>
          <w:b/>
          <w:color w:val="FF0000"/>
          <w:sz w:val="18"/>
          <w:szCs w:val="18"/>
        </w:rPr>
      </w:pPr>
    </w:p>
    <w:p w14:paraId="7AC56FF2" w14:textId="77777777" w:rsidR="00852D33" w:rsidRPr="00021789" w:rsidRDefault="00852D33" w:rsidP="00C6562E">
      <w:pPr>
        <w:pStyle w:val="Pro-Inwest"/>
        <w:rPr>
          <w:rFonts w:asciiTheme="minorHAnsi" w:hAnsiTheme="minorHAnsi"/>
          <w:b/>
          <w:color w:val="FF0000"/>
          <w:sz w:val="18"/>
          <w:szCs w:val="18"/>
        </w:rPr>
      </w:pPr>
    </w:p>
    <w:p w14:paraId="036488E2" w14:textId="77777777" w:rsidR="00852D33" w:rsidRPr="00021789" w:rsidRDefault="00852D33" w:rsidP="00C6562E">
      <w:pPr>
        <w:pStyle w:val="Pro-Inwest"/>
        <w:rPr>
          <w:rFonts w:asciiTheme="minorHAnsi" w:hAnsiTheme="minorHAnsi"/>
          <w:b/>
          <w:color w:val="FF0000"/>
          <w:sz w:val="18"/>
          <w:szCs w:val="18"/>
        </w:rPr>
      </w:pPr>
    </w:p>
    <w:p w14:paraId="42E40438" w14:textId="77777777" w:rsidR="00852D33" w:rsidRPr="00021789" w:rsidRDefault="00852D33" w:rsidP="00C6562E">
      <w:pPr>
        <w:pStyle w:val="Pro-Inwest"/>
        <w:rPr>
          <w:rFonts w:asciiTheme="minorHAnsi" w:hAnsiTheme="minorHAnsi"/>
          <w:b/>
          <w:color w:val="FF0000"/>
          <w:sz w:val="18"/>
          <w:szCs w:val="18"/>
        </w:rPr>
      </w:pPr>
    </w:p>
    <w:p w14:paraId="4082A213" w14:textId="77777777" w:rsidR="00852D33" w:rsidRPr="00021789" w:rsidRDefault="00852D33" w:rsidP="00C6562E">
      <w:pPr>
        <w:pStyle w:val="Pro-Inwest"/>
        <w:rPr>
          <w:rFonts w:asciiTheme="minorHAnsi" w:hAnsiTheme="minorHAnsi"/>
          <w:b/>
          <w:color w:val="FF0000"/>
          <w:sz w:val="18"/>
          <w:szCs w:val="18"/>
        </w:rPr>
      </w:pPr>
    </w:p>
    <w:p w14:paraId="513A77FB" w14:textId="158BAE0D" w:rsidR="00105AB9" w:rsidRPr="00FC634A" w:rsidRDefault="00105AB9" w:rsidP="00105AB9">
      <w:pPr>
        <w:pStyle w:val="Nagwek1"/>
        <w:rPr>
          <w:rFonts w:ascii="Arial" w:hAnsi="Arial" w:cs="Arial"/>
          <w:sz w:val="18"/>
          <w:szCs w:val="18"/>
        </w:rPr>
      </w:pPr>
      <w:r w:rsidRPr="00FC634A">
        <w:rPr>
          <w:rFonts w:asciiTheme="minorHAnsi" w:eastAsiaTheme="minorHAnsi" w:hAnsiTheme="minorHAnsi" w:cstheme="minorBidi"/>
          <w:bCs w:val="0"/>
          <w:sz w:val="18"/>
          <w:szCs w:val="18"/>
        </w:rPr>
        <w:lastRenderedPageBreak/>
        <w:t>D.04.02.02 WARSTWA MROZOCHRONNA</w:t>
      </w:r>
      <w:r w:rsidR="00FC634A" w:rsidRPr="00FC634A">
        <w:rPr>
          <w:rFonts w:asciiTheme="minorHAnsi" w:eastAsiaTheme="minorHAnsi" w:hAnsiTheme="minorHAnsi" w:cstheme="minorBidi"/>
          <w:bCs w:val="0"/>
          <w:sz w:val="18"/>
          <w:szCs w:val="18"/>
        </w:rPr>
        <w:t>/ ODSĄCZAJĄCA</w:t>
      </w:r>
    </w:p>
    <w:p w14:paraId="4B19C055" w14:textId="77777777" w:rsidR="00105AB9" w:rsidRPr="00FC634A" w:rsidRDefault="00105AB9" w:rsidP="00105AB9">
      <w:pPr>
        <w:pStyle w:val="Pro-Inwest"/>
        <w:jc w:val="both"/>
        <w:rPr>
          <w:rFonts w:asciiTheme="minorHAnsi" w:hAnsiTheme="minorHAnsi"/>
          <w:sz w:val="16"/>
          <w:szCs w:val="16"/>
        </w:rPr>
      </w:pPr>
    </w:p>
    <w:p w14:paraId="35F46927" w14:textId="77777777" w:rsidR="00105AB9" w:rsidRPr="00FC634A" w:rsidRDefault="00105AB9" w:rsidP="00105AB9">
      <w:pPr>
        <w:pStyle w:val="Pro-Inwest"/>
        <w:jc w:val="both"/>
        <w:rPr>
          <w:rFonts w:asciiTheme="minorHAnsi" w:hAnsiTheme="minorHAnsi"/>
          <w:b/>
          <w:sz w:val="16"/>
          <w:szCs w:val="16"/>
        </w:rPr>
      </w:pPr>
      <w:r w:rsidRPr="00FC634A">
        <w:rPr>
          <w:rFonts w:asciiTheme="minorHAnsi" w:hAnsiTheme="minorHAnsi"/>
          <w:b/>
          <w:sz w:val="16"/>
          <w:szCs w:val="16"/>
        </w:rPr>
        <w:t>1. WSTĘP</w:t>
      </w:r>
    </w:p>
    <w:p w14:paraId="7C72C2B3" w14:textId="77777777" w:rsidR="00105AB9" w:rsidRPr="00FC634A" w:rsidRDefault="00105AB9" w:rsidP="00105AB9">
      <w:pPr>
        <w:pStyle w:val="Pro-Inwest"/>
        <w:jc w:val="both"/>
        <w:rPr>
          <w:rFonts w:asciiTheme="minorHAnsi" w:hAnsiTheme="minorHAnsi"/>
          <w:b/>
          <w:sz w:val="16"/>
          <w:szCs w:val="16"/>
        </w:rPr>
      </w:pPr>
      <w:r w:rsidRPr="00FC634A">
        <w:rPr>
          <w:rFonts w:asciiTheme="minorHAnsi" w:hAnsiTheme="minorHAnsi"/>
          <w:b/>
          <w:sz w:val="16"/>
          <w:szCs w:val="16"/>
        </w:rPr>
        <w:t xml:space="preserve">1.1. Przedmiot </w:t>
      </w:r>
      <w:proofErr w:type="spellStart"/>
      <w:r w:rsidRPr="00FC634A">
        <w:rPr>
          <w:rFonts w:asciiTheme="minorHAnsi" w:hAnsiTheme="minorHAnsi"/>
          <w:b/>
          <w:sz w:val="16"/>
          <w:szCs w:val="16"/>
        </w:rPr>
        <w:t>STWiORB</w:t>
      </w:r>
      <w:proofErr w:type="spellEnd"/>
    </w:p>
    <w:p w14:paraId="59A43C72" w14:textId="367DFC44" w:rsidR="00105AB9" w:rsidRPr="00FC634A" w:rsidRDefault="00105AB9" w:rsidP="00105AB9">
      <w:pPr>
        <w:snapToGrid w:val="0"/>
        <w:spacing w:after="0"/>
        <w:jc w:val="both"/>
        <w:rPr>
          <w:sz w:val="16"/>
          <w:szCs w:val="16"/>
        </w:rPr>
      </w:pPr>
      <w:r w:rsidRPr="00FC634A">
        <w:rPr>
          <w:sz w:val="16"/>
          <w:szCs w:val="16"/>
        </w:rPr>
        <w:t>Dotyczy zadania o nazwie „</w:t>
      </w:r>
      <w:r w:rsidRPr="00FC634A">
        <w:rPr>
          <w:sz w:val="16"/>
          <w:szCs w:val="16"/>
          <w:lang w:eastAsia="ar-SA"/>
        </w:rPr>
        <w:t>Budowa budynku usługowego żłobka wraz z wewnętrznymi instalacjami wodno-kanalizacyjnymi,  co, elektrycznymi, wentylacją mechaniczną. Budowa wewnętrznej instalacji kanalizacji deszczowej, sanitarnej, energetycznej, zbiornika</w:t>
      </w:r>
      <w:r w:rsidRPr="00FC634A">
        <w:rPr>
          <w:sz w:val="16"/>
          <w:szCs w:val="16"/>
          <w:lang w:eastAsia="ar-SA"/>
        </w:rPr>
        <w:br/>
        <w:t>na deszczówkę. Budowa dojścia, dojazdu, miejsc postojowych  na działkach 341/5, 341/6, 341/4 obręb Złota, Gmina Złota”. Inwestorem przedsięwzięcia jest Gmina Złota ul. Sienkiewicza 79, 28-425 Złota</w:t>
      </w:r>
    </w:p>
    <w:p w14:paraId="0CAFBF27" w14:textId="7C3471CE"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Przedmiotem  niniejszych  Warunków  Wykonania  i  Odbioru  Robót  Budowlanych (</w:t>
      </w:r>
      <w:proofErr w:type="spellStart"/>
      <w:r w:rsidRPr="00FC634A">
        <w:rPr>
          <w:rFonts w:asciiTheme="minorHAnsi" w:hAnsiTheme="minorHAnsi"/>
          <w:sz w:val="16"/>
          <w:szCs w:val="16"/>
        </w:rPr>
        <w:t>WWiORB</w:t>
      </w:r>
      <w:proofErr w:type="spellEnd"/>
      <w:r w:rsidRPr="00FC634A">
        <w:rPr>
          <w:rFonts w:asciiTheme="minorHAnsi" w:hAnsiTheme="minorHAnsi"/>
          <w:sz w:val="16"/>
          <w:szCs w:val="16"/>
        </w:rPr>
        <w:t>) są wymagania dotyczące wykonania</w:t>
      </w:r>
      <w:r w:rsidRPr="00FC634A">
        <w:rPr>
          <w:rFonts w:asciiTheme="minorHAnsi" w:hAnsiTheme="minorHAnsi"/>
          <w:sz w:val="16"/>
          <w:szCs w:val="16"/>
        </w:rPr>
        <w:br/>
        <w:t xml:space="preserve">i odbioru dla robót związanych z wykonaniem warstwy </w:t>
      </w:r>
      <w:proofErr w:type="spellStart"/>
      <w:r w:rsidRPr="00FC634A">
        <w:rPr>
          <w:rFonts w:asciiTheme="minorHAnsi" w:hAnsiTheme="minorHAnsi"/>
          <w:sz w:val="16"/>
          <w:szCs w:val="16"/>
        </w:rPr>
        <w:t>mrozoochronnej</w:t>
      </w:r>
      <w:proofErr w:type="spellEnd"/>
      <w:r w:rsidRPr="00FC634A">
        <w:rPr>
          <w:rFonts w:asciiTheme="minorHAnsi" w:hAnsiTheme="minorHAnsi"/>
          <w:sz w:val="16"/>
          <w:szCs w:val="16"/>
        </w:rPr>
        <w:t xml:space="preserve"> z </w:t>
      </w:r>
      <w:r w:rsidR="00FC634A" w:rsidRPr="00FC634A">
        <w:rPr>
          <w:rFonts w:asciiTheme="minorHAnsi" w:hAnsiTheme="minorHAnsi"/>
          <w:sz w:val="16"/>
          <w:szCs w:val="16"/>
        </w:rPr>
        <w:t xml:space="preserve">gruntu stabilizowanego spoiwem hydraulicznym oraz warstwy </w:t>
      </w:r>
      <w:proofErr w:type="spellStart"/>
      <w:r w:rsidR="00FC634A" w:rsidRPr="00FC634A">
        <w:rPr>
          <w:rFonts w:asciiTheme="minorHAnsi" w:hAnsiTheme="minorHAnsi"/>
          <w:sz w:val="16"/>
          <w:szCs w:val="16"/>
        </w:rPr>
        <w:t>odsączajacej</w:t>
      </w:r>
      <w:proofErr w:type="spellEnd"/>
      <w:r w:rsidRPr="00FC634A">
        <w:rPr>
          <w:rFonts w:asciiTheme="minorHAnsi" w:hAnsiTheme="minorHAnsi"/>
          <w:sz w:val="16"/>
          <w:szCs w:val="16"/>
        </w:rPr>
        <w:t xml:space="preserve">.  </w:t>
      </w:r>
    </w:p>
    <w:p w14:paraId="4D44F78F"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Zgodnie  z  zapisami  obowiązujących  katalogów  typowych  konstrukcji  nawierzchni drogowych  tj.:  </w:t>
      </w:r>
      <w:proofErr w:type="spellStart"/>
      <w:r w:rsidRPr="00FC634A">
        <w:rPr>
          <w:rFonts w:asciiTheme="minorHAnsi" w:hAnsiTheme="minorHAnsi"/>
          <w:sz w:val="16"/>
          <w:szCs w:val="16"/>
        </w:rPr>
        <w:t>KTKNPiP</w:t>
      </w:r>
      <w:proofErr w:type="spellEnd"/>
      <w:r w:rsidRPr="00FC634A">
        <w:rPr>
          <w:rFonts w:asciiTheme="minorHAnsi" w:hAnsiTheme="minorHAnsi"/>
          <w:sz w:val="16"/>
          <w:szCs w:val="16"/>
        </w:rPr>
        <w:t xml:space="preserve">  2014  i  KTKNS  2014  występującą  w  Dokumentacji Projektowej  warstwę  </w:t>
      </w:r>
      <w:proofErr w:type="spellStart"/>
      <w:r w:rsidRPr="00FC634A">
        <w:rPr>
          <w:rFonts w:asciiTheme="minorHAnsi" w:hAnsiTheme="minorHAnsi"/>
          <w:sz w:val="16"/>
          <w:szCs w:val="16"/>
        </w:rPr>
        <w:t>mrozoochronną</w:t>
      </w:r>
      <w:proofErr w:type="spellEnd"/>
      <w:r w:rsidRPr="00FC634A">
        <w:rPr>
          <w:rFonts w:asciiTheme="minorHAnsi" w:hAnsiTheme="minorHAnsi"/>
          <w:sz w:val="16"/>
          <w:szCs w:val="16"/>
        </w:rPr>
        <w:t xml:space="preserve">  należy zaklasyfikować  do  dolnych  warstw  konstrukcji  nawierzchni  spoczywających  na podłożu  gruntowym  lub  warstwie  ulepszonego  podłoża.   </w:t>
      </w:r>
    </w:p>
    <w:p w14:paraId="69DA1239"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Schemat  i  terminologię  warstw  konstrukcji  nawierzchni  drogowej  oraz  podłoża gruntowego nawierzchni przedstawiają rysunki 4.1 i.4.2 w </w:t>
      </w:r>
      <w:proofErr w:type="spellStart"/>
      <w:r w:rsidRPr="00FC634A">
        <w:rPr>
          <w:rFonts w:asciiTheme="minorHAnsi" w:hAnsiTheme="minorHAnsi"/>
          <w:sz w:val="16"/>
          <w:szCs w:val="16"/>
        </w:rPr>
        <w:t>KTKNPiP</w:t>
      </w:r>
      <w:proofErr w:type="spellEnd"/>
      <w:r w:rsidRPr="00FC634A">
        <w:rPr>
          <w:rFonts w:asciiTheme="minorHAnsi" w:hAnsiTheme="minorHAnsi"/>
          <w:sz w:val="16"/>
          <w:szCs w:val="16"/>
        </w:rPr>
        <w:t xml:space="preserve"> 2014 oraz  w KTKNS 2014. </w:t>
      </w:r>
    </w:p>
    <w:p w14:paraId="6DF9F669"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Poziom  niwelety  robót  ziemnych  (tj.  poziom  podłoża  gruntowego  nawierzchni) pokrywa się ze spodem dolnych warstw konstrukcji nawierzchni. </w:t>
      </w:r>
    </w:p>
    <w:p w14:paraId="296F14F4" w14:textId="77777777" w:rsidR="00105AB9" w:rsidRPr="00FC634A" w:rsidRDefault="00105AB9" w:rsidP="00105AB9">
      <w:pPr>
        <w:pStyle w:val="Pro-Inwest"/>
        <w:jc w:val="both"/>
        <w:rPr>
          <w:rFonts w:asciiTheme="minorHAnsi" w:hAnsiTheme="minorHAnsi"/>
          <w:b/>
          <w:sz w:val="16"/>
          <w:szCs w:val="16"/>
        </w:rPr>
      </w:pPr>
      <w:r w:rsidRPr="00FC634A">
        <w:rPr>
          <w:rFonts w:asciiTheme="minorHAnsi" w:hAnsiTheme="minorHAnsi"/>
          <w:b/>
          <w:sz w:val="16"/>
          <w:szCs w:val="16"/>
        </w:rPr>
        <w:t xml:space="preserve">1.2. Zakres stosowania </w:t>
      </w:r>
      <w:proofErr w:type="spellStart"/>
      <w:r w:rsidRPr="00FC634A">
        <w:rPr>
          <w:rFonts w:asciiTheme="minorHAnsi" w:hAnsiTheme="minorHAnsi"/>
          <w:b/>
          <w:sz w:val="16"/>
          <w:szCs w:val="16"/>
        </w:rPr>
        <w:t>STWiORB</w:t>
      </w:r>
      <w:proofErr w:type="spellEnd"/>
    </w:p>
    <w:p w14:paraId="2583A364" w14:textId="77777777" w:rsidR="00105AB9" w:rsidRPr="00FC634A" w:rsidRDefault="00105AB9" w:rsidP="00105AB9">
      <w:pPr>
        <w:pStyle w:val="Pro-Inwest"/>
        <w:ind w:firstLine="708"/>
        <w:jc w:val="both"/>
        <w:rPr>
          <w:rFonts w:asciiTheme="minorHAnsi" w:hAnsiTheme="minorHAnsi"/>
          <w:sz w:val="16"/>
          <w:szCs w:val="16"/>
        </w:rPr>
      </w:pPr>
      <w:r w:rsidRPr="00FC634A">
        <w:rPr>
          <w:rFonts w:asciiTheme="minorHAnsi" w:hAnsiTheme="minorHAnsi"/>
          <w:sz w:val="16"/>
          <w:szCs w:val="16"/>
        </w:rPr>
        <w:t>Specyfikacja techniczna wykonania i odbioru robót budowlanych (</w:t>
      </w:r>
      <w:proofErr w:type="spellStart"/>
      <w:r w:rsidRPr="00FC634A">
        <w:rPr>
          <w:rFonts w:asciiTheme="minorHAnsi" w:hAnsiTheme="minorHAnsi"/>
          <w:sz w:val="16"/>
          <w:szCs w:val="16"/>
        </w:rPr>
        <w:t>STWiORB</w:t>
      </w:r>
      <w:proofErr w:type="spellEnd"/>
      <w:r w:rsidRPr="00FC634A">
        <w:rPr>
          <w:rFonts w:asciiTheme="minorHAnsi" w:hAnsiTheme="minorHAnsi"/>
          <w:sz w:val="16"/>
          <w:szCs w:val="16"/>
        </w:rPr>
        <w:t>) stanowi dokument przetargowy i kontraktowy przy zlecaniu i realizacji robót drogowych.</w:t>
      </w:r>
    </w:p>
    <w:p w14:paraId="4620097F" w14:textId="77777777" w:rsidR="00105AB9" w:rsidRPr="00FC634A" w:rsidRDefault="00105AB9" w:rsidP="00105AB9">
      <w:pPr>
        <w:pStyle w:val="Pro-Inwest"/>
        <w:rPr>
          <w:rFonts w:asciiTheme="minorHAnsi" w:hAnsiTheme="minorHAnsi"/>
          <w:b/>
          <w:bCs/>
          <w:sz w:val="16"/>
          <w:szCs w:val="16"/>
        </w:rPr>
      </w:pPr>
      <w:r w:rsidRPr="00FC634A">
        <w:rPr>
          <w:rFonts w:asciiTheme="minorHAnsi" w:hAnsiTheme="minorHAnsi"/>
          <w:b/>
          <w:bCs/>
          <w:sz w:val="16"/>
          <w:szCs w:val="16"/>
        </w:rPr>
        <w:t xml:space="preserve">1.3  Określenia podstawowe </w:t>
      </w:r>
    </w:p>
    <w:p w14:paraId="561922A1"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Definicje i określenia dotyczące konstrukcji nawierzchni oraz podłoża gruntowego podano  w  D-M.00.00.00.  "Wymagania  ogólne" </w:t>
      </w:r>
      <w:r w:rsidRPr="00FC634A">
        <w:rPr>
          <w:rFonts w:asciiTheme="minorHAnsi" w:hAnsiTheme="minorHAnsi"/>
          <w:sz w:val="16"/>
          <w:szCs w:val="16"/>
        </w:rPr>
        <w:br/>
        <w:t xml:space="preserve">oraz  w przepisach  związanych wyszczególnionych w pkt. 10 niniejszego </w:t>
      </w:r>
      <w:proofErr w:type="spellStart"/>
      <w:r w:rsidRPr="00FC634A">
        <w:rPr>
          <w:rFonts w:asciiTheme="minorHAnsi" w:hAnsiTheme="minorHAnsi"/>
          <w:sz w:val="16"/>
          <w:szCs w:val="16"/>
        </w:rPr>
        <w:t>STWiORB</w:t>
      </w:r>
      <w:proofErr w:type="spellEnd"/>
      <w:r w:rsidRPr="00FC634A">
        <w:rPr>
          <w:rFonts w:asciiTheme="minorHAnsi" w:hAnsiTheme="minorHAnsi"/>
          <w:sz w:val="16"/>
          <w:szCs w:val="16"/>
        </w:rPr>
        <w:t xml:space="preserve">. </w:t>
      </w:r>
    </w:p>
    <w:p w14:paraId="1D525DFF"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Podbudowa - dolna część nawierzchni służąca do przenoszenia obciążeń od ruchu na podłoże. Podbudowa może składać się z podbudowy zasadniczej i podbudowy pomocniczej. </w:t>
      </w:r>
    </w:p>
    <w:p w14:paraId="7BECBB80"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Podbudowa  zasadnicza  -  warstwa  konstrukcji  nawierzchni  spełniająca podstawową funkcję w rozłożeniu </w:t>
      </w:r>
      <w:proofErr w:type="spellStart"/>
      <w:r w:rsidRPr="00FC634A">
        <w:rPr>
          <w:rFonts w:asciiTheme="minorHAnsi" w:hAnsiTheme="minorHAnsi"/>
          <w:sz w:val="16"/>
          <w:szCs w:val="16"/>
        </w:rPr>
        <w:t>naprężeń</w:t>
      </w:r>
      <w:proofErr w:type="spellEnd"/>
      <w:r w:rsidRPr="00FC634A">
        <w:rPr>
          <w:rFonts w:asciiTheme="minorHAnsi" w:hAnsiTheme="minorHAnsi"/>
          <w:sz w:val="16"/>
          <w:szCs w:val="16"/>
        </w:rPr>
        <w:t xml:space="preserve"> od kół pojazdów. Podbudowa zasadnicza może być jednowarstwowa lub dwuwarstwowa.  </w:t>
      </w:r>
    </w:p>
    <w:p w14:paraId="43E222B9"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Podbudowa pomocnicza - warstwa tworząca platformę umożliwiającą prawidłowe wbudowanie  podbudowy  zasadniczej,  a  w  czasie  eksploatacji  nawierzchni wspomagająca warstwy górne konstrukcji nawierzchni w rozłożeniu </w:t>
      </w:r>
      <w:proofErr w:type="spellStart"/>
      <w:r w:rsidRPr="00FC634A">
        <w:rPr>
          <w:rFonts w:asciiTheme="minorHAnsi" w:hAnsiTheme="minorHAnsi"/>
          <w:sz w:val="16"/>
          <w:szCs w:val="16"/>
        </w:rPr>
        <w:t>naprężeń</w:t>
      </w:r>
      <w:proofErr w:type="spellEnd"/>
      <w:r w:rsidRPr="00FC634A">
        <w:rPr>
          <w:rFonts w:asciiTheme="minorHAnsi" w:hAnsiTheme="minorHAnsi"/>
          <w:sz w:val="16"/>
          <w:szCs w:val="16"/>
        </w:rPr>
        <w:t xml:space="preserve"> od kół pojazdów  oraz  ochronę  nawierzchni  przed  wysadzinami  powodowanymi  przez szkodliwe działanie mrozu. </w:t>
      </w:r>
    </w:p>
    <w:p w14:paraId="555AEB8C"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Mieszanka  niezwiązana  –  ziarnisty  materiał,  zazwyczaj  o  określonym  składzie ziarnowym,  który  może  być  stosowany  do  wykonania  warstw  konstrukcji nawierzchni  oraz  podłoża  ulepszonego.  Mieszanka  niezwiązana  może  być wytworzona  z  kruszyw  naturalnych,  sztucznych,  z  recyklingu  lub  mieszanki  tych kruszyw. </w:t>
      </w:r>
    </w:p>
    <w:p w14:paraId="1C0B399F"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Mieszanka  związana  cementem  –  mieszanka,  w  której  następuje  wiązanie  i twardnienie  na  skutek  reakcji  hydraulicznych,  składająca  się  z  kruszywa  o kontrolowanym  uziarnieniu  i cementu;  wymieszana  w  sposób  zapewniający uzyskanie  jednorodnej  mieszanki.  Może  być  stosowana  do  wykonania  warstw konstrukcji nawierzchni oraz podłoża ulepszonego</w:t>
      </w:r>
    </w:p>
    <w:p w14:paraId="75AE417B"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Warstwa </w:t>
      </w:r>
      <w:proofErr w:type="spellStart"/>
      <w:r w:rsidRPr="00FC634A">
        <w:rPr>
          <w:rFonts w:asciiTheme="minorHAnsi" w:hAnsiTheme="minorHAnsi"/>
          <w:sz w:val="16"/>
          <w:szCs w:val="16"/>
        </w:rPr>
        <w:t>mrozoochronna</w:t>
      </w:r>
      <w:proofErr w:type="spellEnd"/>
      <w:r w:rsidRPr="00FC634A">
        <w:rPr>
          <w:rFonts w:asciiTheme="minorHAnsi" w:hAnsiTheme="minorHAnsi"/>
          <w:sz w:val="16"/>
          <w:szCs w:val="16"/>
        </w:rPr>
        <w:t xml:space="preserve"> – warstwa, której głównym zadaniem jest ochrona nawierzchni przed wysadzinami powodowanymi</w:t>
      </w:r>
      <w:r w:rsidRPr="00FC634A">
        <w:rPr>
          <w:rFonts w:asciiTheme="minorHAnsi" w:hAnsiTheme="minorHAnsi"/>
          <w:sz w:val="16"/>
          <w:szCs w:val="16"/>
        </w:rPr>
        <w:br/>
        <w:t xml:space="preserve">przez szkodliwe działanie mrozu i zwiększenie nośności warstw dolnych konstrukcji nawierzchni.  W szczególnych przypadkach (bliskie sąsiedztwo zwierciadła wody gruntowej od </w:t>
      </w:r>
      <w:proofErr w:type="spellStart"/>
      <w:r w:rsidRPr="00FC634A">
        <w:rPr>
          <w:rFonts w:asciiTheme="minorHAnsi" w:hAnsiTheme="minorHAnsi"/>
          <w:sz w:val="16"/>
          <w:szCs w:val="16"/>
        </w:rPr>
        <w:t>podu</w:t>
      </w:r>
      <w:proofErr w:type="spellEnd"/>
      <w:r w:rsidRPr="00FC634A">
        <w:rPr>
          <w:rFonts w:asciiTheme="minorHAnsi" w:hAnsiTheme="minorHAnsi"/>
          <w:sz w:val="16"/>
          <w:szCs w:val="16"/>
        </w:rPr>
        <w:t xml:space="preserve"> konstrukcji nawierzchni) warstwa </w:t>
      </w:r>
      <w:proofErr w:type="spellStart"/>
      <w:r w:rsidRPr="00FC634A">
        <w:rPr>
          <w:rFonts w:asciiTheme="minorHAnsi" w:hAnsiTheme="minorHAnsi"/>
          <w:sz w:val="16"/>
          <w:szCs w:val="16"/>
        </w:rPr>
        <w:t>mrozoochronna</w:t>
      </w:r>
      <w:proofErr w:type="spellEnd"/>
      <w:r w:rsidRPr="00FC634A">
        <w:rPr>
          <w:rFonts w:asciiTheme="minorHAnsi" w:hAnsiTheme="minorHAnsi"/>
          <w:sz w:val="16"/>
          <w:szCs w:val="16"/>
        </w:rPr>
        <w:t xml:space="preserve">, wykonana z gruntu </w:t>
      </w:r>
      <w:proofErr w:type="spellStart"/>
      <w:r w:rsidRPr="00FC634A">
        <w:rPr>
          <w:rFonts w:asciiTheme="minorHAnsi" w:hAnsiTheme="minorHAnsi"/>
          <w:sz w:val="16"/>
          <w:szCs w:val="16"/>
        </w:rPr>
        <w:t>niewysadzinowego</w:t>
      </w:r>
      <w:proofErr w:type="spellEnd"/>
      <w:r w:rsidRPr="00FC634A">
        <w:rPr>
          <w:rFonts w:asciiTheme="minorHAnsi" w:hAnsiTheme="minorHAnsi"/>
          <w:sz w:val="16"/>
          <w:szCs w:val="16"/>
        </w:rPr>
        <w:t xml:space="preserve"> lub z mieszanki niezwiązanej, może pełnić funkcję warstwy odsączającej. </w:t>
      </w:r>
    </w:p>
    <w:p w14:paraId="3912F8C8"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Warstwa  odsączająca  –  warstwa  zapewniająca  odprowadzenie  wody przedostającej się do spodu nawierzchni. Rolę warstwy odsączającej może pełnić warstwa </w:t>
      </w:r>
      <w:proofErr w:type="spellStart"/>
      <w:r w:rsidRPr="00FC634A">
        <w:rPr>
          <w:rFonts w:asciiTheme="minorHAnsi" w:hAnsiTheme="minorHAnsi"/>
          <w:sz w:val="16"/>
          <w:szCs w:val="16"/>
        </w:rPr>
        <w:t>mrozoochronna</w:t>
      </w:r>
      <w:proofErr w:type="spellEnd"/>
      <w:r w:rsidRPr="00FC634A">
        <w:rPr>
          <w:rFonts w:asciiTheme="minorHAnsi" w:hAnsiTheme="minorHAnsi"/>
          <w:sz w:val="16"/>
          <w:szCs w:val="16"/>
        </w:rPr>
        <w:t xml:space="preserve"> albo warstwa ulepszonego podłoża. Aby warstwy te mogły pełnić funkcję warstwy odsączającej muszą być wykonane z materiału ziarnistego (mieszanki  niezwiązanej  lub  z  gruntu  </w:t>
      </w:r>
      <w:proofErr w:type="spellStart"/>
      <w:r w:rsidRPr="00FC634A">
        <w:rPr>
          <w:rFonts w:asciiTheme="minorHAnsi" w:hAnsiTheme="minorHAnsi"/>
          <w:sz w:val="16"/>
          <w:szCs w:val="16"/>
        </w:rPr>
        <w:t>niewysadzinowego</w:t>
      </w:r>
      <w:proofErr w:type="spellEnd"/>
      <w:r w:rsidRPr="00FC634A">
        <w:rPr>
          <w:rFonts w:asciiTheme="minorHAnsi" w:hAnsiTheme="minorHAnsi"/>
          <w:sz w:val="16"/>
          <w:szCs w:val="16"/>
        </w:rPr>
        <w:t xml:space="preserve">)  o  odpowiednim uziarnieniu i o współczynniku filtracji.  </w:t>
      </w:r>
    </w:p>
    <w:p w14:paraId="27DED61E"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Kruszarka  –  maszyna  rozdrabniająca,  wykorzystująca  proces  kruszenia  do wytwarzania kruszywa. Ze względu na mobilność  całej maszyny można wyróżnić kruszarki  stacjonarne,  </w:t>
      </w:r>
      <w:proofErr w:type="spellStart"/>
      <w:r w:rsidRPr="00FC634A">
        <w:rPr>
          <w:rFonts w:asciiTheme="minorHAnsi" w:hAnsiTheme="minorHAnsi"/>
          <w:sz w:val="16"/>
          <w:szCs w:val="16"/>
        </w:rPr>
        <w:t>semi</w:t>
      </w:r>
      <w:proofErr w:type="spellEnd"/>
      <w:r w:rsidRPr="00FC634A">
        <w:rPr>
          <w:rFonts w:asciiTheme="minorHAnsi" w:hAnsiTheme="minorHAnsi"/>
          <w:sz w:val="16"/>
          <w:szCs w:val="16"/>
        </w:rPr>
        <w:t xml:space="preserve">-mobilne  -  na podwoziu  kołowym  i  mobilne  - na gąsienicowym. </w:t>
      </w:r>
    </w:p>
    <w:p w14:paraId="2AC8FEFD"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Kruszywo  </w:t>
      </w:r>
      <w:proofErr w:type="spellStart"/>
      <w:r w:rsidRPr="00FC634A">
        <w:rPr>
          <w:rFonts w:asciiTheme="minorHAnsi" w:hAnsiTheme="minorHAnsi"/>
          <w:sz w:val="16"/>
          <w:szCs w:val="16"/>
        </w:rPr>
        <w:t>doziarniające</w:t>
      </w:r>
      <w:proofErr w:type="spellEnd"/>
      <w:r w:rsidRPr="00FC634A">
        <w:rPr>
          <w:rFonts w:asciiTheme="minorHAnsi" w:hAnsiTheme="minorHAnsi"/>
          <w:sz w:val="16"/>
          <w:szCs w:val="16"/>
        </w:rPr>
        <w:t xml:space="preserve">  -  kruszywo  naturalne,  sztuczne  lub  z  recyklingu umożliwiające korektę uziarnienia i zaprojektowanie krzywej uziarnienia mieszanki mineralnej, spełniającej warunki pola dobrego uziarnienia Kruszywo naturalne – kruszywo pochodzenia mineralnego, które poza obróbką mechaniczną nie zostało poddane żadnej innej obróbce Kruszywo z recyklingu – kruszywo powstałe w wyniku przeróbki nieorganicznego materiału zastosowanego uprzednio w budownictwie Deklaracja Właściwości Użytkowych (DWU) – dokument wyrażający </w:t>
      </w:r>
    </w:p>
    <w:p w14:paraId="7BEAEB53"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właściwości użytkowe wyrobów budowlanych w odniesieniu do zasadniczych charakterystyk tych wyrobów zgodnie z odpowiednimi zharmonizowanymi specyfikacjami technicznymi. </w:t>
      </w:r>
    </w:p>
    <w:p w14:paraId="7E52D0ED"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Materiał  antropogeniczny  –  materiał  powstały  w  wyniku  bezpośredniej  lub pośredniej  działalności  człowieka  (na  przykład  grunt  ulepszony,  odpad przemysłowy, materiał z </w:t>
      </w:r>
      <w:proofErr w:type="spellStart"/>
      <w:r w:rsidRPr="00FC634A">
        <w:rPr>
          <w:rFonts w:asciiTheme="minorHAnsi" w:hAnsiTheme="minorHAnsi"/>
          <w:sz w:val="16"/>
          <w:szCs w:val="16"/>
        </w:rPr>
        <w:t>recy-klingu</w:t>
      </w:r>
      <w:proofErr w:type="spellEnd"/>
      <w:r w:rsidRPr="00FC634A">
        <w:rPr>
          <w:rFonts w:asciiTheme="minorHAnsi" w:hAnsiTheme="minorHAnsi"/>
          <w:sz w:val="16"/>
          <w:szCs w:val="16"/>
        </w:rPr>
        <w:t xml:space="preserve">). </w:t>
      </w:r>
    </w:p>
    <w:p w14:paraId="4A260504" w14:textId="130CBC72"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Pozostałe  określenia  podstawowe  podane  w  niniejszych  </w:t>
      </w:r>
      <w:proofErr w:type="spellStart"/>
      <w:r w:rsidRPr="00FC634A">
        <w:rPr>
          <w:rFonts w:asciiTheme="minorHAnsi" w:hAnsiTheme="minorHAnsi"/>
          <w:sz w:val="16"/>
          <w:szCs w:val="16"/>
        </w:rPr>
        <w:t>STWiORB</w:t>
      </w:r>
      <w:proofErr w:type="spellEnd"/>
      <w:r w:rsidRPr="00FC634A">
        <w:rPr>
          <w:rFonts w:asciiTheme="minorHAnsi" w:hAnsiTheme="minorHAnsi"/>
          <w:sz w:val="16"/>
          <w:szCs w:val="16"/>
        </w:rPr>
        <w:t xml:space="preserve">  są  zgodne  z odpowiednimi polskimi normami i z definicjami podanymi w </w:t>
      </w:r>
      <w:proofErr w:type="spellStart"/>
      <w:r w:rsidR="00E33361">
        <w:rPr>
          <w:rFonts w:asciiTheme="minorHAnsi" w:hAnsiTheme="minorHAnsi"/>
          <w:sz w:val="16"/>
          <w:szCs w:val="16"/>
        </w:rPr>
        <w:t>ST</w:t>
      </w:r>
      <w:r w:rsidRPr="00FC634A">
        <w:rPr>
          <w:rFonts w:asciiTheme="minorHAnsi" w:hAnsiTheme="minorHAnsi"/>
          <w:sz w:val="16"/>
          <w:szCs w:val="16"/>
        </w:rPr>
        <w:t>WiORB</w:t>
      </w:r>
      <w:proofErr w:type="spellEnd"/>
      <w:r w:rsidRPr="00FC634A">
        <w:rPr>
          <w:rFonts w:asciiTheme="minorHAnsi" w:hAnsiTheme="minorHAnsi"/>
          <w:sz w:val="16"/>
          <w:szCs w:val="16"/>
        </w:rPr>
        <w:t xml:space="preserve"> D-M 00.00.00 "Wymagania Ogólne". </w:t>
      </w:r>
    </w:p>
    <w:p w14:paraId="2F9B3A1A" w14:textId="77777777" w:rsidR="00105AB9" w:rsidRPr="00FC634A" w:rsidRDefault="00105AB9" w:rsidP="00105AB9">
      <w:pPr>
        <w:pStyle w:val="Pro-Inwest"/>
        <w:jc w:val="both"/>
        <w:rPr>
          <w:rFonts w:asciiTheme="minorHAnsi" w:hAnsiTheme="minorHAnsi"/>
          <w:sz w:val="16"/>
          <w:szCs w:val="16"/>
        </w:rPr>
      </w:pPr>
    </w:p>
    <w:p w14:paraId="7110D481" w14:textId="77777777" w:rsidR="00105AB9" w:rsidRPr="00FC634A" w:rsidRDefault="00105AB9" w:rsidP="00105AB9">
      <w:pPr>
        <w:pStyle w:val="Pro-Inwest"/>
        <w:jc w:val="both"/>
        <w:rPr>
          <w:rFonts w:asciiTheme="minorHAnsi" w:hAnsiTheme="minorHAnsi"/>
          <w:b/>
          <w:bCs/>
          <w:sz w:val="16"/>
          <w:szCs w:val="16"/>
        </w:rPr>
      </w:pPr>
      <w:r w:rsidRPr="00FC634A">
        <w:rPr>
          <w:rFonts w:asciiTheme="minorHAnsi" w:hAnsiTheme="minorHAnsi"/>
          <w:b/>
          <w:bCs/>
          <w:sz w:val="16"/>
          <w:szCs w:val="16"/>
        </w:rPr>
        <w:t xml:space="preserve">2  MATERIAŁY </w:t>
      </w:r>
    </w:p>
    <w:p w14:paraId="2DB549A2" w14:textId="77777777" w:rsidR="00105AB9" w:rsidRPr="00FC634A" w:rsidRDefault="00105AB9" w:rsidP="00105AB9">
      <w:pPr>
        <w:pStyle w:val="Pro-Inwest"/>
        <w:jc w:val="both"/>
        <w:rPr>
          <w:rFonts w:asciiTheme="minorHAnsi" w:hAnsiTheme="minorHAnsi"/>
          <w:b/>
          <w:bCs/>
          <w:sz w:val="16"/>
          <w:szCs w:val="16"/>
        </w:rPr>
      </w:pPr>
      <w:r w:rsidRPr="00FC634A">
        <w:rPr>
          <w:rFonts w:asciiTheme="minorHAnsi" w:hAnsiTheme="minorHAnsi"/>
          <w:b/>
          <w:bCs/>
          <w:sz w:val="16"/>
          <w:szCs w:val="16"/>
        </w:rPr>
        <w:t xml:space="preserve">2.1  Ogólne wymagania dotyczące materiałów  </w:t>
      </w:r>
    </w:p>
    <w:p w14:paraId="1ED68D91" w14:textId="77777777"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Ogólne wymagania dotyczące materiałów ich pozyskiwania i składowania, podano w </w:t>
      </w:r>
      <w:proofErr w:type="spellStart"/>
      <w:r w:rsidRPr="00FC634A">
        <w:rPr>
          <w:rFonts w:asciiTheme="minorHAnsi" w:hAnsiTheme="minorHAnsi"/>
          <w:sz w:val="16"/>
          <w:szCs w:val="16"/>
        </w:rPr>
        <w:t>STWiORB</w:t>
      </w:r>
      <w:proofErr w:type="spellEnd"/>
      <w:r w:rsidRPr="00FC634A">
        <w:rPr>
          <w:rFonts w:asciiTheme="minorHAnsi" w:hAnsiTheme="minorHAnsi"/>
          <w:sz w:val="16"/>
          <w:szCs w:val="16"/>
        </w:rPr>
        <w:t xml:space="preserve"> D-M 00.00.00 „Wymagania ogólne". </w:t>
      </w:r>
    </w:p>
    <w:p w14:paraId="2801B29E" w14:textId="77777777" w:rsidR="00105AB9" w:rsidRPr="00021789" w:rsidRDefault="00105AB9" w:rsidP="00105AB9">
      <w:pPr>
        <w:pStyle w:val="Pro-Inwest"/>
        <w:jc w:val="both"/>
        <w:rPr>
          <w:rFonts w:asciiTheme="minorHAnsi" w:hAnsiTheme="minorHAnsi"/>
          <w:color w:val="FF0000"/>
          <w:sz w:val="16"/>
          <w:szCs w:val="16"/>
        </w:rPr>
      </w:pPr>
    </w:p>
    <w:p w14:paraId="642E210D" w14:textId="77777777" w:rsidR="00105AB9" w:rsidRPr="00021789" w:rsidRDefault="00105AB9" w:rsidP="00105AB9">
      <w:pPr>
        <w:pStyle w:val="Pro-Inwest"/>
        <w:jc w:val="both"/>
        <w:rPr>
          <w:rFonts w:asciiTheme="minorHAnsi" w:hAnsiTheme="minorHAnsi"/>
          <w:color w:val="FF0000"/>
          <w:sz w:val="16"/>
          <w:szCs w:val="16"/>
        </w:rPr>
      </w:pPr>
    </w:p>
    <w:p w14:paraId="0A6F2DFF" w14:textId="77777777" w:rsidR="00105AB9" w:rsidRPr="00FC634A" w:rsidRDefault="00105AB9" w:rsidP="00105AB9">
      <w:pPr>
        <w:pStyle w:val="Pro-Inwest"/>
        <w:jc w:val="both"/>
        <w:rPr>
          <w:rFonts w:asciiTheme="minorHAnsi" w:hAnsiTheme="minorHAnsi"/>
          <w:b/>
          <w:bCs/>
          <w:sz w:val="16"/>
          <w:szCs w:val="16"/>
        </w:rPr>
      </w:pPr>
      <w:r w:rsidRPr="00FC634A">
        <w:rPr>
          <w:rFonts w:asciiTheme="minorHAnsi" w:hAnsiTheme="minorHAnsi"/>
          <w:b/>
          <w:bCs/>
          <w:sz w:val="16"/>
          <w:szCs w:val="16"/>
        </w:rPr>
        <w:lastRenderedPageBreak/>
        <w:t xml:space="preserve">2.2  Rodzaje materiałów </w:t>
      </w:r>
    </w:p>
    <w:p w14:paraId="664454CB" w14:textId="285D687F" w:rsidR="00105AB9" w:rsidRPr="00FC634A" w:rsidRDefault="00105AB9" w:rsidP="00105AB9">
      <w:pPr>
        <w:pStyle w:val="Pro-Inwest"/>
        <w:jc w:val="both"/>
        <w:rPr>
          <w:rFonts w:asciiTheme="minorHAnsi" w:hAnsiTheme="minorHAnsi"/>
          <w:sz w:val="16"/>
          <w:szCs w:val="16"/>
        </w:rPr>
      </w:pPr>
      <w:r w:rsidRPr="00FC634A">
        <w:rPr>
          <w:rFonts w:asciiTheme="minorHAnsi" w:hAnsiTheme="minorHAnsi"/>
          <w:sz w:val="16"/>
          <w:szCs w:val="16"/>
        </w:rPr>
        <w:t xml:space="preserve"> Tablica 2.1 Zakres stosowania materiałów do warstwy </w:t>
      </w:r>
      <w:proofErr w:type="spellStart"/>
      <w:r w:rsidRPr="00FC634A">
        <w:rPr>
          <w:rFonts w:asciiTheme="minorHAnsi" w:hAnsiTheme="minorHAnsi"/>
          <w:sz w:val="16"/>
          <w:szCs w:val="16"/>
        </w:rPr>
        <w:t>mrozoochronnej</w:t>
      </w:r>
      <w:proofErr w:type="spellEnd"/>
      <w:r w:rsidR="00FC634A" w:rsidRPr="00FC634A">
        <w:rPr>
          <w:rFonts w:asciiTheme="minorHAnsi" w:hAnsiTheme="minorHAnsi"/>
          <w:sz w:val="16"/>
          <w:szCs w:val="16"/>
        </w:rPr>
        <w:t>/ odsączającej</w:t>
      </w:r>
    </w:p>
    <w:p w14:paraId="6675E2AF" w14:textId="77777777" w:rsidR="00105AB9" w:rsidRPr="00021789" w:rsidRDefault="00105AB9" w:rsidP="00105AB9">
      <w:pPr>
        <w:pStyle w:val="Pro-Inwest"/>
        <w:jc w:val="both"/>
        <w:rPr>
          <w:rFonts w:asciiTheme="minorHAnsi" w:hAnsiTheme="minorHAnsi"/>
          <w:color w:val="FF0000"/>
          <w:sz w:val="16"/>
          <w:szCs w:val="16"/>
        </w:rPr>
      </w:pPr>
      <w:r w:rsidRPr="00021789">
        <w:rPr>
          <w:rFonts w:asciiTheme="minorHAnsi" w:hAnsiTheme="minorHAnsi"/>
          <w:noProof/>
          <w:color w:val="FF0000"/>
          <w:sz w:val="16"/>
          <w:szCs w:val="16"/>
        </w:rPr>
        <w:drawing>
          <wp:inline distT="0" distB="0" distL="0" distR="0" wp14:anchorId="49C35D8E" wp14:editId="66E8F0B8">
            <wp:extent cx="5756910" cy="197993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6910" cy="1979930"/>
                    </a:xfrm>
                    <a:prstGeom prst="rect">
                      <a:avLst/>
                    </a:prstGeom>
                    <a:noFill/>
                    <a:ln>
                      <a:noFill/>
                    </a:ln>
                  </pic:spPr>
                </pic:pic>
              </a:graphicData>
            </a:graphic>
          </wp:inline>
        </w:drawing>
      </w:r>
    </w:p>
    <w:p w14:paraId="538645D7" w14:textId="1D8F446E"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Mieszanki niezwiązane i mieszanki związane spoiwem hydraulicznym oraz grunty stabilizowane spoiwem hydraulicznym lub wapnem mogą zawierać w swoim składzie materiały  antropogeniczne  i  materiały  z  recyklingu.  Mieszanki  stosowane  do wykonania  warstwy  </w:t>
      </w:r>
      <w:proofErr w:type="spellStart"/>
      <w:r w:rsidRPr="00E33361">
        <w:rPr>
          <w:rFonts w:asciiTheme="minorHAnsi" w:hAnsiTheme="minorHAnsi"/>
          <w:sz w:val="16"/>
          <w:szCs w:val="16"/>
        </w:rPr>
        <w:t>mrozoochronnej</w:t>
      </w:r>
      <w:proofErr w:type="spellEnd"/>
      <w:r w:rsidR="00FC634A" w:rsidRPr="00E33361">
        <w:rPr>
          <w:rFonts w:asciiTheme="minorHAnsi" w:hAnsiTheme="minorHAnsi"/>
          <w:sz w:val="16"/>
          <w:szCs w:val="16"/>
        </w:rPr>
        <w:t>/ odsączającej</w:t>
      </w:r>
      <w:r w:rsidRPr="00E33361">
        <w:rPr>
          <w:rFonts w:asciiTheme="minorHAnsi" w:hAnsiTheme="minorHAnsi"/>
          <w:sz w:val="16"/>
          <w:szCs w:val="16"/>
        </w:rPr>
        <w:t xml:space="preserve">  powinny  być  produkowane zgodnie z: </w:t>
      </w:r>
    </w:p>
    <w:p w14:paraId="61322305"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WT-4 2010 Wymagania Techniczne, rozdział: 3. Kontrola produkcji, 4 Opis i oznaczenie, 5 Oznakowanie, w przypadku mieszanek niezwiązanych, </w:t>
      </w:r>
    </w:p>
    <w:p w14:paraId="5B764F75"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WT-5 2010 Wymagania Techniczne, Część 5. Kontrola produkcji, 6 Ustalenia formalne, w przypadku mieszanek związanych spoiwami hydraulicznymi. </w:t>
      </w:r>
    </w:p>
    <w:p w14:paraId="64D310C5" w14:textId="77777777"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 2.2.1  Mieszanki niezwiązane </w:t>
      </w:r>
    </w:p>
    <w:p w14:paraId="10374A88" w14:textId="77777777"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Wymagania  wobec  kruszyw  przeznaczonych  do  wytwarzania  mieszanki  należy przyjmować zgodnie z tablicą 2.2. </w:t>
      </w:r>
    </w:p>
    <w:p w14:paraId="34330BA3" w14:textId="77777777"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Tablica 2.2. Wymagania dla kruszywa do mieszanek niezwiązanych </w:t>
      </w:r>
    </w:p>
    <w:p w14:paraId="255249F4" w14:textId="77777777" w:rsidR="00105AB9" w:rsidRPr="00021789" w:rsidRDefault="00105AB9" w:rsidP="00105AB9">
      <w:pPr>
        <w:pStyle w:val="Pro-Inwest"/>
        <w:rPr>
          <w:rFonts w:asciiTheme="minorHAnsi" w:hAnsiTheme="minorHAnsi"/>
          <w:color w:val="FF0000"/>
          <w:sz w:val="16"/>
          <w:szCs w:val="16"/>
        </w:rPr>
      </w:pPr>
    </w:p>
    <w:p w14:paraId="60EBD208" w14:textId="77777777" w:rsidR="00105AB9" w:rsidRPr="00021789" w:rsidRDefault="00105AB9" w:rsidP="00105AB9">
      <w:pPr>
        <w:pStyle w:val="Pro-Inwest"/>
        <w:jc w:val="center"/>
        <w:rPr>
          <w:rFonts w:asciiTheme="minorHAnsi" w:hAnsiTheme="minorHAnsi"/>
          <w:color w:val="FF0000"/>
          <w:sz w:val="16"/>
          <w:szCs w:val="16"/>
        </w:rPr>
      </w:pPr>
      <w:r w:rsidRPr="00021789">
        <w:rPr>
          <w:rFonts w:asciiTheme="minorHAnsi" w:hAnsiTheme="minorHAnsi"/>
          <w:noProof/>
          <w:color w:val="FF0000"/>
          <w:sz w:val="16"/>
          <w:szCs w:val="16"/>
        </w:rPr>
        <w:drawing>
          <wp:inline distT="0" distB="0" distL="0" distR="0" wp14:anchorId="11679E69" wp14:editId="4F34D445">
            <wp:extent cx="4066581" cy="5088834"/>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68885" cy="5091717"/>
                    </a:xfrm>
                    <a:prstGeom prst="rect">
                      <a:avLst/>
                    </a:prstGeom>
                    <a:noFill/>
                    <a:ln>
                      <a:noFill/>
                    </a:ln>
                  </pic:spPr>
                </pic:pic>
              </a:graphicData>
            </a:graphic>
          </wp:inline>
        </w:drawing>
      </w:r>
    </w:p>
    <w:p w14:paraId="51E5662E" w14:textId="77777777" w:rsidR="00105AB9" w:rsidRPr="00021789" w:rsidRDefault="00105AB9" w:rsidP="00105AB9">
      <w:pPr>
        <w:pStyle w:val="Pro-Inwest"/>
        <w:rPr>
          <w:rFonts w:asciiTheme="minorHAnsi" w:hAnsiTheme="minorHAnsi"/>
          <w:color w:val="FF0000"/>
          <w:sz w:val="16"/>
          <w:szCs w:val="16"/>
        </w:rPr>
      </w:pPr>
    </w:p>
    <w:p w14:paraId="688DD46A" w14:textId="77777777" w:rsidR="00105AB9" w:rsidRPr="00E33361" w:rsidRDefault="00105AB9" w:rsidP="00105AB9">
      <w:pPr>
        <w:pStyle w:val="Pro-Inwest"/>
        <w:jc w:val="center"/>
        <w:rPr>
          <w:rFonts w:asciiTheme="minorHAnsi" w:hAnsiTheme="minorHAnsi"/>
          <w:sz w:val="16"/>
          <w:szCs w:val="16"/>
        </w:rPr>
      </w:pPr>
      <w:r w:rsidRPr="00E33361">
        <w:rPr>
          <w:rFonts w:asciiTheme="minorHAnsi" w:hAnsiTheme="minorHAnsi"/>
          <w:noProof/>
          <w:sz w:val="16"/>
          <w:szCs w:val="16"/>
        </w:rPr>
        <w:drawing>
          <wp:inline distT="0" distB="0" distL="0" distR="0" wp14:anchorId="38C048C3" wp14:editId="43B437AF">
            <wp:extent cx="4226545" cy="3403241"/>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42489" cy="3416079"/>
                    </a:xfrm>
                    <a:prstGeom prst="rect">
                      <a:avLst/>
                    </a:prstGeom>
                    <a:noFill/>
                    <a:ln>
                      <a:noFill/>
                    </a:ln>
                  </pic:spPr>
                </pic:pic>
              </a:graphicData>
            </a:graphic>
          </wp:inline>
        </w:drawing>
      </w:r>
    </w:p>
    <w:p w14:paraId="241AE151" w14:textId="60D935E1"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Mieszanki niezwiązane do warstwy </w:t>
      </w:r>
      <w:proofErr w:type="spellStart"/>
      <w:r w:rsidRPr="00E33361">
        <w:rPr>
          <w:rFonts w:asciiTheme="minorHAnsi" w:hAnsiTheme="minorHAnsi"/>
          <w:sz w:val="16"/>
          <w:szCs w:val="16"/>
        </w:rPr>
        <w:t>mrozoochronnej</w:t>
      </w:r>
      <w:proofErr w:type="spellEnd"/>
      <w:r w:rsidR="00E33361" w:rsidRPr="00E33361">
        <w:rPr>
          <w:rFonts w:asciiTheme="minorHAnsi" w:hAnsiTheme="minorHAnsi"/>
          <w:sz w:val="16"/>
          <w:szCs w:val="16"/>
        </w:rPr>
        <w:t>/ odsączającej</w:t>
      </w:r>
      <w:r w:rsidRPr="00E33361">
        <w:rPr>
          <w:rFonts w:asciiTheme="minorHAnsi" w:hAnsiTheme="minorHAnsi"/>
          <w:sz w:val="16"/>
          <w:szCs w:val="16"/>
        </w:rPr>
        <w:t xml:space="preserve"> powinny spełniać wymagania  krajowe,  przenoszące  zapisy  normy  PN-EN-13285  Mieszanki niezwiązane  Specyfikacje,  które  zostały  określone  w  dokumentach:  WT-4  2010 Wymagania Techniczne, </w:t>
      </w:r>
      <w:proofErr w:type="spellStart"/>
      <w:r w:rsidRPr="00E33361">
        <w:rPr>
          <w:rFonts w:asciiTheme="minorHAnsi" w:hAnsiTheme="minorHAnsi"/>
          <w:sz w:val="16"/>
          <w:szCs w:val="16"/>
        </w:rPr>
        <w:t>KTKNPiP</w:t>
      </w:r>
      <w:proofErr w:type="spellEnd"/>
      <w:r w:rsidRPr="00E33361">
        <w:rPr>
          <w:rFonts w:asciiTheme="minorHAnsi" w:hAnsiTheme="minorHAnsi"/>
          <w:sz w:val="16"/>
          <w:szCs w:val="16"/>
        </w:rPr>
        <w:t xml:space="preserve"> 2014, KTKNSZ 2014.  </w:t>
      </w:r>
    </w:p>
    <w:p w14:paraId="3642AF1A" w14:textId="7699976C"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Zakres  stosowania  mieszanek  niezwiązanych  do  warstwy </w:t>
      </w:r>
      <w:proofErr w:type="spellStart"/>
      <w:r w:rsidRPr="00E33361">
        <w:rPr>
          <w:rFonts w:asciiTheme="minorHAnsi" w:hAnsiTheme="minorHAnsi"/>
          <w:sz w:val="16"/>
          <w:szCs w:val="16"/>
        </w:rPr>
        <w:t>mrozoochronnej</w:t>
      </w:r>
      <w:proofErr w:type="spellEnd"/>
      <w:r w:rsidR="00E33361" w:rsidRPr="00E33361">
        <w:rPr>
          <w:rFonts w:asciiTheme="minorHAnsi" w:hAnsiTheme="minorHAnsi"/>
          <w:sz w:val="16"/>
          <w:szCs w:val="16"/>
        </w:rPr>
        <w:t>/ odsączającej</w:t>
      </w:r>
      <w:r w:rsidRPr="00E33361">
        <w:rPr>
          <w:rFonts w:asciiTheme="minorHAnsi" w:hAnsiTheme="minorHAnsi"/>
          <w:sz w:val="16"/>
          <w:szCs w:val="16"/>
        </w:rPr>
        <w:t xml:space="preserve">  oraz  wymagania  wobec  tych  mieszanek  należy przyjmować zgodnie z tablicą 2.3. </w:t>
      </w:r>
    </w:p>
    <w:p w14:paraId="374447A5" w14:textId="77777777"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 </w:t>
      </w:r>
    </w:p>
    <w:p w14:paraId="517D5E8E" w14:textId="796649D8"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Tablica  2.3.  Podstawowe  wymagania  dotyczące  mieszanek  niezwiązanych  do  warstwy </w:t>
      </w:r>
      <w:proofErr w:type="spellStart"/>
      <w:r w:rsidRPr="00E33361">
        <w:rPr>
          <w:rFonts w:asciiTheme="minorHAnsi" w:hAnsiTheme="minorHAnsi"/>
          <w:sz w:val="16"/>
          <w:szCs w:val="16"/>
        </w:rPr>
        <w:t>mrozoochronnej</w:t>
      </w:r>
      <w:proofErr w:type="spellEnd"/>
      <w:r w:rsidR="00E33361" w:rsidRPr="00E33361">
        <w:rPr>
          <w:rFonts w:asciiTheme="minorHAnsi" w:hAnsiTheme="minorHAnsi"/>
          <w:sz w:val="16"/>
          <w:szCs w:val="16"/>
        </w:rPr>
        <w:t xml:space="preserve">/ odsączającej  </w:t>
      </w:r>
    </w:p>
    <w:p w14:paraId="51A150B7" w14:textId="77777777" w:rsidR="00105AB9" w:rsidRPr="00021789" w:rsidRDefault="00105AB9" w:rsidP="00105AB9">
      <w:pPr>
        <w:pStyle w:val="Pro-Inwest"/>
        <w:jc w:val="center"/>
        <w:rPr>
          <w:rFonts w:asciiTheme="minorHAnsi" w:hAnsiTheme="minorHAnsi"/>
          <w:color w:val="FF0000"/>
          <w:sz w:val="16"/>
          <w:szCs w:val="16"/>
        </w:rPr>
      </w:pPr>
      <w:r w:rsidRPr="00021789">
        <w:rPr>
          <w:rFonts w:asciiTheme="minorHAnsi" w:hAnsiTheme="minorHAnsi"/>
          <w:noProof/>
          <w:color w:val="FF0000"/>
          <w:sz w:val="16"/>
          <w:szCs w:val="16"/>
        </w:rPr>
        <w:drawing>
          <wp:inline distT="0" distB="0" distL="0" distR="0" wp14:anchorId="73C8FC0E" wp14:editId="007A89DE">
            <wp:extent cx="5340815" cy="1372022"/>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61133" cy="1377242"/>
                    </a:xfrm>
                    <a:prstGeom prst="rect">
                      <a:avLst/>
                    </a:prstGeom>
                    <a:noFill/>
                    <a:ln>
                      <a:noFill/>
                    </a:ln>
                  </pic:spPr>
                </pic:pic>
              </a:graphicData>
            </a:graphic>
          </wp:inline>
        </w:drawing>
      </w:r>
    </w:p>
    <w:p w14:paraId="34A2623C" w14:textId="77777777" w:rsidR="00105AB9" w:rsidRPr="00021789" w:rsidRDefault="00105AB9" w:rsidP="00105AB9">
      <w:pPr>
        <w:pStyle w:val="Pro-Inwest"/>
        <w:jc w:val="center"/>
        <w:rPr>
          <w:rFonts w:asciiTheme="minorHAnsi" w:hAnsiTheme="minorHAnsi"/>
          <w:color w:val="FF0000"/>
          <w:sz w:val="16"/>
          <w:szCs w:val="16"/>
        </w:rPr>
      </w:pPr>
      <w:r w:rsidRPr="00021789">
        <w:rPr>
          <w:rFonts w:asciiTheme="minorHAnsi" w:hAnsiTheme="minorHAnsi"/>
          <w:noProof/>
          <w:color w:val="FF0000"/>
          <w:sz w:val="16"/>
          <w:szCs w:val="16"/>
        </w:rPr>
        <w:drawing>
          <wp:inline distT="0" distB="0" distL="0" distR="0" wp14:anchorId="7807C8F6" wp14:editId="5DB571DD">
            <wp:extent cx="5373792" cy="3050247"/>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82646" cy="3055273"/>
                    </a:xfrm>
                    <a:prstGeom prst="rect">
                      <a:avLst/>
                    </a:prstGeom>
                    <a:noFill/>
                    <a:ln>
                      <a:noFill/>
                    </a:ln>
                  </pic:spPr>
                </pic:pic>
              </a:graphicData>
            </a:graphic>
          </wp:inline>
        </w:drawing>
      </w:r>
    </w:p>
    <w:p w14:paraId="549F64E6"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lastRenderedPageBreak/>
        <w:t xml:space="preserve">Ustalenie  współczynnika  filtracji  na  podstawie  uziarnienia,  celem  potwierdzenia stałości  produkcji  mieszanki,  należy  wykonać  przy  każdym  badaniu  uziarnienia zgodnie  z  częstotliwością  podaną  w  Tablicy  6.8.  Dopuszcza  się  za  zgodą Inżyniera/Zamawiającego alternatywne metody określania współczynnika filtracji z zastosowaniem wzorów empirycznych.  </w:t>
      </w:r>
    </w:p>
    <w:p w14:paraId="01EEA1E0" w14:textId="77777777" w:rsidR="00105AB9" w:rsidRPr="00E33361" w:rsidRDefault="00105AB9" w:rsidP="00105AB9">
      <w:pPr>
        <w:pStyle w:val="Pro-Inwest"/>
        <w:jc w:val="both"/>
        <w:rPr>
          <w:rFonts w:asciiTheme="minorHAnsi" w:hAnsiTheme="minorHAnsi"/>
          <w:sz w:val="16"/>
          <w:szCs w:val="16"/>
        </w:rPr>
      </w:pPr>
    </w:p>
    <w:p w14:paraId="3AC4CB7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2.2.2  Mieszanki związane spoiwami hydraulicznymi </w:t>
      </w:r>
    </w:p>
    <w:p w14:paraId="2ABD895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Mieszanki związane spoiwami hydraulicznymi do warstwy </w:t>
      </w:r>
      <w:proofErr w:type="spellStart"/>
      <w:r w:rsidRPr="00E33361">
        <w:rPr>
          <w:rFonts w:asciiTheme="minorHAnsi" w:hAnsiTheme="minorHAnsi"/>
          <w:sz w:val="16"/>
          <w:szCs w:val="16"/>
        </w:rPr>
        <w:t>mrozoochronnej</w:t>
      </w:r>
      <w:proofErr w:type="spellEnd"/>
      <w:r w:rsidRPr="00E33361">
        <w:rPr>
          <w:rFonts w:asciiTheme="minorHAnsi" w:hAnsiTheme="minorHAnsi"/>
          <w:sz w:val="16"/>
          <w:szCs w:val="16"/>
        </w:rPr>
        <w:t xml:space="preserve"> powinny spełniać wymagania krajowe, przenoszące zapisy norm z zakresu od PN-EN 14227-1  do  PN-EN  14227-5,  które  zostały  określone  w  dokumentach:  WT-5  2010 Wymagania Techniczne, </w:t>
      </w:r>
      <w:proofErr w:type="spellStart"/>
      <w:r w:rsidRPr="00E33361">
        <w:rPr>
          <w:rFonts w:asciiTheme="minorHAnsi" w:hAnsiTheme="minorHAnsi"/>
          <w:sz w:val="16"/>
          <w:szCs w:val="16"/>
        </w:rPr>
        <w:t>KTKNPiP</w:t>
      </w:r>
      <w:proofErr w:type="spellEnd"/>
      <w:r w:rsidRPr="00E33361">
        <w:rPr>
          <w:rFonts w:asciiTheme="minorHAnsi" w:hAnsiTheme="minorHAnsi"/>
          <w:sz w:val="16"/>
          <w:szCs w:val="16"/>
        </w:rPr>
        <w:t xml:space="preserve"> 2014, KTKNS 2014. </w:t>
      </w:r>
    </w:p>
    <w:p w14:paraId="4449BC0C"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Do  wykonania  warstwy  </w:t>
      </w:r>
      <w:proofErr w:type="spellStart"/>
      <w:r w:rsidRPr="00E33361">
        <w:rPr>
          <w:rFonts w:asciiTheme="minorHAnsi" w:hAnsiTheme="minorHAnsi"/>
          <w:sz w:val="16"/>
          <w:szCs w:val="16"/>
        </w:rPr>
        <w:t>mrozoochronnej</w:t>
      </w:r>
      <w:proofErr w:type="spellEnd"/>
      <w:r w:rsidRPr="00E33361">
        <w:rPr>
          <w:rFonts w:asciiTheme="minorHAnsi" w:hAnsiTheme="minorHAnsi"/>
          <w:sz w:val="16"/>
          <w:szCs w:val="16"/>
        </w:rPr>
        <w:t xml:space="preserve">  z mieszanek  związanych  spoiwami hydraulicznymi jako spoiwo można stosować: </w:t>
      </w:r>
    </w:p>
    <w:p w14:paraId="5BBFE71C"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cement wg PN-EN 197-1, </w:t>
      </w:r>
    </w:p>
    <w:p w14:paraId="6C11F356"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żużel wielkopiecowy wg PN-EN 15167-1, </w:t>
      </w:r>
    </w:p>
    <w:p w14:paraId="07B1261A"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popioły lotne wg PN-EN 14227-4, </w:t>
      </w:r>
    </w:p>
    <w:p w14:paraId="320F70AA"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spoiwa drogowe wg PN-EN 13282-1 lub aprobaty technicznej. </w:t>
      </w:r>
    </w:p>
    <w:p w14:paraId="1561EC9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 </w:t>
      </w:r>
    </w:p>
    <w:p w14:paraId="68BE5DF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Zakres  stosowania  mieszanek  związanych  spoiwami  hydraulicznymi  do  warstwy </w:t>
      </w:r>
      <w:proofErr w:type="spellStart"/>
      <w:r w:rsidRPr="00E33361">
        <w:rPr>
          <w:rFonts w:asciiTheme="minorHAnsi" w:hAnsiTheme="minorHAnsi"/>
          <w:sz w:val="16"/>
          <w:szCs w:val="16"/>
        </w:rPr>
        <w:t>mrozoochronnej</w:t>
      </w:r>
      <w:proofErr w:type="spellEnd"/>
      <w:r w:rsidRPr="00E33361">
        <w:rPr>
          <w:rFonts w:asciiTheme="minorHAnsi" w:hAnsiTheme="minorHAnsi"/>
          <w:sz w:val="16"/>
          <w:szCs w:val="16"/>
        </w:rPr>
        <w:t xml:space="preserve">  oraz  wymagania  podstawowe  wobec  tych  mieszanek  należy przyjmować zgodnie z tablicą 2.4. </w:t>
      </w:r>
    </w:p>
    <w:p w14:paraId="6A27589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 </w:t>
      </w:r>
    </w:p>
    <w:p w14:paraId="027DA758"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Tablica 2.4. Zakres stosowania i podstawowe wymagania wobec mieszanek związanych spoiwami hydraulicznymi do warstwy </w:t>
      </w:r>
      <w:proofErr w:type="spellStart"/>
      <w:r w:rsidRPr="00E33361">
        <w:rPr>
          <w:rFonts w:asciiTheme="minorHAnsi" w:hAnsiTheme="minorHAnsi"/>
          <w:sz w:val="16"/>
          <w:szCs w:val="16"/>
        </w:rPr>
        <w:t>mrozoochronnej</w:t>
      </w:r>
      <w:proofErr w:type="spellEnd"/>
      <w:r w:rsidRPr="00E33361">
        <w:rPr>
          <w:rFonts w:asciiTheme="minorHAnsi" w:hAnsiTheme="minorHAnsi"/>
          <w:sz w:val="16"/>
          <w:szCs w:val="16"/>
        </w:rPr>
        <w:t xml:space="preserve"> </w:t>
      </w:r>
    </w:p>
    <w:p w14:paraId="29898754" w14:textId="77777777" w:rsidR="00105AB9" w:rsidRPr="00021789" w:rsidRDefault="00105AB9" w:rsidP="00105AB9">
      <w:pPr>
        <w:pStyle w:val="Pro-Inwest"/>
        <w:rPr>
          <w:rFonts w:asciiTheme="minorHAnsi" w:hAnsiTheme="minorHAnsi"/>
          <w:color w:val="FF0000"/>
          <w:sz w:val="16"/>
          <w:szCs w:val="16"/>
        </w:rPr>
      </w:pPr>
    </w:p>
    <w:p w14:paraId="1C196960" w14:textId="77777777" w:rsidR="00105AB9" w:rsidRPr="00021789" w:rsidRDefault="00105AB9" w:rsidP="00105AB9">
      <w:pPr>
        <w:pStyle w:val="Pro-Inwest"/>
        <w:jc w:val="center"/>
        <w:rPr>
          <w:rFonts w:asciiTheme="minorHAnsi" w:hAnsiTheme="minorHAnsi"/>
          <w:color w:val="FF0000"/>
          <w:sz w:val="16"/>
          <w:szCs w:val="16"/>
        </w:rPr>
      </w:pPr>
      <w:r w:rsidRPr="00021789">
        <w:rPr>
          <w:rFonts w:asciiTheme="minorHAnsi" w:hAnsiTheme="minorHAnsi"/>
          <w:noProof/>
          <w:color w:val="FF0000"/>
          <w:sz w:val="16"/>
          <w:szCs w:val="16"/>
        </w:rPr>
        <w:drawing>
          <wp:inline distT="0" distB="0" distL="0" distR="0" wp14:anchorId="14DE1144" wp14:editId="26491959">
            <wp:extent cx="5041099" cy="1747648"/>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45272" cy="1749095"/>
                    </a:xfrm>
                    <a:prstGeom prst="rect">
                      <a:avLst/>
                    </a:prstGeom>
                    <a:noFill/>
                    <a:ln>
                      <a:noFill/>
                    </a:ln>
                  </pic:spPr>
                </pic:pic>
              </a:graphicData>
            </a:graphic>
          </wp:inline>
        </w:drawing>
      </w:r>
    </w:p>
    <w:p w14:paraId="15EC59C6" w14:textId="77777777"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2.2.3  Grunty stabilizowane spoiwami hydraulicznymi lub wapnem </w:t>
      </w:r>
    </w:p>
    <w:p w14:paraId="273CC8DD" w14:textId="77777777"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2.2.4  Grunty  stabilizowane  spoiwami  hydraulicznymi  lub  wapnem  do  warstwy </w:t>
      </w:r>
      <w:proofErr w:type="spellStart"/>
      <w:r w:rsidRPr="00E33361">
        <w:rPr>
          <w:rFonts w:asciiTheme="minorHAnsi" w:hAnsiTheme="minorHAnsi"/>
          <w:sz w:val="16"/>
          <w:szCs w:val="16"/>
        </w:rPr>
        <w:t>mrozoochronnej</w:t>
      </w:r>
      <w:proofErr w:type="spellEnd"/>
      <w:r w:rsidRPr="00E33361">
        <w:rPr>
          <w:rFonts w:asciiTheme="minorHAnsi" w:hAnsiTheme="minorHAnsi"/>
          <w:sz w:val="16"/>
          <w:szCs w:val="16"/>
        </w:rPr>
        <w:t xml:space="preserve"> powinny spełniać wymagania krajowe, przenoszące zapisy norm w zakresie  od  PN-EN  14227-15,  które  zostały  określone  w  dokumentach:  </w:t>
      </w:r>
      <w:proofErr w:type="spellStart"/>
      <w:r w:rsidRPr="00E33361">
        <w:rPr>
          <w:rFonts w:asciiTheme="minorHAnsi" w:hAnsiTheme="minorHAnsi"/>
          <w:sz w:val="16"/>
          <w:szCs w:val="16"/>
        </w:rPr>
        <w:t>KTKNPiP</w:t>
      </w:r>
      <w:proofErr w:type="spellEnd"/>
      <w:r w:rsidRPr="00E33361">
        <w:rPr>
          <w:rFonts w:asciiTheme="minorHAnsi" w:hAnsiTheme="minorHAnsi"/>
          <w:sz w:val="16"/>
          <w:szCs w:val="16"/>
        </w:rPr>
        <w:t xml:space="preserve"> 2014 i KTKNS 2014.  </w:t>
      </w:r>
    </w:p>
    <w:p w14:paraId="61F28825" w14:textId="179CDC78"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Do wykonania warstwy </w:t>
      </w:r>
      <w:proofErr w:type="spellStart"/>
      <w:r w:rsidRPr="00E33361">
        <w:rPr>
          <w:rFonts w:asciiTheme="minorHAnsi" w:hAnsiTheme="minorHAnsi"/>
          <w:sz w:val="16"/>
          <w:szCs w:val="16"/>
        </w:rPr>
        <w:t>mrozoochronnej</w:t>
      </w:r>
      <w:proofErr w:type="spellEnd"/>
      <w:r w:rsidR="00E33361" w:rsidRPr="00E33361">
        <w:rPr>
          <w:rFonts w:asciiTheme="minorHAnsi" w:hAnsiTheme="minorHAnsi"/>
          <w:sz w:val="16"/>
          <w:szCs w:val="16"/>
        </w:rPr>
        <w:t xml:space="preserve">  </w:t>
      </w:r>
      <w:r w:rsidRPr="00E33361">
        <w:rPr>
          <w:rFonts w:asciiTheme="minorHAnsi" w:hAnsiTheme="minorHAnsi"/>
          <w:sz w:val="16"/>
          <w:szCs w:val="16"/>
        </w:rPr>
        <w:t xml:space="preserve"> z gruntów stabilizowanych można stosować spoiwa hydrauliczne lub wapno.  </w:t>
      </w:r>
    </w:p>
    <w:p w14:paraId="305DE6AF" w14:textId="77777777"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 </w:t>
      </w:r>
    </w:p>
    <w:p w14:paraId="1D6788FD" w14:textId="77777777"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Zakres stosowania gruntów stabilizowanych spoiwami hydraulicznymi lub wapnem do  warstwy  </w:t>
      </w:r>
      <w:proofErr w:type="spellStart"/>
      <w:r w:rsidRPr="00E33361">
        <w:rPr>
          <w:rFonts w:asciiTheme="minorHAnsi" w:hAnsiTheme="minorHAnsi"/>
          <w:sz w:val="16"/>
          <w:szCs w:val="16"/>
        </w:rPr>
        <w:t>mrozoochronnej</w:t>
      </w:r>
      <w:proofErr w:type="spellEnd"/>
      <w:r w:rsidRPr="00E33361">
        <w:rPr>
          <w:rFonts w:asciiTheme="minorHAnsi" w:hAnsiTheme="minorHAnsi"/>
          <w:sz w:val="16"/>
          <w:szCs w:val="16"/>
        </w:rPr>
        <w:t xml:space="preserve">  oraz  podstawowe  wymagania  wobec  tych  gruntów należy przyjmować zgodnie z tablicą 2.5. </w:t>
      </w:r>
    </w:p>
    <w:p w14:paraId="27FF1B57" w14:textId="77777777"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 </w:t>
      </w:r>
    </w:p>
    <w:p w14:paraId="00C8B2C0" w14:textId="23721455"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Tablica  2.5.  Zakres  stosowania  i  podstawowe  wymagania  dotyczące  gruntów  stabilizowanych spoiwami hydraulicznymi lub wapnem do warstwy </w:t>
      </w:r>
      <w:proofErr w:type="spellStart"/>
      <w:r w:rsidRPr="00E33361">
        <w:rPr>
          <w:rFonts w:asciiTheme="minorHAnsi" w:hAnsiTheme="minorHAnsi"/>
          <w:sz w:val="16"/>
          <w:szCs w:val="16"/>
        </w:rPr>
        <w:t>mrozoochronnej</w:t>
      </w:r>
      <w:proofErr w:type="spellEnd"/>
    </w:p>
    <w:p w14:paraId="2E7E1092" w14:textId="77777777" w:rsidR="00105AB9" w:rsidRPr="00021789" w:rsidRDefault="00105AB9" w:rsidP="00105AB9">
      <w:pPr>
        <w:pStyle w:val="Pro-Inwest"/>
        <w:jc w:val="center"/>
        <w:rPr>
          <w:rFonts w:asciiTheme="minorHAnsi" w:hAnsiTheme="minorHAnsi"/>
          <w:color w:val="FF0000"/>
          <w:sz w:val="16"/>
          <w:szCs w:val="16"/>
        </w:rPr>
      </w:pPr>
      <w:r w:rsidRPr="00021789">
        <w:rPr>
          <w:rFonts w:asciiTheme="minorHAnsi" w:hAnsiTheme="minorHAnsi"/>
          <w:noProof/>
          <w:color w:val="FF0000"/>
          <w:sz w:val="16"/>
          <w:szCs w:val="16"/>
        </w:rPr>
        <w:drawing>
          <wp:inline distT="0" distB="0" distL="0" distR="0" wp14:anchorId="5D5E3549" wp14:editId="022F1614">
            <wp:extent cx="5128757" cy="1643397"/>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45031" cy="1648612"/>
                    </a:xfrm>
                    <a:prstGeom prst="rect">
                      <a:avLst/>
                    </a:prstGeom>
                    <a:noFill/>
                    <a:ln>
                      <a:noFill/>
                    </a:ln>
                  </pic:spPr>
                </pic:pic>
              </a:graphicData>
            </a:graphic>
          </wp:inline>
        </w:drawing>
      </w:r>
    </w:p>
    <w:p w14:paraId="354E79F2" w14:textId="77777777" w:rsidR="00105AB9" w:rsidRPr="00021789" w:rsidRDefault="00105AB9" w:rsidP="00105AB9">
      <w:pPr>
        <w:pStyle w:val="Pro-Inwest"/>
        <w:rPr>
          <w:rFonts w:asciiTheme="minorHAnsi" w:hAnsiTheme="minorHAnsi"/>
          <w:color w:val="FF0000"/>
          <w:sz w:val="16"/>
          <w:szCs w:val="16"/>
        </w:rPr>
      </w:pPr>
    </w:p>
    <w:p w14:paraId="1EA91424" w14:textId="77777777" w:rsidR="00105AB9" w:rsidRPr="00021789" w:rsidRDefault="00105AB9" w:rsidP="00105AB9">
      <w:pPr>
        <w:pStyle w:val="Pro-Inwest"/>
        <w:rPr>
          <w:rFonts w:asciiTheme="minorHAnsi" w:hAnsiTheme="minorHAnsi"/>
          <w:color w:val="FF0000"/>
          <w:sz w:val="16"/>
          <w:szCs w:val="16"/>
        </w:rPr>
      </w:pPr>
    </w:p>
    <w:p w14:paraId="57767564" w14:textId="77777777" w:rsidR="00105AB9" w:rsidRPr="00021789" w:rsidRDefault="00105AB9" w:rsidP="00105AB9">
      <w:pPr>
        <w:pStyle w:val="Pro-Inwest"/>
        <w:rPr>
          <w:rFonts w:asciiTheme="minorHAnsi" w:hAnsiTheme="minorHAnsi"/>
          <w:color w:val="FF0000"/>
          <w:sz w:val="16"/>
          <w:szCs w:val="16"/>
        </w:rPr>
      </w:pPr>
    </w:p>
    <w:p w14:paraId="76826A62" w14:textId="77777777" w:rsidR="00105AB9" w:rsidRPr="00021789" w:rsidRDefault="00105AB9" w:rsidP="00105AB9">
      <w:pPr>
        <w:pStyle w:val="Pro-Inwest"/>
        <w:rPr>
          <w:rFonts w:asciiTheme="minorHAnsi" w:hAnsiTheme="minorHAnsi"/>
          <w:color w:val="FF0000"/>
          <w:sz w:val="16"/>
          <w:szCs w:val="16"/>
        </w:rPr>
      </w:pPr>
    </w:p>
    <w:p w14:paraId="04382D16" w14:textId="77777777" w:rsidR="00105AB9" w:rsidRPr="00021789" w:rsidRDefault="00105AB9" w:rsidP="00105AB9">
      <w:pPr>
        <w:pStyle w:val="Pro-Inwest"/>
        <w:rPr>
          <w:rFonts w:asciiTheme="minorHAnsi" w:hAnsiTheme="minorHAnsi"/>
          <w:color w:val="FF0000"/>
          <w:sz w:val="16"/>
          <w:szCs w:val="16"/>
        </w:rPr>
      </w:pPr>
    </w:p>
    <w:p w14:paraId="7A2665A7" w14:textId="77777777" w:rsidR="00105AB9" w:rsidRPr="00021789" w:rsidRDefault="00105AB9" w:rsidP="00105AB9">
      <w:pPr>
        <w:pStyle w:val="Pro-Inwest"/>
        <w:rPr>
          <w:rFonts w:asciiTheme="minorHAnsi" w:hAnsiTheme="minorHAnsi"/>
          <w:color w:val="FF0000"/>
          <w:sz w:val="16"/>
          <w:szCs w:val="16"/>
        </w:rPr>
      </w:pPr>
    </w:p>
    <w:p w14:paraId="2E16AE81" w14:textId="77777777" w:rsidR="00105AB9" w:rsidRPr="00021789" w:rsidRDefault="00105AB9" w:rsidP="00105AB9">
      <w:pPr>
        <w:pStyle w:val="Pro-Inwest"/>
        <w:rPr>
          <w:rFonts w:asciiTheme="minorHAnsi" w:hAnsiTheme="minorHAnsi"/>
          <w:color w:val="FF0000"/>
          <w:sz w:val="16"/>
          <w:szCs w:val="16"/>
        </w:rPr>
      </w:pPr>
    </w:p>
    <w:p w14:paraId="37316800" w14:textId="77777777" w:rsidR="00105AB9" w:rsidRPr="00021789" w:rsidRDefault="00105AB9" w:rsidP="00105AB9">
      <w:pPr>
        <w:pStyle w:val="Pro-Inwest"/>
        <w:rPr>
          <w:rFonts w:asciiTheme="minorHAnsi" w:hAnsiTheme="minorHAnsi"/>
          <w:color w:val="FF0000"/>
          <w:sz w:val="16"/>
          <w:szCs w:val="16"/>
        </w:rPr>
      </w:pPr>
    </w:p>
    <w:p w14:paraId="7D6F995E" w14:textId="77777777" w:rsidR="00105AB9" w:rsidRPr="00021789" w:rsidRDefault="00105AB9" w:rsidP="00105AB9">
      <w:pPr>
        <w:pStyle w:val="Pro-Inwest"/>
        <w:rPr>
          <w:rFonts w:asciiTheme="minorHAnsi" w:hAnsiTheme="minorHAnsi"/>
          <w:color w:val="FF0000"/>
          <w:sz w:val="16"/>
          <w:szCs w:val="16"/>
        </w:rPr>
      </w:pPr>
    </w:p>
    <w:p w14:paraId="3016BC4F" w14:textId="77777777" w:rsidR="00E33361" w:rsidRPr="00E33361" w:rsidRDefault="00E33361" w:rsidP="00E33361">
      <w:pPr>
        <w:pStyle w:val="Pro-Inwest"/>
        <w:jc w:val="both"/>
        <w:rPr>
          <w:rFonts w:asciiTheme="minorHAnsi" w:hAnsiTheme="minorHAnsi"/>
          <w:sz w:val="16"/>
          <w:szCs w:val="16"/>
        </w:rPr>
      </w:pPr>
      <w:r w:rsidRPr="00E33361">
        <w:rPr>
          <w:rFonts w:asciiTheme="minorHAnsi" w:hAnsiTheme="minorHAnsi"/>
          <w:sz w:val="16"/>
          <w:szCs w:val="16"/>
        </w:rPr>
        <w:lastRenderedPageBreak/>
        <w:t xml:space="preserve">2.2.5 Grunty </w:t>
      </w:r>
      <w:proofErr w:type="spellStart"/>
      <w:r w:rsidRPr="00E33361">
        <w:rPr>
          <w:rFonts w:asciiTheme="minorHAnsi" w:hAnsiTheme="minorHAnsi"/>
          <w:sz w:val="16"/>
          <w:szCs w:val="16"/>
        </w:rPr>
        <w:t>niewysadzinowe</w:t>
      </w:r>
      <w:proofErr w:type="spellEnd"/>
      <w:r w:rsidRPr="00E33361">
        <w:rPr>
          <w:rFonts w:asciiTheme="minorHAnsi" w:hAnsiTheme="minorHAnsi"/>
          <w:sz w:val="16"/>
          <w:szCs w:val="16"/>
        </w:rPr>
        <w:t xml:space="preserve"> </w:t>
      </w:r>
    </w:p>
    <w:p w14:paraId="7343029B" w14:textId="77777777" w:rsidR="00E33361" w:rsidRPr="00E33361" w:rsidRDefault="00E33361" w:rsidP="00E33361">
      <w:pPr>
        <w:pStyle w:val="Pro-Inwest"/>
        <w:jc w:val="both"/>
        <w:rPr>
          <w:rFonts w:asciiTheme="minorHAnsi" w:hAnsiTheme="minorHAnsi"/>
          <w:sz w:val="16"/>
          <w:szCs w:val="16"/>
        </w:rPr>
      </w:pPr>
      <w:r w:rsidRPr="00E33361">
        <w:rPr>
          <w:rFonts w:asciiTheme="minorHAnsi" w:hAnsiTheme="minorHAnsi"/>
          <w:sz w:val="16"/>
          <w:szCs w:val="16"/>
        </w:rPr>
        <w:t xml:space="preserve">Gruntami </w:t>
      </w:r>
      <w:proofErr w:type="spellStart"/>
      <w:r w:rsidRPr="00E33361">
        <w:rPr>
          <w:rFonts w:asciiTheme="minorHAnsi" w:hAnsiTheme="minorHAnsi"/>
          <w:sz w:val="16"/>
          <w:szCs w:val="16"/>
        </w:rPr>
        <w:t>niewysadzinowymi</w:t>
      </w:r>
      <w:proofErr w:type="spellEnd"/>
      <w:r w:rsidRPr="00E33361">
        <w:rPr>
          <w:rFonts w:asciiTheme="minorHAnsi" w:hAnsiTheme="minorHAnsi"/>
          <w:sz w:val="16"/>
          <w:szCs w:val="16"/>
        </w:rPr>
        <w:t xml:space="preserve"> do warstwy </w:t>
      </w:r>
      <w:proofErr w:type="spellStart"/>
      <w:r w:rsidRPr="00E33361">
        <w:rPr>
          <w:rFonts w:asciiTheme="minorHAnsi" w:hAnsiTheme="minorHAnsi"/>
          <w:sz w:val="16"/>
          <w:szCs w:val="16"/>
        </w:rPr>
        <w:t>mrozoochronnej</w:t>
      </w:r>
      <w:proofErr w:type="spellEnd"/>
      <w:r w:rsidRPr="00E33361">
        <w:rPr>
          <w:rFonts w:asciiTheme="minorHAnsi" w:hAnsiTheme="minorHAnsi"/>
          <w:sz w:val="16"/>
          <w:szCs w:val="16"/>
        </w:rPr>
        <w:t xml:space="preserve">/odsączającej mogą być grunty naturalne lub antropogeniczne, z wyjątkiem piasku drobnego, spełniające wymagania podane w tablicy 2.6. </w:t>
      </w:r>
    </w:p>
    <w:p w14:paraId="53B432D6" w14:textId="6CC7E154" w:rsidR="00E33361" w:rsidRDefault="00E33361" w:rsidP="00E33361">
      <w:pPr>
        <w:pStyle w:val="Pro-Inwest"/>
        <w:jc w:val="both"/>
        <w:rPr>
          <w:rFonts w:asciiTheme="minorHAnsi" w:hAnsiTheme="minorHAnsi"/>
          <w:sz w:val="16"/>
          <w:szCs w:val="16"/>
        </w:rPr>
      </w:pPr>
      <w:r w:rsidRPr="00E33361">
        <w:rPr>
          <w:rFonts w:asciiTheme="minorHAnsi" w:hAnsiTheme="minorHAnsi"/>
          <w:sz w:val="16"/>
          <w:szCs w:val="16"/>
        </w:rPr>
        <w:t>W przypadku gruntów antropogenicznych należy zwrócić szczególną uwagę na ich jednorodność.</w:t>
      </w:r>
    </w:p>
    <w:p w14:paraId="198EECB7" w14:textId="77777777" w:rsidR="00E33361" w:rsidRDefault="00E33361" w:rsidP="00105AB9">
      <w:pPr>
        <w:pStyle w:val="Pro-Inwest"/>
        <w:jc w:val="both"/>
        <w:rPr>
          <w:rFonts w:asciiTheme="minorHAnsi" w:hAnsiTheme="minorHAnsi"/>
          <w:sz w:val="16"/>
          <w:szCs w:val="16"/>
        </w:rPr>
      </w:pPr>
    </w:p>
    <w:p w14:paraId="3D5BB564" w14:textId="08CF7382"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Tablica  2.6.  Zakres  stosowania  i  podstawowe  wymagania  dotyczące  gruntów </w:t>
      </w:r>
      <w:proofErr w:type="spellStart"/>
      <w:r w:rsidRPr="00E33361">
        <w:rPr>
          <w:rFonts w:asciiTheme="minorHAnsi" w:hAnsiTheme="minorHAnsi"/>
          <w:sz w:val="16"/>
          <w:szCs w:val="16"/>
        </w:rPr>
        <w:t>niewysadzinowych</w:t>
      </w:r>
      <w:proofErr w:type="spellEnd"/>
      <w:r w:rsidRPr="00E33361">
        <w:rPr>
          <w:rFonts w:asciiTheme="minorHAnsi" w:hAnsiTheme="minorHAnsi"/>
          <w:sz w:val="16"/>
          <w:szCs w:val="16"/>
        </w:rPr>
        <w:t xml:space="preserve"> do warstwy </w:t>
      </w:r>
      <w:proofErr w:type="spellStart"/>
      <w:r w:rsidRPr="00E33361">
        <w:rPr>
          <w:rFonts w:asciiTheme="minorHAnsi" w:hAnsiTheme="minorHAnsi"/>
          <w:sz w:val="16"/>
          <w:szCs w:val="16"/>
        </w:rPr>
        <w:t>mrozoochronnej</w:t>
      </w:r>
      <w:proofErr w:type="spellEnd"/>
      <w:r w:rsidR="00E33361" w:rsidRPr="00E33361">
        <w:rPr>
          <w:rFonts w:asciiTheme="minorHAnsi" w:hAnsiTheme="minorHAnsi"/>
          <w:sz w:val="16"/>
          <w:szCs w:val="16"/>
        </w:rPr>
        <w:t xml:space="preserve">/ odsączającej  </w:t>
      </w:r>
    </w:p>
    <w:p w14:paraId="024A9C1E" w14:textId="77777777" w:rsidR="00105AB9" w:rsidRPr="00021789" w:rsidRDefault="00105AB9" w:rsidP="00105AB9">
      <w:pPr>
        <w:pStyle w:val="Pro-Inwest"/>
        <w:rPr>
          <w:rFonts w:asciiTheme="minorHAnsi" w:hAnsiTheme="minorHAnsi"/>
          <w:color w:val="FF0000"/>
          <w:sz w:val="16"/>
          <w:szCs w:val="16"/>
        </w:rPr>
      </w:pPr>
    </w:p>
    <w:p w14:paraId="0353D5C3" w14:textId="77777777" w:rsidR="00105AB9" w:rsidRPr="00021789" w:rsidRDefault="00105AB9" w:rsidP="00105AB9">
      <w:pPr>
        <w:pStyle w:val="Pro-Inwest"/>
        <w:jc w:val="center"/>
        <w:rPr>
          <w:rFonts w:asciiTheme="minorHAnsi" w:hAnsiTheme="minorHAnsi"/>
          <w:color w:val="FF0000"/>
          <w:sz w:val="16"/>
          <w:szCs w:val="16"/>
        </w:rPr>
      </w:pPr>
      <w:r w:rsidRPr="00021789">
        <w:rPr>
          <w:rFonts w:asciiTheme="minorHAnsi" w:hAnsiTheme="minorHAnsi"/>
          <w:noProof/>
          <w:color w:val="FF0000"/>
          <w:sz w:val="16"/>
          <w:szCs w:val="16"/>
        </w:rPr>
        <w:drawing>
          <wp:inline distT="0" distB="0" distL="0" distR="0" wp14:anchorId="636EA799" wp14:editId="27208A7A">
            <wp:extent cx="5248026" cy="3029800"/>
            <wp:effectExtent l="0" t="0" r="0" b="0"/>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51808" cy="3031984"/>
                    </a:xfrm>
                    <a:prstGeom prst="rect">
                      <a:avLst/>
                    </a:prstGeom>
                    <a:noFill/>
                    <a:ln>
                      <a:noFill/>
                    </a:ln>
                  </pic:spPr>
                </pic:pic>
              </a:graphicData>
            </a:graphic>
          </wp:inline>
        </w:drawing>
      </w:r>
    </w:p>
    <w:p w14:paraId="423C496C"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Ustalenie  współczynnika  filtracji  na  podstawie  uziarnienia,  celem  potwierdzenia stałości  produkcji  mieszanki,  należy  wykonać</w:t>
      </w:r>
      <w:r w:rsidRPr="00E33361">
        <w:rPr>
          <w:rFonts w:asciiTheme="minorHAnsi" w:hAnsiTheme="minorHAnsi"/>
          <w:sz w:val="16"/>
          <w:szCs w:val="16"/>
        </w:rPr>
        <w:br/>
        <w:t xml:space="preserve">przy  każdym  badaniu  uziarnienia zgodnie  z  częstotliwością  podaną  w  Tablicy  6.8.  Dopuszcza  się  za  zgodą Inżyniera/Zamawiającego alternatywne metody określania współczynnika filtracji z zastosowaniem wzorów empirycznych. </w:t>
      </w:r>
    </w:p>
    <w:p w14:paraId="1DD98BD3" w14:textId="77777777" w:rsidR="00105AB9" w:rsidRPr="00E33361" w:rsidRDefault="00105AB9" w:rsidP="00105AB9">
      <w:pPr>
        <w:pStyle w:val="Pro-Inwest"/>
        <w:rPr>
          <w:rFonts w:asciiTheme="minorHAnsi" w:hAnsiTheme="minorHAnsi"/>
          <w:sz w:val="16"/>
          <w:szCs w:val="16"/>
        </w:rPr>
      </w:pPr>
    </w:p>
    <w:p w14:paraId="3DD5D67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2.2.6  Materiały pochodzące z recyklingu nawierzchni betonowych Kruszywo  z  recyklingu  nawierzchni  betonowych  stosowane</w:t>
      </w:r>
      <w:r w:rsidRPr="00E33361">
        <w:rPr>
          <w:rFonts w:asciiTheme="minorHAnsi" w:hAnsiTheme="minorHAnsi"/>
          <w:sz w:val="16"/>
          <w:szCs w:val="16"/>
        </w:rPr>
        <w:br/>
        <w:t xml:space="preserve">może  być  w mieszankach  z  kruszywem  naturalnym,  lub  samodzielnie.  Do  warstwy </w:t>
      </w:r>
      <w:proofErr w:type="spellStart"/>
      <w:r w:rsidRPr="00E33361">
        <w:rPr>
          <w:rFonts w:asciiTheme="minorHAnsi" w:hAnsiTheme="minorHAnsi"/>
          <w:sz w:val="16"/>
          <w:szCs w:val="16"/>
        </w:rPr>
        <w:t>mrozoochronnej</w:t>
      </w:r>
      <w:proofErr w:type="spellEnd"/>
      <w:r w:rsidRPr="00E33361">
        <w:rPr>
          <w:rFonts w:asciiTheme="minorHAnsi" w:hAnsiTheme="minorHAnsi"/>
          <w:sz w:val="16"/>
          <w:szCs w:val="16"/>
        </w:rPr>
        <w:t xml:space="preserve">/odsączającej mogą być stosowane mieszanki kruszyw spełniające wymagania tablicy 2.7. oraz pozostałe właściwości materiałów określone w pkt. 2. </w:t>
      </w:r>
    </w:p>
    <w:p w14:paraId="4F90C77A" w14:textId="77777777" w:rsidR="00105AB9" w:rsidRPr="00E33361" w:rsidRDefault="00105AB9" w:rsidP="00105AB9">
      <w:pPr>
        <w:pStyle w:val="Pro-Inwest"/>
        <w:rPr>
          <w:rFonts w:asciiTheme="minorHAnsi" w:hAnsiTheme="minorHAnsi"/>
          <w:sz w:val="16"/>
          <w:szCs w:val="16"/>
        </w:rPr>
      </w:pPr>
    </w:p>
    <w:p w14:paraId="00417B06" w14:textId="6D830FC8"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Tablica  2.7.  Zakres  stosowania  i  podstawowe  wymagania  dotyczące  materiałów  z recyklingu nawierzchni betonowych do warstwy </w:t>
      </w:r>
      <w:proofErr w:type="spellStart"/>
      <w:r w:rsidRPr="00E33361">
        <w:rPr>
          <w:rFonts w:asciiTheme="minorHAnsi" w:hAnsiTheme="minorHAnsi"/>
          <w:sz w:val="16"/>
          <w:szCs w:val="16"/>
        </w:rPr>
        <w:t>mrozoochronnej</w:t>
      </w:r>
      <w:proofErr w:type="spellEnd"/>
      <w:r w:rsidR="00E33361" w:rsidRPr="00E33361">
        <w:rPr>
          <w:rFonts w:asciiTheme="minorHAnsi" w:hAnsiTheme="minorHAnsi"/>
          <w:sz w:val="16"/>
          <w:szCs w:val="16"/>
        </w:rPr>
        <w:t>/odsączającej</w:t>
      </w:r>
    </w:p>
    <w:p w14:paraId="6B1957A4" w14:textId="77777777" w:rsidR="00105AB9" w:rsidRPr="00021789" w:rsidRDefault="00105AB9" w:rsidP="00105AB9">
      <w:pPr>
        <w:pStyle w:val="Pro-Inwest"/>
        <w:jc w:val="center"/>
        <w:rPr>
          <w:rFonts w:asciiTheme="minorHAnsi" w:hAnsiTheme="minorHAnsi"/>
          <w:color w:val="FF0000"/>
          <w:sz w:val="16"/>
          <w:szCs w:val="16"/>
        </w:rPr>
      </w:pPr>
      <w:r w:rsidRPr="00021789">
        <w:rPr>
          <w:rFonts w:asciiTheme="minorHAnsi" w:hAnsiTheme="minorHAnsi"/>
          <w:noProof/>
          <w:color w:val="FF0000"/>
          <w:sz w:val="16"/>
          <w:szCs w:val="16"/>
        </w:rPr>
        <w:drawing>
          <wp:inline distT="0" distB="0" distL="0" distR="0" wp14:anchorId="266D3866" wp14:editId="47195EDF">
            <wp:extent cx="5248026" cy="811574"/>
            <wp:effectExtent l="0" t="0" r="0" b="0"/>
            <wp:docPr id="65"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65732" cy="814312"/>
                    </a:xfrm>
                    <a:prstGeom prst="rect">
                      <a:avLst/>
                    </a:prstGeom>
                    <a:noFill/>
                    <a:ln>
                      <a:noFill/>
                    </a:ln>
                  </pic:spPr>
                </pic:pic>
              </a:graphicData>
            </a:graphic>
          </wp:inline>
        </w:drawing>
      </w:r>
    </w:p>
    <w:p w14:paraId="46440CD7"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Do  warstwy  odsączającej  mogą  być  stosowane  mieszanki  kruszyw  spełniające wymagania  współczynnika  filtracji  k 10   ≥  8  m/dobę.  Zaleca  się  odsianie  z </w:t>
      </w:r>
      <w:proofErr w:type="spellStart"/>
      <w:r w:rsidRPr="00E33361">
        <w:rPr>
          <w:rFonts w:asciiTheme="minorHAnsi" w:hAnsiTheme="minorHAnsi"/>
          <w:sz w:val="16"/>
          <w:szCs w:val="16"/>
        </w:rPr>
        <w:t>recyklowanego</w:t>
      </w:r>
      <w:proofErr w:type="spellEnd"/>
      <w:r w:rsidRPr="00E33361">
        <w:rPr>
          <w:rFonts w:asciiTheme="minorHAnsi" w:hAnsiTheme="minorHAnsi"/>
          <w:sz w:val="16"/>
          <w:szCs w:val="16"/>
        </w:rPr>
        <w:t xml:space="preserve"> materiału przeznaczonego na warstwę odsączającą frakcji pylastej. </w:t>
      </w:r>
    </w:p>
    <w:p w14:paraId="3BAD694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2.2.7  Woda </w:t>
      </w:r>
    </w:p>
    <w:p w14:paraId="06AD769C"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Woda powinna być zgodna z PN-EN 1008. </w:t>
      </w:r>
    </w:p>
    <w:p w14:paraId="47ABE4A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2.2.8  Spoiwa hydrauliczne i wapno </w:t>
      </w:r>
    </w:p>
    <w:p w14:paraId="287004C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Spoiwa hydrauliczne i wapno powinny być zgodne : </w:t>
      </w:r>
    </w:p>
    <w:p w14:paraId="6C734663"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cement z PN-EN 197-1, </w:t>
      </w:r>
    </w:p>
    <w:p w14:paraId="1D6041D9"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żużel wielkopiecowy z PN-EN 15167-1, </w:t>
      </w:r>
    </w:p>
    <w:p w14:paraId="10CADB4E"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popioły lotne z PN-EN 14227-4, </w:t>
      </w:r>
    </w:p>
    <w:p w14:paraId="514BFF06"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spoiwa drogowe z PN-EN 13282-1 lub aprobata techniczną, </w:t>
      </w:r>
    </w:p>
    <w:p w14:paraId="6B837227"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wapno z PN-EN 459-1. </w:t>
      </w:r>
    </w:p>
    <w:p w14:paraId="2CBF2E5E" w14:textId="77777777" w:rsidR="00105AB9" w:rsidRPr="00021789" w:rsidRDefault="00105AB9" w:rsidP="00105AB9">
      <w:pPr>
        <w:pStyle w:val="Pro-Inwest"/>
        <w:jc w:val="both"/>
        <w:rPr>
          <w:rFonts w:asciiTheme="minorHAnsi" w:hAnsiTheme="minorHAnsi"/>
          <w:color w:val="FF0000"/>
          <w:sz w:val="16"/>
          <w:szCs w:val="16"/>
        </w:rPr>
      </w:pPr>
    </w:p>
    <w:p w14:paraId="3D628AB7"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3  SPRZĘT </w:t>
      </w:r>
    </w:p>
    <w:p w14:paraId="08705BA9"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3.1.  Ogólne wymagania dotyczące sprzętu </w:t>
      </w:r>
    </w:p>
    <w:p w14:paraId="5979195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Ogólne  wymagania  dotyczące  sprzętu  podano  w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D-M  00.00.00, Wymagania ogólne"  </w:t>
      </w:r>
    </w:p>
    <w:p w14:paraId="15CD17BD"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3.2.  Sprzęt do wykonania warstwy </w:t>
      </w:r>
    </w:p>
    <w:p w14:paraId="781462EE"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Sprzęt  do  wykonania  warstwy  powinien  być  dobrany  przez  Wykonawcę  tak,  aby zabezpieczył  jakość  zgodnie  z  wymaganiami  projektowymi  i  harmonogramem budowanej drogi.  </w:t>
      </w:r>
    </w:p>
    <w:p w14:paraId="41244A48"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lastRenderedPageBreak/>
        <w:t xml:space="preserve">Mieszanka  kruszywa  dla  warstwy  mrozoodpornej/odsączającej  powinna  być rozkładana za pomocą urządzeń uniemożliwiających segregację.  </w:t>
      </w:r>
    </w:p>
    <w:p w14:paraId="284295E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Wykonawca przystępujący do wykonania robót związanych z wykonaniem warstwy powinien wykazać się możliwością korzystania</w:t>
      </w:r>
      <w:r w:rsidRPr="00E33361">
        <w:rPr>
          <w:rFonts w:asciiTheme="minorHAnsi" w:hAnsiTheme="minorHAnsi"/>
          <w:sz w:val="16"/>
          <w:szCs w:val="16"/>
        </w:rPr>
        <w:br/>
        <w:t xml:space="preserve">z następującego sprzętu: </w:t>
      </w:r>
    </w:p>
    <w:p w14:paraId="1D7CBDE5" w14:textId="77777777" w:rsidR="00105AB9" w:rsidRPr="00E33361" w:rsidRDefault="00105AB9" w:rsidP="00105AB9">
      <w:pPr>
        <w:pStyle w:val="Pro-Inwest"/>
        <w:numPr>
          <w:ilvl w:val="0"/>
          <w:numId w:val="44"/>
        </w:numPr>
        <w:rPr>
          <w:rFonts w:asciiTheme="minorHAnsi" w:hAnsiTheme="minorHAnsi"/>
          <w:sz w:val="16"/>
          <w:szCs w:val="16"/>
        </w:rPr>
      </w:pPr>
      <w:r w:rsidRPr="00E33361">
        <w:rPr>
          <w:rFonts w:asciiTheme="minorHAnsi" w:hAnsiTheme="minorHAnsi"/>
          <w:sz w:val="16"/>
          <w:szCs w:val="16"/>
        </w:rPr>
        <w:t xml:space="preserve">mieszarki  stacjonarne  do  wytwarzania  mieszanek  wyposażone  w  urządzenia dozujące.  Mieszarki  powinny  zapewnić  wytworzenie  jednorodnej  mieszanki  o wilgotności optymalnej. </w:t>
      </w:r>
    </w:p>
    <w:p w14:paraId="558DB5E9" w14:textId="77777777" w:rsidR="00105AB9" w:rsidRPr="00E33361" w:rsidRDefault="00105AB9" w:rsidP="00105AB9">
      <w:pPr>
        <w:pStyle w:val="Pro-Inwest"/>
        <w:numPr>
          <w:ilvl w:val="0"/>
          <w:numId w:val="44"/>
        </w:numPr>
        <w:rPr>
          <w:rFonts w:asciiTheme="minorHAnsi" w:hAnsiTheme="minorHAnsi"/>
          <w:sz w:val="16"/>
          <w:szCs w:val="16"/>
        </w:rPr>
      </w:pPr>
      <w:r w:rsidRPr="00E33361">
        <w:rPr>
          <w:rFonts w:asciiTheme="minorHAnsi" w:hAnsiTheme="minorHAnsi"/>
          <w:sz w:val="16"/>
          <w:szCs w:val="16"/>
        </w:rPr>
        <w:t xml:space="preserve">Wymaganie to jest zbędne w przypadku, gdy producent mieszanek gwarantuje dostawy  jednorodnej  mieszanki  o  wymaganym  uziarnieniu  i  odpowiedniej wilgotności. </w:t>
      </w:r>
    </w:p>
    <w:p w14:paraId="38887C91" w14:textId="77777777" w:rsidR="00105AB9" w:rsidRPr="00E33361" w:rsidRDefault="00105AB9" w:rsidP="00105AB9">
      <w:pPr>
        <w:pStyle w:val="Pro-Inwest"/>
        <w:numPr>
          <w:ilvl w:val="0"/>
          <w:numId w:val="44"/>
        </w:numPr>
        <w:rPr>
          <w:rFonts w:asciiTheme="minorHAnsi" w:hAnsiTheme="minorHAnsi"/>
          <w:sz w:val="16"/>
          <w:szCs w:val="16"/>
        </w:rPr>
      </w:pPr>
      <w:r w:rsidRPr="00E33361">
        <w:rPr>
          <w:rFonts w:asciiTheme="minorHAnsi" w:hAnsiTheme="minorHAnsi"/>
          <w:sz w:val="16"/>
          <w:szCs w:val="16"/>
        </w:rPr>
        <w:t xml:space="preserve">samochody wywrotki, samochody skrzyniowe </w:t>
      </w:r>
    </w:p>
    <w:p w14:paraId="671FA71B" w14:textId="77777777" w:rsidR="00105AB9" w:rsidRPr="00E33361" w:rsidRDefault="00105AB9" w:rsidP="00105AB9">
      <w:pPr>
        <w:pStyle w:val="Pro-Inwest"/>
        <w:numPr>
          <w:ilvl w:val="0"/>
          <w:numId w:val="44"/>
        </w:numPr>
        <w:rPr>
          <w:rFonts w:asciiTheme="minorHAnsi" w:hAnsiTheme="minorHAnsi"/>
          <w:sz w:val="16"/>
          <w:szCs w:val="16"/>
        </w:rPr>
      </w:pPr>
      <w:r w:rsidRPr="00E33361">
        <w:rPr>
          <w:rFonts w:asciiTheme="minorHAnsi" w:hAnsiTheme="minorHAnsi"/>
          <w:sz w:val="16"/>
          <w:szCs w:val="16"/>
        </w:rPr>
        <w:t xml:space="preserve">równiarki, spycharki   </w:t>
      </w:r>
    </w:p>
    <w:p w14:paraId="445AAE3F" w14:textId="77777777" w:rsidR="00105AB9" w:rsidRPr="00E33361" w:rsidRDefault="00105AB9" w:rsidP="00105AB9">
      <w:pPr>
        <w:pStyle w:val="Pro-Inwest"/>
        <w:numPr>
          <w:ilvl w:val="0"/>
          <w:numId w:val="44"/>
        </w:numPr>
        <w:rPr>
          <w:rFonts w:asciiTheme="minorHAnsi" w:hAnsiTheme="minorHAnsi"/>
          <w:sz w:val="16"/>
          <w:szCs w:val="16"/>
        </w:rPr>
      </w:pPr>
      <w:r w:rsidRPr="00E33361">
        <w:rPr>
          <w:rFonts w:asciiTheme="minorHAnsi" w:hAnsiTheme="minorHAnsi"/>
          <w:sz w:val="16"/>
          <w:szCs w:val="16"/>
        </w:rPr>
        <w:t xml:space="preserve">walce ogumione i stalowe wibracyjne lub statyczne, </w:t>
      </w:r>
    </w:p>
    <w:p w14:paraId="65DB6EE4" w14:textId="77777777" w:rsidR="00105AB9" w:rsidRPr="00E33361" w:rsidRDefault="00105AB9" w:rsidP="00105AB9">
      <w:pPr>
        <w:pStyle w:val="Pro-Inwest"/>
        <w:numPr>
          <w:ilvl w:val="0"/>
          <w:numId w:val="44"/>
        </w:numPr>
        <w:rPr>
          <w:rFonts w:asciiTheme="minorHAnsi" w:hAnsiTheme="minorHAnsi"/>
          <w:sz w:val="16"/>
          <w:szCs w:val="16"/>
        </w:rPr>
      </w:pPr>
      <w:r w:rsidRPr="00E33361">
        <w:rPr>
          <w:rFonts w:asciiTheme="minorHAnsi" w:hAnsiTheme="minorHAnsi"/>
          <w:sz w:val="16"/>
          <w:szCs w:val="16"/>
        </w:rPr>
        <w:t xml:space="preserve">płyty  wibracyjne  lub  ubijaki  mechaniczne  do  zagęszczania  w  miejscach trudnodostępnych </w:t>
      </w:r>
    </w:p>
    <w:p w14:paraId="2E3A1006" w14:textId="77777777" w:rsidR="00105AB9" w:rsidRPr="00E33361" w:rsidRDefault="00105AB9" w:rsidP="00105AB9">
      <w:pPr>
        <w:pStyle w:val="Pro-Inwest"/>
        <w:numPr>
          <w:ilvl w:val="0"/>
          <w:numId w:val="44"/>
        </w:numPr>
        <w:rPr>
          <w:rFonts w:asciiTheme="minorHAnsi" w:hAnsiTheme="minorHAnsi"/>
          <w:sz w:val="16"/>
          <w:szCs w:val="16"/>
        </w:rPr>
      </w:pPr>
      <w:proofErr w:type="spellStart"/>
      <w:r w:rsidRPr="00E33361">
        <w:rPr>
          <w:rFonts w:asciiTheme="minorHAnsi" w:hAnsiTheme="minorHAnsi"/>
          <w:sz w:val="16"/>
          <w:szCs w:val="16"/>
        </w:rPr>
        <w:t>recyklery</w:t>
      </w:r>
      <w:proofErr w:type="spellEnd"/>
      <w:r w:rsidRPr="00E33361">
        <w:rPr>
          <w:rFonts w:asciiTheme="minorHAnsi" w:hAnsiTheme="minorHAnsi"/>
          <w:sz w:val="16"/>
          <w:szCs w:val="16"/>
        </w:rPr>
        <w:t xml:space="preserve">  i  urządzenia  do  automatycznego  dozowania  spoiwa  –  dotyczy stabilizacji gruntów. </w:t>
      </w:r>
    </w:p>
    <w:p w14:paraId="04857EF0" w14:textId="77777777" w:rsidR="00105AB9" w:rsidRPr="00E33361" w:rsidRDefault="00105AB9" w:rsidP="00105AB9">
      <w:pPr>
        <w:pStyle w:val="Pro-Inwest"/>
        <w:rPr>
          <w:rFonts w:asciiTheme="minorHAnsi" w:hAnsiTheme="minorHAnsi"/>
          <w:sz w:val="16"/>
          <w:szCs w:val="16"/>
        </w:rPr>
      </w:pPr>
    </w:p>
    <w:p w14:paraId="10637EFA" w14:textId="77777777" w:rsidR="00105AB9" w:rsidRPr="00E33361" w:rsidRDefault="00105AB9" w:rsidP="00105AB9">
      <w:pPr>
        <w:pStyle w:val="Pro-Inwest"/>
        <w:rPr>
          <w:rFonts w:asciiTheme="minorHAnsi" w:hAnsiTheme="minorHAnsi"/>
          <w:b/>
          <w:bCs/>
          <w:sz w:val="16"/>
          <w:szCs w:val="16"/>
        </w:rPr>
      </w:pPr>
      <w:r w:rsidRPr="00E33361">
        <w:rPr>
          <w:rFonts w:asciiTheme="minorHAnsi" w:hAnsiTheme="minorHAnsi"/>
          <w:b/>
          <w:bCs/>
          <w:sz w:val="16"/>
          <w:szCs w:val="16"/>
        </w:rPr>
        <w:t xml:space="preserve">4.  TRANSPORT </w:t>
      </w:r>
    </w:p>
    <w:p w14:paraId="540B02BA"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4.1.  Ogólne wymagania dotyczące transportu </w:t>
      </w:r>
    </w:p>
    <w:p w14:paraId="45748578"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Ogólne  wymagania  dotyczące  transportu  podano  w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D-M-00.00.00 „Wymagania ogólne”. </w:t>
      </w:r>
    </w:p>
    <w:p w14:paraId="223115A7"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4.2.  Transport materiałów </w:t>
      </w:r>
    </w:p>
    <w:p w14:paraId="50185EF7"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Wybór środków transportu oraz metod transportu należy do Wykonawcy. Transport wyrobów  oraz materiałów przeznaczonych</w:t>
      </w:r>
      <w:r w:rsidRPr="00E33361">
        <w:rPr>
          <w:rFonts w:asciiTheme="minorHAnsi" w:hAnsiTheme="minorHAnsi"/>
          <w:sz w:val="16"/>
          <w:szCs w:val="16"/>
        </w:rPr>
        <w:br/>
        <w:t>do  wbudowania  i wykonania robót nie może  powodować  zanieczyszczenia  (materiałów  i  wyrobów),  ani  obniżenia  ich jakości</w:t>
      </w:r>
      <w:r w:rsidRPr="00E33361">
        <w:rPr>
          <w:rFonts w:asciiTheme="minorHAnsi" w:hAnsiTheme="minorHAnsi"/>
          <w:sz w:val="16"/>
          <w:szCs w:val="16"/>
        </w:rPr>
        <w:br/>
        <w:t xml:space="preserve">lub  uszkodzeń.  Wybór  środków  transportowych  oraz  metod  transportu powinien być dostosowany do rodzaju materiału, jego objętości i załadunku oraz do odległości  transportu.  Wydajność  środków  transportowych  powinna  być  ponadto dostosowana  do  wydajności  sprzętu  stosowanego  do  urabiania  i  wbudowywania materiału. </w:t>
      </w:r>
    </w:p>
    <w:p w14:paraId="5200058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Materiały sypkie należy przewozić w sposób eliminujący możliwość wysypywania, pylenia oraz innego zanieczyszczenia środowiska. </w:t>
      </w:r>
    </w:p>
    <w:p w14:paraId="65E08659" w14:textId="77777777" w:rsidR="00105AB9" w:rsidRPr="00E33361" w:rsidRDefault="00105AB9" w:rsidP="00105AB9">
      <w:pPr>
        <w:pStyle w:val="Pro-Inwest"/>
        <w:rPr>
          <w:rFonts w:asciiTheme="minorHAnsi" w:hAnsiTheme="minorHAnsi"/>
          <w:sz w:val="16"/>
          <w:szCs w:val="16"/>
        </w:rPr>
      </w:pPr>
    </w:p>
    <w:p w14:paraId="718EE5A9" w14:textId="77777777" w:rsidR="00105AB9" w:rsidRPr="00E33361" w:rsidRDefault="00105AB9" w:rsidP="00105AB9">
      <w:pPr>
        <w:pStyle w:val="Pro-Inwest"/>
        <w:rPr>
          <w:rFonts w:asciiTheme="minorHAnsi" w:hAnsiTheme="minorHAnsi"/>
          <w:b/>
          <w:bCs/>
          <w:sz w:val="16"/>
          <w:szCs w:val="16"/>
        </w:rPr>
      </w:pPr>
      <w:r w:rsidRPr="00E33361">
        <w:rPr>
          <w:rFonts w:asciiTheme="minorHAnsi" w:hAnsiTheme="minorHAnsi"/>
          <w:b/>
          <w:bCs/>
          <w:sz w:val="16"/>
          <w:szCs w:val="16"/>
        </w:rPr>
        <w:t xml:space="preserve">5.  WYKONANIE ROBÓT </w:t>
      </w:r>
    </w:p>
    <w:p w14:paraId="120D82BA" w14:textId="77777777" w:rsidR="00105AB9" w:rsidRPr="00E33361" w:rsidRDefault="00105AB9" w:rsidP="00105AB9">
      <w:pPr>
        <w:pStyle w:val="Pro-Inwest"/>
        <w:rPr>
          <w:rFonts w:asciiTheme="minorHAnsi" w:hAnsiTheme="minorHAnsi"/>
          <w:b/>
          <w:bCs/>
          <w:sz w:val="16"/>
          <w:szCs w:val="16"/>
        </w:rPr>
      </w:pPr>
      <w:r w:rsidRPr="00E33361">
        <w:rPr>
          <w:rFonts w:asciiTheme="minorHAnsi" w:hAnsiTheme="minorHAnsi"/>
          <w:b/>
          <w:bCs/>
          <w:sz w:val="16"/>
          <w:szCs w:val="16"/>
        </w:rPr>
        <w:t xml:space="preserve">5.1.  Ogólne zasady wykonania robót </w:t>
      </w:r>
    </w:p>
    <w:p w14:paraId="2B5CD6A3" w14:textId="77777777" w:rsidR="00105AB9" w:rsidRPr="00E33361" w:rsidRDefault="00105AB9" w:rsidP="00105AB9">
      <w:pPr>
        <w:pStyle w:val="Pro-Inwest"/>
        <w:rPr>
          <w:rFonts w:asciiTheme="minorHAnsi" w:hAnsiTheme="minorHAnsi"/>
          <w:sz w:val="16"/>
          <w:szCs w:val="16"/>
        </w:rPr>
      </w:pPr>
      <w:r w:rsidRPr="00E33361">
        <w:rPr>
          <w:rFonts w:asciiTheme="minorHAnsi" w:hAnsiTheme="minorHAnsi"/>
          <w:sz w:val="16"/>
          <w:szCs w:val="16"/>
        </w:rPr>
        <w:t xml:space="preserve">Ogólne  zasady  wykonania  robót  podano  w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D-M-00.00.00  „Wymagania ogólne” </w:t>
      </w:r>
    </w:p>
    <w:p w14:paraId="23A3067B" w14:textId="77777777" w:rsidR="00105AB9" w:rsidRPr="00E33361" w:rsidRDefault="00105AB9" w:rsidP="00105AB9">
      <w:pPr>
        <w:pStyle w:val="Pro-Inwest"/>
        <w:rPr>
          <w:rFonts w:asciiTheme="minorHAnsi" w:hAnsiTheme="minorHAnsi"/>
          <w:b/>
          <w:bCs/>
          <w:sz w:val="16"/>
          <w:szCs w:val="16"/>
        </w:rPr>
      </w:pPr>
      <w:r w:rsidRPr="00E33361">
        <w:rPr>
          <w:rFonts w:asciiTheme="minorHAnsi" w:hAnsiTheme="minorHAnsi"/>
          <w:b/>
          <w:bCs/>
          <w:sz w:val="16"/>
          <w:szCs w:val="16"/>
        </w:rPr>
        <w:t xml:space="preserve">5.2.  Zakres wykonywania robót </w:t>
      </w:r>
    </w:p>
    <w:p w14:paraId="403C594D" w14:textId="58015E5F"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Wykonawca  może  przystąpić  do  wykonywania  warstwy </w:t>
      </w:r>
      <w:proofErr w:type="spellStart"/>
      <w:r w:rsidRPr="00E33361">
        <w:rPr>
          <w:rFonts w:asciiTheme="minorHAnsi" w:hAnsiTheme="minorHAnsi"/>
          <w:sz w:val="16"/>
          <w:szCs w:val="16"/>
        </w:rPr>
        <w:t>mrozoochronnej</w:t>
      </w:r>
      <w:proofErr w:type="spellEnd"/>
      <w:r w:rsidR="00E33361" w:rsidRPr="00E33361">
        <w:rPr>
          <w:rFonts w:asciiTheme="minorHAnsi" w:hAnsiTheme="minorHAnsi"/>
          <w:sz w:val="16"/>
          <w:szCs w:val="16"/>
        </w:rPr>
        <w:t>/odsączającej</w:t>
      </w:r>
      <w:r w:rsidRPr="00E33361">
        <w:rPr>
          <w:rFonts w:asciiTheme="minorHAnsi" w:hAnsiTheme="minorHAnsi"/>
          <w:sz w:val="16"/>
          <w:szCs w:val="16"/>
        </w:rPr>
        <w:t xml:space="preserve">  dopiero  po  zakończeniu  i  odebraniu  robót ulegających zakryciu leżących w warstwach niższych łącznie z tymi warstwami.  </w:t>
      </w:r>
    </w:p>
    <w:p w14:paraId="663AB6C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Mieszanka  po  wyprodukowaniu  powinna  być  od  razu  transportowana  na miejsce  wbudowania  w sposób  przeciwdziałający  segregacji  i  nadmiernemu wysychaniu. </w:t>
      </w:r>
    </w:p>
    <w:p w14:paraId="758338B9" w14:textId="478E3FF2"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Na wykonanej warstwie </w:t>
      </w:r>
      <w:proofErr w:type="spellStart"/>
      <w:r w:rsidRPr="00E33361">
        <w:rPr>
          <w:rFonts w:asciiTheme="minorHAnsi" w:hAnsiTheme="minorHAnsi"/>
          <w:sz w:val="16"/>
          <w:szCs w:val="16"/>
        </w:rPr>
        <w:t>mrozoochronnej</w:t>
      </w:r>
      <w:proofErr w:type="spellEnd"/>
      <w:r w:rsidR="00E33361" w:rsidRPr="00E33361">
        <w:rPr>
          <w:rFonts w:asciiTheme="minorHAnsi" w:hAnsiTheme="minorHAnsi"/>
          <w:sz w:val="16"/>
          <w:szCs w:val="16"/>
        </w:rPr>
        <w:t>/odsączającej</w:t>
      </w:r>
      <w:r w:rsidRPr="00E33361">
        <w:rPr>
          <w:rFonts w:asciiTheme="minorHAnsi" w:hAnsiTheme="minorHAnsi"/>
          <w:sz w:val="16"/>
          <w:szCs w:val="16"/>
        </w:rPr>
        <w:t xml:space="preserve"> nie może odbywać się ruch budowlany, niezwiązany bezpośrednio z wykonaniem kolejnej warstwy nawierzchni. </w:t>
      </w:r>
    </w:p>
    <w:p w14:paraId="46240D23"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5.3.  Przygotowanie podłoża </w:t>
      </w:r>
    </w:p>
    <w:p w14:paraId="7018E256" w14:textId="37381429"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Warstwę  </w:t>
      </w:r>
      <w:proofErr w:type="spellStart"/>
      <w:r w:rsidRPr="00E33361">
        <w:rPr>
          <w:rFonts w:asciiTheme="minorHAnsi" w:hAnsiTheme="minorHAnsi"/>
          <w:sz w:val="16"/>
          <w:szCs w:val="16"/>
        </w:rPr>
        <w:t>mrozoochronną</w:t>
      </w:r>
      <w:proofErr w:type="spellEnd"/>
      <w:r w:rsidR="00E33361" w:rsidRPr="00E33361">
        <w:rPr>
          <w:rFonts w:asciiTheme="minorHAnsi" w:hAnsiTheme="minorHAnsi"/>
          <w:sz w:val="16"/>
          <w:szCs w:val="16"/>
        </w:rPr>
        <w:t>/odsączającej</w:t>
      </w:r>
      <w:r w:rsidRPr="00E33361">
        <w:rPr>
          <w:rFonts w:asciiTheme="minorHAnsi" w:hAnsiTheme="minorHAnsi"/>
          <w:sz w:val="16"/>
          <w:szCs w:val="16"/>
        </w:rPr>
        <w:t xml:space="preserve">  należy  układać  na  podłożu  gruntowym  lub warstwie  ulepszonego  podłoża.    Podłoże  gruntowe  powinno  spełniać  wymagania określone  w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D-02.03.01  „Wykonanie  nasypów”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D-02.01.01 „Wykonanie wykopów”,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D.04.05.00 ulepszone podłoże.  </w:t>
      </w:r>
    </w:p>
    <w:p w14:paraId="05AFE94B"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5.4.  Wbudowanie mieszanki  </w:t>
      </w:r>
    </w:p>
    <w:p w14:paraId="48959306"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Warstwa powinna być rozłożona w sposób zapewniający osiągnięcie wymaganych spadków i rzędnych wysokościowych. Jeżeli warstwa składa się z więcej niż jednej warstwy mieszanki, to każda warstwa powinna być wyprofilowana i zagęszczona z zachowaniem  wymaganych  spadków  i  rzędnych  wysokościowych.  Grubość pojedynczo  układanej  warstwy  nie  może  przekraczać  20  cm  po  zagęszczeniu. </w:t>
      </w:r>
    </w:p>
    <w:p w14:paraId="2D36308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Rozpoczęcie  budowy  każdej  następnej  warstwy  może  nastąpić  po  odbiorze poprzedniej warstwy przez Inżyniera/Inspektora Nadzoru/Zamawiającego.  </w:t>
      </w:r>
    </w:p>
    <w:p w14:paraId="12F0CC1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 miejscach, gdzie widoczna jest segregacja należy przed zagęszczeniem wymienić materiał na materiał o odpowiednich właściwościach. </w:t>
      </w:r>
    </w:p>
    <w:p w14:paraId="3AD168E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Zawartość wody w mieszance zagęszczanej musi być zgodna z granicami podanymi w  tabeli  2.3.  Wilgotność  mieszanki  kruszywa  podczas  zagęszczania  powinna odpowiadać wilgotności optymalnej, określonej według próby </w:t>
      </w:r>
      <w:proofErr w:type="spellStart"/>
      <w:r w:rsidRPr="00E33361">
        <w:rPr>
          <w:rFonts w:asciiTheme="minorHAnsi" w:hAnsiTheme="minorHAnsi"/>
          <w:sz w:val="16"/>
          <w:szCs w:val="16"/>
        </w:rPr>
        <w:t>Proctora</w:t>
      </w:r>
      <w:proofErr w:type="spellEnd"/>
      <w:r w:rsidRPr="00E33361">
        <w:rPr>
          <w:rFonts w:asciiTheme="minorHAnsi" w:hAnsiTheme="minorHAnsi"/>
          <w:sz w:val="16"/>
          <w:szCs w:val="16"/>
        </w:rPr>
        <w:t xml:space="preserve">, wg PN-EN 13286-2  oraz  PN-EN  1097-6.  Materiał  nadmiernie  nawilgocony,  powinien  zostać osuszony przez mieszanie i napowietrzanie. Jeżeli wilgotność mieszanki kruszywa </w:t>
      </w:r>
    </w:p>
    <w:p w14:paraId="0EB2B07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jest niższa od ustalonej od wartości podanych w tabeli 2.3, to mieszanka powinna być zwilżona określoną ilością wody i równomiernie wymieszana.  </w:t>
      </w:r>
    </w:p>
    <w:p w14:paraId="782804A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Grubość  rozłożonej  warstwy  luźnego  kruszywa  powinna  być  taka,  aby  po  jej zagęszczeniu osiągnęła grubość zgodną z Dokumentacją Projektową.  </w:t>
      </w:r>
    </w:p>
    <w:p w14:paraId="3246F1C1"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5.5.  Zagęszczenie mieszanki  </w:t>
      </w:r>
    </w:p>
    <w:p w14:paraId="66B53B6C"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Warstwy  z  mieszanki  należy  zagęszczać  walcami  ogumionymi  i  wibracyjnymi gładkimi.  W ostatniej  fazie  zagęszczania  należy  sprawdzić  profil  szablonem. </w:t>
      </w:r>
    </w:p>
    <w:p w14:paraId="51B594EC"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Zagęszczenie  należy  wykonywać  warstwami  przy  zachowaniu  wilgotności optymalnej. </w:t>
      </w:r>
    </w:p>
    <w:p w14:paraId="3E1EF0C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Zagęszczenie  i  nośność  warstwy  powinny być  uzyskiwane  równomiernie  na  całej szerokości. </w:t>
      </w:r>
    </w:p>
    <w:p w14:paraId="44081AB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Zagęszczenie i nośność kontroluje się płytą VSS (średnicy 30 cm) przez sprawdzenie modułów odkształcenia, które powinny odpowiadać warunkom podanym w pkt. 6.3 Do obliczenia modułów E należy stosować następujący wzór: </w:t>
      </w:r>
    </w:p>
    <w:p w14:paraId="05F50A0A" w14:textId="77777777" w:rsidR="00105AB9" w:rsidRPr="00021789" w:rsidRDefault="00105AB9" w:rsidP="00105AB9">
      <w:pPr>
        <w:pStyle w:val="Pro-Inwest"/>
        <w:jc w:val="center"/>
        <w:rPr>
          <w:rFonts w:asciiTheme="minorHAnsi" w:hAnsiTheme="minorHAnsi"/>
          <w:color w:val="FF0000"/>
          <w:sz w:val="16"/>
          <w:szCs w:val="16"/>
        </w:rPr>
      </w:pPr>
      <w:r w:rsidRPr="00021789">
        <w:rPr>
          <w:rFonts w:asciiTheme="minorHAnsi" w:hAnsiTheme="minorHAnsi"/>
          <w:noProof/>
          <w:color w:val="FF0000"/>
          <w:sz w:val="16"/>
          <w:szCs w:val="16"/>
        </w:rPr>
        <w:lastRenderedPageBreak/>
        <w:drawing>
          <wp:inline distT="0" distB="0" distL="0" distR="0" wp14:anchorId="3359653B" wp14:editId="078D6892">
            <wp:extent cx="3729189" cy="1024607"/>
            <wp:effectExtent l="0" t="0" r="0" b="0"/>
            <wp:docPr id="66" name="Obraz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58979" cy="1032792"/>
                    </a:xfrm>
                    <a:prstGeom prst="rect">
                      <a:avLst/>
                    </a:prstGeom>
                    <a:noFill/>
                    <a:ln>
                      <a:noFill/>
                    </a:ln>
                  </pic:spPr>
                </pic:pic>
              </a:graphicData>
            </a:graphic>
          </wp:inline>
        </w:drawing>
      </w:r>
    </w:p>
    <w:p w14:paraId="248EE046" w14:textId="77777777" w:rsidR="00105AB9" w:rsidRPr="00E33361" w:rsidRDefault="00105AB9" w:rsidP="00105AB9">
      <w:pPr>
        <w:pStyle w:val="Pro-Inwest"/>
        <w:rPr>
          <w:rFonts w:asciiTheme="minorHAnsi" w:hAnsiTheme="minorHAnsi"/>
          <w:b/>
          <w:bCs/>
          <w:sz w:val="16"/>
          <w:szCs w:val="16"/>
        </w:rPr>
      </w:pPr>
      <w:r w:rsidRPr="00E33361">
        <w:rPr>
          <w:rFonts w:asciiTheme="minorHAnsi" w:hAnsiTheme="minorHAnsi"/>
          <w:b/>
          <w:bCs/>
          <w:sz w:val="16"/>
          <w:szCs w:val="16"/>
        </w:rPr>
        <w:t>5.6.  Odcinek próbny</w:t>
      </w:r>
    </w:p>
    <w:p w14:paraId="183EB19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Co najmniej 3 dni przez rozpoczęciem robót Wykonawca wykona odcinek próbny w celu: </w:t>
      </w:r>
    </w:p>
    <w:p w14:paraId="382F2D91"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stwierdzenia, czy sprzęt budowlany do mieszania, rozkładania i zagęszczania kruszywa jest właściwy, </w:t>
      </w:r>
    </w:p>
    <w:p w14:paraId="04F3F35D"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określenia  grubości  warstwy  materiału  z  w  stanie  luźnym  koniecznej  do osiągnięcia wymaganej grubości warstwy</w:t>
      </w:r>
      <w:r w:rsidRPr="00E33361">
        <w:rPr>
          <w:rFonts w:asciiTheme="minorHAnsi" w:hAnsiTheme="minorHAnsi"/>
          <w:sz w:val="16"/>
          <w:szCs w:val="16"/>
        </w:rPr>
        <w:br/>
        <w:t xml:space="preserve">po zagęszczeniu, </w:t>
      </w:r>
    </w:p>
    <w:p w14:paraId="1DCBE88A" w14:textId="77777777" w:rsidR="00105AB9" w:rsidRPr="00E33361" w:rsidRDefault="00105AB9" w:rsidP="00105AB9">
      <w:pPr>
        <w:pStyle w:val="Pro-Inwest"/>
        <w:numPr>
          <w:ilvl w:val="0"/>
          <w:numId w:val="44"/>
        </w:numPr>
        <w:jc w:val="both"/>
        <w:rPr>
          <w:rFonts w:asciiTheme="minorHAnsi" w:hAnsiTheme="minorHAnsi"/>
          <w:sz w:val="16"/>
          <w:szCs w:val="16"/>
        </w:rPr>
      </w:pPr>
      <w:r w:rsidRPr="00E33361">
        <w:rPr>
          <w:rFonts w:asciiTheme="minorHAnsi" w:hAnsiTheme="minorHAnsi"/>
          <w:sz w:val="16"/>
          <w:szCs w:val="16"/>
        </w:rPr>
        <w:t xml:space="preserve">ustalenia  liczby  przejść  sprzętu  zagęszczającego,  potrzebnej  do  uzyskania wymaganego wskaźnika zagęszczenia. </w:t>
      </w:r>
    </w:p>
    <w:p w14:paraId="32A4C0F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Na  odcinku  próbnym  Wykonawca  powinien  użyć  takich  materiałów  oraz  sprzętu, jakie będą stosowane do wykonania warstwy</w:t>
      </w:r>
      <w:r w:rsidRPr="00E33361">
        <w:rPr>
          <w:rFonts w:asciiTheme="minorHAnsi" w:hAnsiTheme="minorHAnsi"/>
          <w:sz w:val="16"/>
          <w:szCs w:val="16"/>
        </w:rPr>
        <w:br/>
        <w:t xml:space="preserve">na budowie. </w:t>
      </w:r>
    </w:p>
    <w:p w14:paraId="758C6EFE"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Wykonawca  może  przystąpić  do  wykonania  warstwy  po  zaakceptowaniu  odcinka próbnego przez Inżyniera/Inspektora Nadzoru/Zamawiającego. </w:t>
      </w:r>
    </w:p>
    <w:p w14:paraId="278AF23F"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5.7.  Utrzymanie warstwy </w:t>
      </w:r>
    </w:p>
    <w:p w14:paraId="187C2AF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Warstwa  po  wykonaniu,  a  przed  ułożeniem  następnej  warstwy  powinna  być utrzymywana w dobrym stanie. Jeżeli Wykonawca będzie wykorzystywał, za zgodą Inżyniera/Inspektora  Nadzoru/Zamawiającego,  gotową  warstwę  do  ruchu budowlanego, to jest obowiązany naprawić wszelkie jej uszkodzenia spowodowane przez  ten  ruch.  Koszt  napraw  wynikłych  z  niewłaściwego  utrzymania  warstwy obciąża Wykonawcę robót.  </w:t>
      </w:r>
    </w:p>
    <w:p w14:paraId="6E89E60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Warstwa  z  mieszanki  związanej  cementem  powinna  być  natychmiast  po zagęszczeniu poddana pielęgnacji według jednego</w:t>
      </w:r>
      <w:r w:rsidRPr="00E33361">
        <w:rPr>
          <w:rFonts w:asciiTheme="minorHAnsi" w:hAnsiTheme="minorHAnsi"/>
          <w:sz w:val="16"/>
          <w:szCs w:val="16"/>
        </w:rPr>
        <w:br/>
        <w:t xml:space="preserve">z następujących sposobów: </w:t>
      </w:r>
    </w:p>
    <w:p w14:paraId="3B4B7F2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a) skropieniem preparatem pielęgnacyjnym, posiadającym EOT/KOT lub aprobatę techniczną,  </w:t>
      </w:r>
    </w:p>
    <w:p w14:paraId="5A58D8F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b) przykryciem na okres 7 do 10 dni nieprzepuszczalną folią z tworzywa sztucznego, ułożoną na zakład co najmniej 30 cm i zabezpieczoną przed zerwaniem przez wiatr, </w:t>
      </w:r>
    </w:p>
    <w:p w14:paraId="1D87B27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c) przykryciem matami lub włókninami i spryskanie wodą przez okres 7÷10 dni,  </w:t>
      </w:r>
    </w:p>
    <w:p w14:paraId="79D5CD40"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d)  przykryciem  warstwą  piasku  i  utrzymanie  jej  w  stanie  wilgotnym  przez  okres 7÷10 dni, </w:t>
      </w:r>
    </w:p>
    <w:p w14:paraId="1A300A8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e) innymi środkami zaakceptowanymi przez Inżyniera/Inspektora Nadzoru.  </w:t>
      </w:r>
    </w:p>
    <w:p w14:paraId="4010EE08"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Nie należy dopuszczać ruchu pojazdów i maszyn po warstwie kruszywa związanej cementem  w  okresie  od  7  do  10  dni  pielęgnacji,</w:t>
      </w:r>
      <w:r w:rsidRPr="00E33361">
        <w:rPr>
          <w:rFonts w:asciiTheme="minorHAnsi" w:hAnsiTheme="minorHAnsi"/>
          <w:sz w:val="16"/>
          <w:szCs w:val="16"/>
        </w:rPr>
        <w:br/>
        <w:t xml:space="preserve">a  po  tym  okresie  ruch technologiczny  może  odbywać  się  wyłącznie  za  zgodą  Inżyniera/Inspektora Nadzoru. </w:t>
      </w:r>
    </w:p>
    <w:p w14:paraId="64886E96" w14:textId="77777777" w:rsidR="00105AB9" w:rsidRPr="00E33361" w:rsidRDefault="00105AB9" w:rsidP="00105AB9">
      <w:pPr>
        <w:pStyle w:val="Pro-Inwest"/>
        <w:jc w:val="both"/>
        <w:rPr>
          <w:rFonts w:asciiTheme="minorHAnsi" w:hAnsiTheme="minorHAnsi"/>
          <w:sz w:val="16"/>
          <w:szCs w:val="16"/>
        </w:rPr>
      </w:pPr>
    </w:p>
    <w:p w14:paraId="61076DD8"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6.  KONTROLA JAKOŚCI ROBÓT </w:t>
      </w:r>
    </w:p>
    <w:p w14:paraId="750DF33F"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6.1  Ogólne zasady kontroli jakości robót </w:t>
      </w:r>
    </w:p>
    <w:p w14:paraId="3339BAC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Ogólne zasady kontroli jakości robót podano w D-M-00.00.00 „Wymagania Ogólne”.  </w:t>
      </w:r>
    </w:p>
    <w:p w14:paraId="48BF977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Badania i pomiary dzielą się na: </w:t>
      </w:r>
    </w:p>
    <w:p w14:paraId="7921D5D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a)  badania i pomiary Wykonawcy (w ramach własnego nadzoru), </w:t>
      </w:r>
    </w:p>
    <w:p w14:paraId="22167D3E"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b)  badania i pomiary kontrolne - w ramach nadzoru Zamawiającego. </w:t>
      </w:r>
    </w:p>
    <w:p w14:paraId="53CF740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 uzasadnionych przypadkach w ramach badań i pomiarów kontrolnych dopuszcza się wykonanie badań i pomiarów kontrolnych dodatkowych lub badań i pomiarów arbitrażowych. </w:t>
      </w:r>
    </w:p>
    <w:p w14:paraId="58A3662B"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Badania obejmują: </w:t>
      </w:r>
    </w:p>
    <w:p w14:paraId="0F9364D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  pobranie próbek, </w:t>
      </w:r>
    </w:p>
    <w:p w14:paraId="2490C1E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  zapakowanie próbek do wysyłki, </w:t>
      </w:r>
    </w:p>
    <w:p w14:paraId="606AC7E7"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  transport próbek z miejsca pobrania do placówki wykonującej badania, </w:t>
      </w:r>
    </w:p>
    <w:p w14:paraId="7B83C9B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  przeprowadzenie badania, </w:t>
      </w:r>
    </w:p>
    <w:p w14:paraId="09DEB220"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  sprawozdanie z badań.  </w:t>
      </w:r>
    </w:p>
    <w:p w14:paraId="3F64291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Pomiary obejmują terenową weryfikację cech warstwy. </w:t>
      </w:r>
    </w:p>
    <w:p w14:paraId="00899C1F"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6.1.1.  Badania i pomiary Wykonawcy - zgodnie z D-M-00.00.00 „Wymagania ogólne'' </w:t>
      </w:r>
    </w:p>
    <w:p w14:paraId="3A37044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Zakres badań i pomiarów Wykonawcy powinien być: </w:t>
      </w:r>
    </w:p>
    <w:p w14:paraId="6BAC591B"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  nie  mniejszy  niż  określony  w  Zakładowej  Kontroli  Produkcji  dla dostarczanych na budowę materiałów i wyrobów budowlanych, </w:t>
      </w:r>
    </w:p>
    <w:p w14:paraId="4DE35E6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  nie  mniejszy  niż  zakres  i  częstotliwość  badań  i  pomiarów  kontrolnych określony  w niniejszym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w:t>
      </w:r>
    </w:p>
    <w:p w14:paraId="26A8E64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6.1.2. Badania  i  pomiary  kontrolne  -  zgodnie  z  D-M-00.00.00  „Wymagania ogólne'' </w:t>
      </w:r>
    </w:p>
    <w:p w14:paraId="3897750F"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6.1.3.  Badania  i  pomiary  kontrolne  dodatkowe  -  zgodnie  z  D-M-00.00.00 „Wymagania ogólne'' </w:t>
      </w:r>
    </w:p>
    <w:p w14:paraId="25728190"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6.1.4. Badania  i  pomiary  arbitrażowe  -  zgodnie  z  D-M-00.00.00  „Wymagania ogólne'' </w:t>
      </w:r>
    </w:p>
    <w:p w14:paraId="34E1453C"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6.2.  Badania  przed  przystąpieniem  do  robót  –  zgodnie  z  D-M-00.00.00 „Wymagania ogólne” </w:t>
      </w:r>
    </w:p>
    <w:p w14:paraId="4129D30F"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Przed przystąpieniem do robót Wykonawca powinien: </w:t>
      </w:r>
    </w:p>
    <w:p w14:paraId="7C92AC21" w14:textId="77777777" w:rsidR="00105AB9" w:rsidRPr="00E33361" w:rsidRDefault="00105AB9" w:rsidP="00105AB9">
      <w:pPr>
        <w:pStyle w:val="Pro-Inwest"/>
        <w:numPr>
          <w:ilvl w:val="0"/>
          <w:numId w:val="157"/>
        </w:numPr>
        <w:jc w:val="both"/>
        <w:rPr>
          <w:rFonts w:asciiTheme="minorHAnsi" w:hAnsiTheme="minorHAnsi"/>
          <w:sz w:val="16"/>
          <w:szCs w:val="16"/>
        </w:rPr>
      </w:pPr>
      <w:r w:rsidRPr="00E33361">
        <w:rPr>
          <w:rFonts w:asciiTheme="minorHAnsi" w:hAnsiTheme="minorHAnsi"/>
          <w:sz w:val="16"/>
          <w:szCs w:val="16"/>
        </w:rPr>
        <w:t xml:space="preserve">przedstawić  Inżynierowi/Inspektorowi  Nadzoru  do  akceptacji  źródła  poboru mieszanki  oraz  wszystkich  dodatkowych  materiałów,  dołączając  wszystkie dokumenty potwierdzające jakość materiałów składowych; </w:t>
      </w:r>
    </w:p>
    <w:p w14:paraId="21E26B58" w14:textId="77777777" w:rsidR="00105AB9" w:rsidRPr="00E33361" w:rsidRDefault="00105AB9" w:rsidP="00105AB9">
      <w:pPr>
        <w:pStyle w:val="Pro-Inwest"/>
        <w:numPr>
          <w:ilvl w:val="0"/>
          <w:numId w:val="157"/>
        </w:numPr>
        <w:jc w:val="both"/>
        <w:rPr>
          <w:rFonts w:asciiTheme="minorHAnsi" w:hAnsiTheme="minorHAnsi"/>
          <w:sz w:val="16"/>
          <w:szCs w:val="16"/>
        </w:rPr>
      </w:pPr>
      <w:r w:rsidRPr="00E33361">
        <w:rPr>
          <w:rFonts w:asciiTheme="minorHAnsi" w:hAnsiTheme="minorHAnsi"/>
          <w:sz w:val="16"/>
          <w:szCs w:val="16"/>
        </w:rPr>
        <w:t xml:space="preserve">uzyskać  wymagane  dokumenty,  dopuszczające  wyroby  budowlane  do  obrotu i powszechnego stosowania (np. stwierdzenie o oznakowaniu materiału znakiem CE lub znakiem budowlanym B, Certyfikat Zgodności ZKP/Stałości Właściwości Użytkowych,  deklarację  właściwości  użytkowych,  KOT/EOT,  aprobatę techniczną, ew. badania materiałów wykonane przez dostawców itp.), </w:t>
      </w:r>
    </w:p>
    <w:p w14:paraId="063CE477" w14:textId="77777777" w:rsidR="00105AB9" w:rsidRPr="00E33361" w:rsidRDefault="00105AB9" w:rsidP="00105AB9">
      <w:pPr>
        <w:pStyle w:val="Pro-Inwest"/>
        <w:numPr>
          <w:ilvl w:val="0"/>
          <w:numId w:val="157"/>
        </w:numPr>
        <w:jc w:val="both"/>
        <w:rPr>
          <w:rFonts w:asciiTheme="minorHAnsi" w:hAnsiTheme="minorHAnsi"/>
          <w:sz w:val="16"/>
          <w:szCs w:val="16"/>
        </w:rPr>
      </w:pPr>
      <w:r w:rsidRPr="00E33361">
        <w:rPr>
          <w:rFonts w:asciiTheme="minorHAnsi" w:hAnsiTheme="minorHAnsi"/>
          <w:sz w:val="16"/>
          <w:szCs w:val="16"/>
        </w:rPr>
        <w:lastRenderedPageBreak/>
        <w:t>opracować  receptę  laboratoryjną  dla  mieszanki  kruszywa  oraz  przedstawić Inżynierowi wraz z wynikami badań</w:t>
      </w:r>
      <w:r w:rsidRPr="00E33361">
        <w:rPr>
          <w:rFonts w:asciiTheme="minorHAnsi" w:hAnsiTheme="minorHAnsi"/>
          <w:sz w:val="16"/>
          <w:szCs w:val="16"/>
        </w:rPr>
        <w:br/>
        <w:t xml:space="preserve">do zatwierdzenia; </w:t>
      </w:r>
    </w:p>
    <w:p w14:paraId="6915665F" w14:textId="77777777" w:rsidR="00105AB9" w:rsidRPr="00E33361" w:rsidRDefault="00105AB9" w:rsidP="00105AB9">
      <w:pPr>
        <w:pStyle w:val="Pro-Inwest"/>
        <w:numPr>
          <w:ilvl w:val="0"/>
          <w:numId w:val="157"/>
        </w:numPr>
        <w:jc w:val="both"/>
        <w:rPr>
          <w:rFonts w:asciiTheme="minorHAnsi" w:hAnsiTheme="minorHAnsi"/>
          <w:sz w:val="16"/>
          <w:szCs w:val="16"/>
        </w:rPr>
      </w:pPr>
      <w:r w:rsidRPr="00E33361">
        <w:rPr>
          <w:rFonts w:asciiTheme="minorHAnsi" w:hAnsiTheme="minorHAnsi"/>
          <w:sz w:val="16"/>
          <w:szCs w:val="16"/>
        </w:rPr>
        <w:t>wykonać własne badania właściwości materiałów przeznaczonych do wykonania robót,  określone  przez  Inżyniera.  Badania</w:t>
      </w:r>
      <w:r w:rsidRPr="00E33361">
        <w:rPr>
          <w:rFonts w:asciiTheme="minorHAnsi" w:hAnsiTheme="minorHAnsi"/>
          <w:sz w:val="16"/>
          <w:szCs w:val="16"/>
        </w:rPr>
        <w:br/>
        <w:t xml:space="preserve"> te  powinny  obejmować  wszystkie właściwości materiałów określone w pkt. 2. </w:t>
      </w:r>
    </w:p>
    <w:p w14:paraId="75052CB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Wszystkie dokumenty oraz wyniki badań Wykonawca przedstawia Inżynierowi do akceptacji. </w:t>
      </w:r>
    </w:p>
    <w:p w14:paraId="629253E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Ważność  wykonanych  przez  producenta  mieszanki  pełnych  badań  materiałów wsadowych, w trakcie złożenia do akceptacji razem</w:t>
      </w:r>
      <w:r w:rsidRPr="00E33361">
        <w:rPr>
          <w:rFonts w:asciiTheme="minorHAnsi" w:hAnsiTheme="minorHAnsi"/>
          <w:sz w:val="16"/>
          <w:szCs w:val="16"/>
        </w:rPr>
        <w:br/>
        <w:t xml:space="preserve">z receptą nie może przekroczyć pół roku od  dnia wykonania tych badań. </w:t>
      </w:r>
    </w:p>
    <w:p w14:paraId="22A8DD72" w14:textId="77777777" w:rsidR="00105AB9" w:rsidRPr="00E33361" w:rsidRDefault="00105AB9" w:rsidP="00105AB9">
      <w:pPr>
        <w:pStyle w:val="Pro-Inwest"/>
        <w:jc w:val="both"/>
        <w:rPr>
          <w:rFonts w:asciiTheme="minorHAnsi" w:hAnsiTheme="minorHAnsi"/>
          <w:sz w:val="16"/>
          <w:szCs w:val="16"/>
        </w:rPr>
      </w:pPr>
    </w:p>
    <w:p w14:paraId="434417CF"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6.3.  Badania w czasie robót </w:t>
      </w:r>
    </w:p>
    <w:p w14:paraId="26523F4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Częstotliwość oraz zakres badań i pomiarów zgodnie z tablicą 6.8. </w:t>
      </w:r>
    </w:p>
    <w:p w14:paraId="3C529A4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Tablica 6.8. Częstotliwość oraz zakres badań i pomiarów </w:t>
      </w:r>
    </w:p>
    <w:p w14:paraId="47F47512" w14:textId="77777777" w:rsidR="00105AB9" w:rsidRPr="00021789" w:rsidRDefault="00105AB9" w:rsidP="00105AB9">
      <w:pPr>
        <w:pStyle w:val="Pro-Inwest"/>
        <w:jc w:val="center"/>
        <w:rPr>
          <w:rFonts w:asciiTheme="minorHAnsi" w:hAnsiTheme="minorHAnsi"/>
          <w:color w:val="FF0000"/>
          <w:sz w:val="16"/>
          <w:szCs w:val="16"/>
        </w:rPr>
      </w:pPr>
      <w:r w:rsidRPr="00021789">
        <w:rPr>
          <w:rFonts w:asciiTheme="minorHAnsi" w:hAnsiTheme="minorHAnsi"/>
          <w:noProof/>
          <w:color w:val="FF0000"/>
          <w:sz w:val="16"/>
          <w:szCs w:val="16"/>
        </w:rPr>
        <w:drawing>
          <wp:inline distT="0" distB="0" distL="0" distR="0" wp14:anchorId="56F15E3D" wp14:editId="04B922A8">
            <wp:extent cx="5674608" cy="1661822"/>
            <wp:effectExtent l="0" t="0" r="0" b="0"/>
            <wp:docPr id="67" name="Obraz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90681" cy="1666529"/>
                    </a:xfrm>
                    <a:prstGeom prst="rect">
                      <a:avLst/>
                    </a:prstGeom>
                    <a:noFill/>
                    <a:ln>
                      <a:noFill/>
                    </a:ln>
                  </pic:spPr>
                </pic:pic>
              </a:graphicData>
            </a:graphic>
          </wp:inline>
        </w:drawing>
      </w:r>
    </w:p>
    <w:p w14:paraId="083C1BFE" w14:textId="77777777" w:rsidR="00105AB9" w:rsidRPr="00E33361" w:rsidRDefault="00105AB9" w:rsidP="00105AB9">
      <w:pPr>
        <w:pStyle w:val="Pro-Inwest"/>
        <w:jc w:val="center"/>
        <w:rPr>
          <w:rFonts w:asciiTheme="minorHAnsi" w:hAnsiTheme="minorHAnsi"/>
          <w:sz w:val="16"/>
          <w:szCs w:val="16"/>
        </w:rPr>
      </w:pPr>
      <w:r w:rsidRPr="00E33361">
        <w:rPr>
          <w:rFonts w:asciiTheme="minorHAnsi" w:hAnsiTheme="minorHAnsi"/>
          <w:noProof/>
          <w:sz w:val="16"/>
          <w:szCs w:val="16"/>
        </w:rPr>
        <w:drawing>
          <wp:inline distT="0" distB="0" distL="0" distR="0" wp14:anchorId="4D732800" wp14:editId="55D25ED7">
            <wp:extent cx="5756910" cy="3300095"/>
            <wp:effectExtent l="0" t="0" r="0" b="0"/>
            <wp:docPr id="68" name="Obraz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6910" cy="3300095"/>
                    </a:xfrm>
                    <a:prstGeom prst="rect">
                      <a:avLst/>
                    </a:prstGeom>
                    <a:noFill/>
                    <a:ln>
                      <a:noFill/>
                    </a:ln>
                  </pic:spPr>
                </pic:pic>
              </a:graphicData>
            </a:graphic>
          </wp:inline>
        </w:drawing>
      </w:r>
    </w:p>
    <w:p w14:paraId="050A9AB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6.3.1. Uziarnienie mieszanki </w:t>
      </w:r>
    </w:p>
    <w:p w14:paraId="02DD53B8"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Próbki należy pobierać losowo z rozłożonej warstwy, przed jej zagęszczeniem.  </w:t>
      </w:r>
    </w:p>
    <w:p w14:paraId="7FE15E08"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Badanie uziarnienia mieszanki/gruntu należy wykonać wg PN-EN 933-1.</w:t>
      </w:r>
    </w:p>
    <w:p w14:paraId="03E14ED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6.3.2. Zawartość wody  </w:t>
      </w:r>
    </w:p>
    <w:p w14:paraId="759AA1A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Zawartość  wody  w  mieszankach/gruntach  powinna  odpowiadać  wymaganej zawartości wody w trakcie wbudowywania i zagęszczania określonej według PN-EN 13286-2. </w:t>
      </w:r>
    </w:p>
    <w:p w14:paraId="4837DD0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6.3.3. Zagęszczenie i nośność  </w:t>
      </w:r>
    </w:p>
    <w:p w14:paraId="222653B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Zagęszczenie każdej warstwy powinno odbywać się aż do osiągnięcia wymaganego wskaźnika zagęszczenia. </w:t>
      </w:r>
    </w:p>
    <w:p w14:paraId="33658F75"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Kontrolę zagęszczenia oraz nośności warstwy należy oprzeć na metodzie obciążeń płytowych  wg  załącznika  B  do  normy  PN-S-02205</w:t>
      </w:r>
      <w:r w:rsidRPr="00E33361">
        <w:rPr>
          <w:rFonts w:asciiTheme="minorHAnsi" w:hAnsiTheme="minorHAnsi"/>
          <w:sz w:val="16"/>
          <w:szCs w:val="16"/>
        </w:rPr>
        <w:br/>
        <w:t xml:space="preserve">lub  badaniu  wskaźnika zagęszczenia  wg  normy  BN-77/8931-12  i  nośności  E 2   wg  metody  obciążeń płytowych. </w:t>
      </w:r>
    </w:p>
    <w:p w14:paraId="5A3D5365"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Zagęszczenie warstwy należy uznać za prawidłowe, gdy stosunek wtórnego modułu odkształcenia E2 do pierwotnego modułu odkształcenia E1 jest &lt; 2,2, lub wskaźnik zagęszczenia IS i nośność warstwy E2 jest zgodna z tabelą 6.9. </w:t>
      </w:r>
    </w:p>
    <w:p w14:paraId="7DB52600" w14:textId="77777777" w:rsidR="00105AB9" w:rsidRPr="00021789" w:rsidRDefault="00105AB9" w:rsidP="00105AB9">
      <w:pPr>
        <w:pStyle w:val="Pro-Inwest"/>
        <w:jc w:val="both"/>
        <w:rPr>
          <w:rFonts w:asciiTheme="minorHAnsi" w:hAnsiTheme="minorHAnsi"/>
          <w:color w:val="FF0000"/>
          <w:sz w:val="16"/>
          <w:szCs w:val="16"/>
        </w:rPr>
      </w:pPr>
      <w:r w:rsidRPr="00E33361">
        <w:rPr>
          <w:rFonts w:asciiTheme="minorHAnsi" w:hAnsiTheme="minorHAnsi"/>
          <w:sz w:val="16"/>
          <w:szCs w:val="16"/>
        </w:rPr>
        <w:t>Zagęszczenie podbudowy stabilizowanej mechanicznie należy uznać za prawidłowe, gdy  wskaźnik  odkształcenia  I o   tj.  stosunek  wtórnego  modułu  E 2   do  pierwotnego modułu odkształcenia E 1  jest nie większy od 2,2 dla każdej warstwy konstrukcyjnej podbudowy</w:t>
      </w:r>
      <w:r w:rsidRPr="00021789">
        <w:rPr>
          <w:rFonts w:asciiTheme="minorHAnsi" w:hAnsiTheme="minorHAnsi"/>
          <w:color w:val="FF0000"/>
          <w:sz w:val="16"/>
          <w:szCs w:val="16"/>
        </w:rPr>
        <w:t xml:space="preserve">. </w:t>
      </w:r>
    </w:p>
    <w:p w14:paraId="297FC5D0" w14:textId="0876D1F1" w:rsidR="00105AB9" w:rsidRPr="00021789" w:rsidRDefault="00E33361" w:rsidP="00105AB9">
      <w:pPr>
        <w:pStyle w:val="Pro-Inwest"/>
        <w:jc w:val="both"/>
        <w:rPr>
          <w:rFonts w:asciiTheme="minorHAnsi" w:hAnsiTheme="minorHAnsi"/>
          <w:color w:val="FF0000"/>
          <w:sz w:val="16"/>
          <w:szCs w:val="16"/>
        </w:rPr>
      </w:pPr>
      <w:r w:rsidRPr="00021789">
        <w:rPr>
          <w:rFonts w:asciiTheme="minorHAnsi" w:hAnsiTheme="minorHAnsi"/>
          <w:noProof/>
          <w:color w:val="FF0000"/>
          <w:sz w:val="16"/>
          <w:szCs w:val="16"/>
        </w:rPr>
        <w:drawing>
          <wp:inline distT="0" distB="0" distL="0" distR="0" wp14:anchorId="5160BDBA" wp14:editId="075B64BC">
            <wp:extent cx="1049573" cy="430033"/>
            <wp:effectExtent l="0" t="0" r="0" b="0"/>
            <wp:docPr id="69" name="Obraz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55577" cy="432493"/>
                    </a:xfrm>
                    <a:prstGeom prst="rect">
                      <a:avLst/>
                    </a:prstGeom>
                    <a:noFill/>
                    <a:ln>
                      <a:noFill/>
                    </a:ln>
                  </pic:spPr>
                </pic:pic>
              </a:graphicData>
            </a:graphic>
          </wp:inline>
        </w:drawing>
      </w:r>
    </w:p>
    <w:p w14:paraId="646A63D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lastRenderedPageBreak/>
        <w:t xml:space="preserve">Moduł odkształcenia należy wyznaczyć dla przyrostu obciążenia od 0,25 </w:t>
      </w:r>
      <w:proofErr w:type="spellStart"/>
      <w:r w:rsidRPr="00E33361">
        <w:rPr>
          <w:rFonts w:asciiTheme="minorHAnsi" w:hAnsiTheme="minorHAnsi"/>
          <w:sz w:val="16"/>
          <w:szCs w:val="16"/>
        </w:rPr>
        <w:t>MPa</w:t>
      </w:r>
      <w:proofErr w:type="spellEnd"/>
      <w:r w:rsidRPr="00E33361">
        <w:rPr>
          <w:rFonts w:asciiTheme="minorHAnsi" w:hAnsiTheme="minorHAnsi"/>
          <w:sz w:val="16"/>
          <w:szCs w:val="16"/>
        </w:rPr>
        <w:t xml:space="preserve"> do 0,35 </w:t>
      </w:r>
      <w:proofErr w:type="spellStart"/>
      <w:r w:rsidRPr="00E33361">
        <w:rPr>
          <w:rFonts w:asciiTheme="minorHAnsi" w:hAnsiTheme="minorHAnsi"/>
          <w:sz w:val="16"/>
          <w:szCs w:val="16"/>
        </w:rPr>
        <w:t>MPa</w:t>
      </w:r>
      <w:proofErr w:type="spellEnd"/>
      <w:r w:rsidRPr="00E33361">
        <w:rPr>
          <w:rFonts w:asciiTheme="minorHAnsi" w:hAnsiTheme="minorHAnsi"/>
          <w:sz w:val="16"/>
          <w:szCs w:val="16"/>
        </w:rPr>
        <w:t xml:space="preserve"> przy zastosowaniu płyty VSS o średnicy 300 mm. Końcowe obciążenie powinno wynosić 0,45 </w:t>
      </w:r>
      <w:proofErr w:type="spellStart"/>
      <w:r w:rsidRPr="00E33361">
        <w:rPr>
          <w:rFonts w:asciiTheme="minorHAnsi" w:hAnsiTheme="minorHAnsi"/>
          <w:sz w:val="16"/>
          <w:szCs w:val="16"/>
        </w:rPr>
        <w:t>MPa</w:t>
      </w:r>
      <w:proofErr w:type="spellEnd"/>
      <w:r w:rsidRPr="00E33361">
        <w:rPr>
          <w:rFonts w:asciiTheme="minorHAnsi" w:hAnsiTheme="minorHAnsi"/>
          <w:sz w:val="16"/>
          <w:szCs w:val="16"/>
        </w:rPr>
        <w:t xml:space="preserve">. </w:t>
      </w:r>
    </w:p>
    <w:p w14:paraId="44473C70" w14:textId="77777777" w:rsidR="00105AB9" w:rsidRPr="00E33361" w:rsidRDefault="00105AB9" w:rsidP="00105AB9">
      <w:pPr>
        <w:pStyle w:val="Pro-Inwest"/>
        <w:jc w:val="both"/>
        <w:rPr>
          <w:rFonts w:asciiTheme="minorHAnsi" w:hAnsiTheme="minorHAnsi"/>
          <w:sz w:val="16"/>
          <w:szCs w:val="16"/>
        </w:rPr>
      </w:pPr>
    </w:p>
    <w:p w14:paraId="7BE676B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Obliczenie wyników wg wzoru: </w:t>
      </w:r>
    </w:p>
    <w:p w14:paraId="5364549E" w14:textId="77777777" w:rsidR="00105AB9" w:rsidRPr="00021789" w:rsidRDefault="00105AB9" w:rsidP="00105AB9">
      <w:pPr>
        <w:pStyle w:val="Pro-Inwest"/>
        <w:jc w:val="both"/>
        <w:rPr>
          <w:rFonts w:asciiTheme="minorHAnsi" w:hAnsiTheme="minorHAnsi"/>
          <w:color w:val="FF0000"/>
          <w:sz w:val="16"/>
          <w:szCs w:val="16"/>
        </w:rPr>
      </w:pPr>
      <w:r w:rsidRPr="00021789">
        <w:rPr>
          <w:rFonts w:asciiTheme="minorHAnsi" w:hAnsiTheme="minorHAnsi"/>
          <w:color w:val="FF0000"/>
          <w:sz w:val="16"/>
          <w:szCs w:val="16"/>
        </w:rPr>
        <w:t xml:space="preserve"> </w:t>
      </w:r>
      <w:r w:rsidRPr="00021789">
        <w:rPr>
          <w:rFonts w:asciiTheme="minorHAnsi" w:hAnsiTheme="minorHAnsi"/>
          <w:noProof/>
          <w:color w:val="FF0000"/>
          <w:sz w:val="16"/>
          <w:szCs w:val="16"/>
        </w:rPr>
        <w:drawing>
          <wp:inline distT="0" distB="0" distL="0" distR="0" wp14:anchorId="140194B2" wp14:editId="1BB22077">
            <wp:extent cx="2933009" cy="952174"/>
            <wp:effectExtent l="0" t="0" r="0" b="0"/>
            <wp:docPr id="70" name="Obraz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023061" cy="981408"/>
                    </a:xfrm>
                    <a:prstGeom prst="rect">
                      <a:avLst/>
                    </a:prstGeom>
                    <a:noFill/>
                    <a:ln>
                      <a:noFill/>
                    </a:ln>
                  </pic:spPr>
                </pic:pic>
              </a:graphicData>
            </a:graphic>
          </wp:inline>
        </w:drawing>
      </w:r>
    </w:p>
    <w:p w14:paraId="4B0F1607" w14:textId="77777777" w:rsidR="00105AB9" w:rsidRPr="00021789" w:rsidRDefault="00105AB9" w:rsidP="00105AB9">
      <w:pPr>
        <w:pStyle w:val="Pro-Inwest"/>
        <w:jc w:val="both"/>
        <w:rPr>
          <w:rFonts w:asciiTheme="minorHAnsi" w:hAnsiTheme="minorHAnsi"/>
          <w:color w:val="FF0000"/>
          <w:sz w:val="16"/>
          <w:szCs w:val="16"/>
        </w:rPr>
      </w:pPr>
    </w:p>
    <w:p w14:paraId="1CCCE236"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Wymagania dla wtórnego modułu odkształcenia należy przyjmować w zależności jej umiejscowienia w konstrukcji zgodnie z wymaganiami opisanymi w </w:t>
      </w:r>
      <w:proofErr w:type="spellStart"/>
      <w:r w:rsidRPr="00E33361">
        <w:rPr>
          <w:rFonts w:asciiTheme="minorHAnsi" w:hAnsiTheme="minorHAnsi"/>
          <w:sz w:val="16"/>
          <w:szCs w:val="16"/>
        </w:rPr>
        <w:t>KTKNPiP</w:t>
      </w:r>
      <w:proofErr w:type="spellEnd"/>
      <w:r w:rsidRPr="00E33361">
        <w:rPr>
          <w:rFonts w:asciiTheme="minorHAnsi" w:hAnsiTheme="minorHAnsi"/>
          <w:sz w:val="16"/>
          <w:szCs w:val="16"/>
        </w:rPr>
        <w:t xml:space="preserve"> 2014 i KTKNS  2014,  oraz  z  Dokumentacją  Projektową.  Wartość  wtórnego  modułu odkształcenia E 2  powinny odpowiadać parametrom podanym w tablicy 6.9. </w:t>
      </w:r>
    </w:p>
    <w:p w14:paraId="681A28EC" w14:textId="77777777" w:rsidR="00E33361" w:rsidRDefault="00E33361" w:rsidP="00105AB9">
      <w:pPr>
        <w:pStyle w:val="Pro-Inwest"/>
        <w:jc w:val="both"/>
        <w:rPr>
          <w:rFonts w:asciiTheme="minorHAnsi" w:hAnsiTheme="minorHAnsi"/>
          <w:sz w:val="16"/>
          <w:szCs w:val="16"/>
        </w:rPr>
      </w:pPr>
    </w:p>
    <w:p w14:paraId="7B0EF905" w14:textId="583443CE"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Tablica 6.9. Wymagania dla nośności </w:t>
      </w:r>
    </w:p>
    <w:p w14:paraId="087438FE" w14:textId="77777777" w:rsidR="00105AB9" w:rsidRPr="00021789" w:rsidRDefault="00105AB9" w:rsidP="00105AB9">
      <w:pPr>
        <w:pStyle w:val="Pro-Inwest"/>
        <w:jc w:val="center"/>
        <w:rPr>
          <w:rFonts w:asciiTheme="minorHAnsi" w:hAnsiTheme="minorHAnsi"/>
          <w:color w:val="FF0000"/>
          <w:sz w:val="16"/>
          <w:szCs w:val="16"/>
        </w:rPr>
      </w:pPr>
      <w:r w:rsidRPr="00021789">
        <w:rPr>
          <w:rFonts w:asciiTheme="minorHAnsi" w:hAnsiTheme="minorHAnsi"/>
          <w:noProof/>
          <w:color w:val="FF0000"/>
          <w:sz w:val="16"/>
          <w:szCs w:val="16"/>
        </w:rPr>
        <w:drawing>
          <wp:inline distT="0" distB="0" distL="0" distR="0" wp14:anchorId="1B94379A" wp14:editId="2025C7BE">
            <wp:extent cx="5255977" cy="1488208"/>
            <wp:effectExtent l="0" t="0" r="0" b="0"/>
            <wp:docPr id="71" name="Obraz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7523" cy="1494309"/>
                    </a:xfrm>
                    <a:prstGeom prst="rect">
                      <a:avLst/>
                    </a:prstGeom>
                    <a:noFill/>
                    <a:ln>
                      <a:noFill/>
                    </a:ln>
                  </pic:spPr>
                </pic:pic>
              </a:graphicData>
            </a:graphic>
          </wp:inline>
        </w:drawing>
      </w:r>
    </w:p>
    <w:p w14:paraId="6DBB2BA2" w14:textId="77777777" w:rsidR="00105AB9" w:rsidRPr="00021789" w:rsidRDefault="00105AB9" w:rsidP="00105AB9">
      <w:pPr>
        <w:pStyle w:val="Pro-Inwest"/>
        <w:jc w:val="both"/>
        <w:rPr>
          <w:rFonts w:asciiTheme="minorHAnsi" w:hAnsiTheme="minorHAnsi"/>
          <w:color w:val="FF0000"/>
          <w:sz w:val="16"/>
          <w:szCs w:val="16"/>
        </w:rPr>
      </w:pPr>
    </w:p>
    <w:p w14:paraId="4085CB0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Minimalna częstość badania zagęszczenia i nośności powinna wynosić 2 badanie na dziennej działce roboczej wg pkt. 6.3.  </w:t>
      </w:r>
    </w:p>
    <w:p w14:paraId="67C9C798"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Dopuszcza się alternatywne metody pomiaru nośności i zagęszczenia w uzgodnieniu z  Inżynierem/Zamawiającym.  Jako  metody  referencyjne  uznaje  się  badania wskaźnika zagęszczenia wg BN-77/8931-12 oraz wtórnego modułu odkształcenia wg PN-S-02205. </w:t>
      </w:r>
    </w:p>
    <w:p w14:paraId="42FAF11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6.3.4. Właściwości kruszywa </w:t>
      </w:r>
    </w:p>
    <w:p w14:paraId="2FFF6475"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Właściwości  mieszanki/gruntu  obejmujące  ocenę  wszystkich  właściwości określonych w pkt. 2 należy badać z częstotliwością zgodnie z tablicą 6.8. </w:t>
      </w:r>
    </w:p>
    <w:p w14:paraId="73BDAE5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6.3.5. Szerokość warstwy </w:t>
      </w:r>
    </w:p>
    <w:p w14:paraId="4ED58D7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Szerokość warstwy nie może się różnić od szerokości projektowanej o więcej niż +10 cm, -5 cm. </w:t>
      </w:r>
    </w:p>
    <w:p w14:paraId="71A16DB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6.3.6. Równość, spadki warstwy </w:t>
      </w:r>
    </w:p>
    <w:p w14:paraId="58FBE57E"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Nierówności podłużne i poprzeczne należy mierzyć 4 metrową łatą, zgodnie z normą BN-68/8931-04  lub  metodą  równoważną  (</w:t>
      </w:r>
      <w:proofErr w:type="spellStart"/>
      <w:r w:rsidRPr="00E33361">
        <w:rPr>
          <w:rFonts w:asciiTheme="minorHAnsi" w:hAnsiTheme="minorHAnsi"/>
          <w:sz w:val="16"/>
          <w:szCs w:val="16"/>
        </w:rPr>
        <w:t>planografem</w:t>
      </w:r>
      <w:proofErr w:type="spellEnd"/>
      <w:r w:rsidRPr="00E33361">
        <w:rPr>
          <w:rFonts w:asciiTheme="minorHAnsi" w:hAnsiTheme="minorHAnsi"/>
          <w:sz w:val="16"/>
          <w:szCs w:val="16"/>
        </w:rPr>
        <w:t xml:space="preserve">).  Nierówności  nie  mogą przekraczać 20 mm.  </w:t>
      </w:r>
    </w:p>
    <w:p w14:paraId="529FFA1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Spadki  poprzeczne  warstwy  </w:t>
      </w:r>
      <w:proofErr w:type="spellStart"/>
      <w:r w:rsidRPr="00E33361">
        <w:rPr>
          <w:rFonts w:asciiTheme="minorHAnsi" w:hAnsiTheme="minorHAnsi"/>
          <w:sz w:val="16"/>
          <w:szCs w:val="16"/>
        </w:rPr>
        <w:t>mrozoochronnej</w:t>
      </w:r>
      <w:proofErr w:type="spellEnd"/>
      <w:r w:rsidRPr="00E33361">
        <w:rPr>
          <w:rFonts w:asciiTheme="minorHAnsi" w:hAnsiTheme="minorHAnsi"/>
          <w:sz w:val="16"/>
          <w:szCs w:val="16"/>
        </w:rPr>
        <w:t xml:space="preserve">  na  prostych  i  łukach powinny być zgodne z dokumentacją projektową z tolerancją ± 0,5%. </w:t>
      </w:r>
    </w:p>
    <w:p w14:paraId="5E4A7D6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6.3.7. Rzędne wysokościowe </w:t>
      </w:r>
    </w:p>
    <w:p w14:paraId="6ABAB176"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Różnice pomiędzy rzędnymi wysokościowymi warstwy i rzędnymi projektowanymi nie powinny przekraczać -2 cm i +1 cm </w:t>
      </w:r>
    </w:p>
    <w:p w14:paraId="1736E72B"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6.3.8. Ukształtowanie osi w planie </w:t>
      </w:r>
    </w:p>
    <w:p w14:paraId="304F144B"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Oś w planie nie może być przesunięta w stosunku do osi projektowanej o więcej niż </w:t>
      </w:r>
      <w:r w:rsidRPr="00E33361">
        <w:rPr>
          <w:rFonts w:asciiTheme="minorHAnsi" w:hAnsiTheme="minorHAnsi"/>
          <w:sz w:val="16"/>
          <w:szCs w:val="16"/>
        </w:rPr>
        <w:t xml:space="preserve"> 5cm. </w:t>
      </w:r>
    </w:p>
    <w:p w14:paraId="64CA598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6.3.9. Grubość warstwy </w:t>
      </w:r>
    </w:p>
    <w:p w14:paraId="41D8CF6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Grubość  warstwy  powinna  być  zgodna  z  określoną  w  dokumentacji  projektowej. </w:t>
      </w:r>
    </w:p>
    <w:p w14:paraId="35989F7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Jeżeli  warstwa,  ze  względów  technologicznych,  została  wykonana  w  dwóch warstwach, należy mierzyć łączną grubość tych warstw. Wybór metody pomiarów grubości należy przedstawić Inżynierowi do akceptacji. </w:t>
      </w:r>
    </w:p>
    <w:p w14:paraId="3B299EC6"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Na  wszystkich  powierzchniach  wadliwych  pod  względem  grubości  Wykonawca wykona  naprawę  warstwy  w  sposób  zaakceptowany  przez  Inżyniera/Inspektora Nadzoru/Zamawiającego. </w:t>
      </w:r>
    </w:p>
    <w:p w14:paraId="46BCDAE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6.3.10.  Wytrzymałość na ściskanie </w:t>
      </w:r>
    </w:p>
    <w:p w14:paraId="5626F356"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Wytrzymałość  na  ściskanie  mieszanek  związanych  i  gruntów  stabilizowanych  powinna spełniać wymagania określone w pkt. 2</w:t>
      </w:r>
      <w:r w:rsidRPr="00E33361">
        <w:rPr>
          <w:rFonts w:asciiTheme="minorHAnsi" w:hAnsiTheme="minorHAnsi"/>
          <w:sz w:val="16"/>
          <w:szCs w:val="16"/>
        </w:rPr>
        <w:br/>
        <w:t xml:space="preserve">w zależności od zastosowania.  </w:t>
      </w:r>
    </w:p>
    <w:p w14:paraId="2F520A27" w14:textId="77777777" w:rsidR="00105AB9" w:rsidRPr="00E33361" w:rsidRDefault="00105AB9" w:rsidP="00105AB9">
      <w:pPr>
        <w:pStyle w:val="Pro-Inwest"/>
        <w:jc w:val="both"/>
        <w:rPr>
          <w:rFonts w:asciiTheme="minorHAnsi" w:hAnsiTheme="minorHAnsi"/>
          <w:sz w:val="16"/>
          <w:szCs w:val="16"/>
        </w:rPr>
      </w:pPr>
    </w:p>
    <w:p w14:paraId="795C40D2"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7.  OBMIAR ROBÓT </w:t>
      </w:r>
    </w:p>
    <w:p w14:paraId="632FC38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Ogólne zasady obmiaru robót podano w D-M 00.00.00 "Wymagania Ogólne" pkt 7. </w:t>
      </w:r>
    </w:p>
    <w:p w14:paraId="3A6C1896"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7.1.  Jednostka obmiarowa </w:t>
      </w:r>
    </w:p>
    <w:p w14:paraId="5FF7FB79" w14:textId="4EA0E5F0"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Jednostką  obmiarową  jest  m 2   (metr  kwadratowy)  warstwy  </w:t>
      </w:r>
      <w:proofErr w:type="spellStart"/>
      <w:r w:rsidRPr="00E33361">
        <w:rPr>
          <w:rFonts w:asciiTheme="minorHAnsi" w:hAnsiTheme="minorHAnsi"/>
          <w:sz w:val="16"/>
          <w:szCs w:val="16"/>
        </w:rPr>
        <w:t>mrozoochronnej</w:t>
      </w:r>
      <w:proofErr w:type="spellEnd"/>
      <w:r w:rsidR="00E33361" w:rsidRPr="00E33361">
        <w:rPr>
          <w:rFonts w:asciiTheme="minorHAnsi" w:hAnsiTheme="minorHAnsi"/>
          <w:sz w:val="16"/>
          <w:szCs w:val="16"/>
        </w:rPr>
        <w:t>/odsączającej</w:t>
      </w:r>
      <w:r w:rsidRPr="00E33361">
        <w:rPr>
          <w:rFonts w:asciiTheme="minorHAnsi" w:hAnsiTheme="minorHAnsi"/>
          <w:sz w:val="16"/>
          <w:szCs w:val="16"/>
        </w:rPr>
        <w:t xml:space="preserve">. </w:t>
      </w:r>
    </w:p>
    <w:p w14:paraId="477727A6" w14:textId="77777777" w:rsidR="00105AB9" w:rsidRPr="00021789" w:rsidRDefault="00105AB9" w:rsidP="00105AB9">
      <w:pPr>
        <w:pStyle w:val="Pro-Inwest"/>
        <w:jc w:val="both"/>
        <w:rPr>
          <w:rFonts w:asciiTheme="minorHAnsi" w:hAnsiTheme="minorHAnsi"/>
          <w:color w:val="FF0000"/>
          <w:sz w:val="16"/>
          <w:szCs w:val="16"/>
        </w:rPr>
      </w:pPr>
    </w:p>
    <w:p w14:paraId="4138EB37"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8.  ODBIÓR ROBÓT </w:t>
      </w:r>
    </w:p>
    <w:p w14:paraId="3FA463A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Ogólne zasady odbioru robót podano w D-M 00.00.00 „Wymagania Ogólne” pkt 8. </w:t>
      </w:r>
    </w:p>
    <w:p w14:paraId="208F4912"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Roboty  uznaje  się  za  wykonane  zgodnie  z  Dokumentacją  Projektową,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i wymaganiami  Inżyniera/Zamawiającego,  jeżeli  wszystkie  pomiary  i  badania  z zachowaniem tolerancji wg punktu 6 dały wyniki pozytywne. </w:t>
      </w:r>
    </w:p>
    <w:p w14:paraId="33F2FDBF"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lastRenderedPageBreak/>
        <w:t xml:space="preserve">Do odbioru  ostatecznego uwzględniane są wyniki badań i pomiarów kontrolnych, badań i pomiarów kontrolnych dodatkowych oraz badań i pomiarów arbitrażowych do wyznaczonych odcinków częściowych. </w:t>
      </w:r>
    </w:p>
    <w:p w14:paraId="13D06FAF" w14:textId="77777777" w:rsidR="00105AB9" w:rsidRPr="00E33361" w:rsidRDefault="00105AB9" w:rsidP="00105AB9">
      <w:pPr>
        <w:pStyle w:val="Pro-Inwest"/>
        <w:jc w:val="both"/>
        <w:rPr>
          <w:rFonts w:asciiTheme="minorHAnsi" w:hAnsiTheme="minorHAnsi"/>
          <w:b/>
          <w:bCs/>
          <w:sz w:val="16"/>
          <w:szCs w:val="16"/>
        </w:rPr>
      </w:pPr>
    </w:p>
    <w:p w14:paraId="3E59455F"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8.1.  Zasady postępowania z wadliwie wykonanymi robotami </w:t>
      </w:r>
    </w:p>
    <w:p w14:paraId="01C71B37"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Jeżeli wystąpią wyniki negatywne dla materiałów i robót (nie spełniające wymagań określonych  w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i  opracowanych</w:t>
      </w:r>
      <w:r w:rsidRPr="00E33361">
        <w:rPr>
          <w:rFonts w:asciiTheme="minorHAnsi" w:hAnsiTheme="minorHAnsi"/>
          <w:sz w:val="16"/>
          <w:szCs w:val="16"/>
        </w:rPr>
        <w:br/>
        <w:t xml:space="preserve">na  ich  podstawie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to Inżynier/Inspektor  </w:t>
      </w:r>
      <w:proofErr w:type="spellStart"/>
      <w:r w:rsidRPr="00E33361">
        <w:rPr>
          <w:rFonts w:asciiTheme="minorHAnsi" w:hAnsiTheme="minorHAnsi"/>
          <w:sz w:val="16"/>
          <w:szCs w:val="16"/>
        </w:rPr>
        <w:t>Nadzor</w:t>
      </w:r>
      <w:proofErr w:type="spellEnd"/>
      <w:r w:rsidRPr="00E33361">
        <w:rPr>
          <w:rFonts w:asciiTheme="minorHAnsi" w:hAnsiTheme="minorHAnsi"/>
          <w:sz w:val="16"/>
          <w:szCs w:val="16"/>
        </w:rPr>
        <w:t xml:space="preserve">/Zamawiający  wydaje  Wykonawcy  polecenie przedstawienia  programu  naprawczego,  chyba  że  na  wniosek  jednej  ze  stron kontraktu zostaną wykonane badania lub pomiary arbitrażowe (zgodnie z pkt. 6.5 </w:t>
      </w:r>
    </w:p>
    <w:p w14:paraId="4E6BCE5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niniejszego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a ich wyniki będą pozytywne. Wykonawca w programie tym jest  zobowiązany  dokonać  oceny  wpływu</w:t>
      </w:r>
      <w:r w:rsidRPr="00E33361">
        <w:rPr>
          <w:rFonts w:asciiTheme="minorHAnsi" w:hAnsiTheme="minorHAnsi"/>
          <w:sz w:val="16"/>
          <w:szCs w:val="16"/>
        </w:rPr>
        <w:br/>
        <w:t xml:space="preserve">na  trwałość,  przedstawić  sposób naprawienia wady lub wnioskować o zredukowanie ceny kontraktowej. </w:t>
      </w:r>
    </w:p>
    <w:p w14:paraId="18D6E24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Na  zastosowanie  programu  naprawczego  wyraża  zgodę  Inżynier/Inspektor </w:t>
      </w:r>
      <w:proofErr w:type="spellStart"/>
      <w:r w:rsidRPr="00E33361">
        <w:rPr>
          <w:rFonts w:asciiTheme="minorHAnsi" w:hAnsiTheme="minorHAnsi"/>
          <w:sz w:val="16"/>
          <w:szCs w:val="16"/>
        </w:rPr>
        <w:t>Nadzor</w:t>
      </w:r>
      <w:proofErr w:type="spellEnd"/>
      <w:r w:rsidRPr="00E33361">
        <w:rPr>
          <w:rFonts w:asciiTheme="minorHAnsi" w:hAnsiTheme="minorHAnsi"/>
          <w:sz w:val="16"/>
          <w:szCs w:val="16"/>
        </w:rPr>
        <w:t xml:space="preserve">/Zamawiający.  </w:t>
      </w:r>
    </w:p>
    <w:p w14:paraId="06B2A68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W  przypadku  braku  zgody  Inżyniera/Inspektora  Nadzoru/Zamawiającego  na zastosowanie programu naprawczego wszystkie materiały</w:t>
      </w:r>
      <w:r w:rsidRPr="00E33361">
        <w:rPr>
          <w:rFonts w:asciiTheme="minorHAnsi" w:hAnsiTheme="minorHAnsi"/>
          <w:sz w:val="16"/>
          <w:szCs w:val="16"/>
        </w:rPr>
        <w:br/>
        <w:t xml:space="preserve">i roboty nie spełniające wymagań  podanych  w odpowiednich  punktach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zostaną  odrzucone. </w:t>
      </w:r>
    </w:p>
    <w:p w14:paraId="0EAAD3B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Wykonawca wymieni materiały na właściwe i wykona prawidłowo roboty na własny koszt. </w:t>
      </w:r>
    </w:p>
    <w:p w14:paraId="4A8820E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Jeżeli  wymiana  materiałów  niespełniających  wymagań  lub  wadliwie  wykonane roboty  spowodowują  szkodę  w  innych,  prawidłowo  wykonanych  robotach,  to również  te  roboty  powinny  być  ponownie  wykonane  przez  Wykonawcę  na  jego koszt. </w:t>
      </w:r>
    </w:p>
    <w:p w14:paraId="63639543" w14:textId="77777777" w:rsidR="00105AB9" w:rsidRPr="00E33361" w:rsidRDefault="00105AB9" w:rsidP="00105AB9">
      <w:pPr>
        <w:pStyle w:val="Pro-Inwest"/>
        <w:jc w:val="both"/>
        <w:rPr>
          <w:rFonts w:asciiTheme="minorHAnsi" w:hAnsiTheme="minorHAnsi"/>
          <w:sz w:val="16"/>
          <w:szCs w:val="16"/>
        </w:rPr>
      </w:pPr>
    </w:p>
    <w:p w14:paraId="7E620686"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9.   PODSTAWA PŁATNOŚCI </w:t>
      </w:r>
    </w:p>
    <w:p w14:paraId="11A1450F" w14:textId="77777777" w:rsidR="00105AB9" w:rsidRPr="00021789" w:rsidRDefault="00105AB9" w:rsidP="00105AB9">
      <w:pPr>
        <w:pStyle w:val="Pro-Inwest"/>
        <w:jc w:val="both"/>
        <w:rPr>
          <w:rFonts w:asciiTheme="minorHAnsi" w:hAnsiTheme="minorHAnsi"/>
          <w:color w:val="FF0000"/>
          <w:sz w:val="16"/>
          <w:szCs w:val="16"/>
        </w:rPr>
      </w:pPr>
      <w:r w:rsidRPr="00E33361">
        <w:rPr>
          <w:rFonts w:asciiTheme="minorHAnsi" w:hAnsiTheme="minorHAnsi"/>
          <w:sz w:val="16"/>
          <w:szCs w:val="16"/>
        </w:rPr>
        <w:t xml:space="preserve">Ogólne ustalenia dotyczące podstawy płatności podano w </w:t>
      </w:r>
      <w:proofErr w:type="spellStart"/>
      <w:r w:rsidRPr="00E33361">
        <w:rPr>
          <w:rFonts w:asciiTheme="minorHAnsi" w:hAnsiTheme="minorHAnsi"/>
          <w:sz w:val="16"/>
          <w:szCs w:val="16"/>
        </w:rPr>
        <w:t>WWiORB</w:t>
      </w:r>
      <w:proofErr w:type="spellEnd"/>
      <w:r w:rsidRPr="00E33361">
        <w:rPr>
          <w:rFonts w:asciiTheme="minorHAnsi" w:hAnsiTheme="minorHAnsi"/>
          <w:sz w:val="16"/>
          <w:szCs w:val="16"/>
        </w:rPr>
        <w:t xml:space="preserve"> D-M 00.00.00  „Wymagania Ogólne”</w:t>
      </w:r>
      <w:r w:rsidRPr="00021789">
        <w:rPr>
          <w:rFonts w:asciiTheme="minorHAnsi" w:hAnsiTheme="minorHAnsi"/>
          <w:color w:val="FF0000"/>
          <w:sz w:val="16"/>
          <w:szCs w:val="16"/>
        </w:rPr>
        <w:t xml:space="preserve"> . </w:t>
      </w:r>
    </w:p>
    <w:p w14:paraId="72E30605" w14:textId="77777777" w:rsidR="00105AB9" w:rsidRPr="00021789" w:rsidRDefault="00105AB9" w:rsidP="00105AB9">
      <w:pPr>
        <w:pStyle w:val="Pro-Inwest"/>
        <w:jc w:val="both"/>
        <w:rPr>
          <w:rFonts w:asciiTheme="minorHAnsi" w:hAnsiTheme="minorHAnsi"/>
          <w:color w:val="FF0000"/>
          <w:sz w:val="16"/>
          <w:szCs w:val="16"/>
        </w:rPr>
      </w:pPr>
      <w:r w:rsidRPr="00021789">
        <w:rPr>
          <w:rFonts w:asciiTheme="minorHAnsi" w:hAnsiTheme="minorHAnsi"/>
          <w:color w:val="FF0000"/>
          <w:sz w:val="16"/>
          <w:szCs w:val="16"/>
        </w:rPr>
        <w:t xml:space="preserve"> </w:t>
      </w:r>
    </w:p>
    <w:p w14:paraId="0A6AE927" w14:textId="0DA1F9DD"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Cena wykonania 1m 2  warstwy </w:t>
      </w:r>
      <w:proofErr w:type="spellStart"/>
      <w:r w:rsidRPr="00E33361">
        <w:rPr>
          <w:rFonts w:asciiTheme="minorHAnsi" w:hAnsiTheme="minorHAnsi"/>
          <w:sz w:val="16"/>
          <w:szCs w:val="16"/>
        </w:rPr>
        <w:t>mrozoochronnej</w:t>
      </w:r>
      <w:proofErr w:type="spellEnd"/>
      <w:r w:rsidR="00E33361" w:rsidRPr="00E33361">
        <w:rPr>
          <w:rFonts w:asciiTheme="minorHAnsi" w:hAnsiTheme="minorHAnsi"/>
          <w:sz w:val="16"/>
          <w:szCs w:val="16"/>
        </w:rPr>
        <w:t>/odsączającej</w:t>
      </w:r>
      <w:r w:rsidRPr="00E33361">
        <w:rPr>
          <w:rFonts w:asciiTheme="minorHAnsi" w:hAnsiTheme="minorHAnsi"/>
          <w:sz w:val="16"/>
          <w:szCs w:val="16"/>
        </w:rPr>
        <w:t xml:space="preserve"> obejmuje: </w:t>
      </w:r>
    </w:p>
    <w:p w14:paraId="427F300B" w14:textId="77777777" w:rsidR="00105AB9" w:rsidRPr="00E33361" w:rsidRDefault="00105AB9" w:rsidP="00105AB9">
      <w:pPr>
        <w:pStyle w:val="Pro-Inwest"/>
        <w:numPr>
          <w:ilvl w:val="0"/>
          <w:numId w:val="157"/>
        </w:numPr>
        <w:jc w:val="both"/>
        <w:rPr>
          <w:rFonts w:asciiTheme="minorHAnsi" w:hAnsiTheme="minorHAnsi"/>
          <w:sz w:val="16"/>
          <w:szCs w:val="16"/>
        </w:rPr>
      </w:pPr>
      <w:r w:rsidRPr="00E33361">
        <w:rPr>
          <w:rFonts w:asciiTheme="minorHAnsi" w:hAnsiTheme="minorHAnsi"/>
          <w:sz w:val="16"/>
          <w:szCs w:val="16"/>
        </w:rPr>
        <w:t xml:space="preserve">prace pomiarowe, </w:t>
      </w:r>
    </w:p>
    <w:p w14:paraId="2462FCA6" w14:textId="77777777" w:rsidR="00105AB9" w:rsidRPr="00E33361" w:rsidRDefault="00105AB9" w:rsidP="00105AB9">
      <w:pPr>
        <w:pStyle w:val="Pro-Inwest"/>
        <w:numPr>
          <w:ilvl w:val="0"/>
          <w:numId w:val="157"/>
        </w:numPr>
        <w:jc w:val="both"/>
        <w:rPr>
          <w:rFonts w:asciiTheme="minorHAnsi" w:hAnsiTheme="minorHAnsi"/>
          <w:sz w:val="16"/>
          <w:szCs w:val="16"/>
        </w:rPr>
      </w:pPr>
      <w:r w:rsidRPr="00E33361">
        <w:rPr>
          <w:rFonts w:asciiTheme="minorHAnsi" w:hAnsiTheme="minorHAnsi"/>
          <w:sz w:val="16"/>
          <w:szCs w:val="16"/>
        </w:rPr>
        <w:t>dostarczenie  i  rozłożenie  na  uprzednio  przygotowanym  podłożu  warstwy materiału o grubości i jakości określonej</w:t>
      </w:r>
      <w:r w:rsidRPr="00E33361">
        <w:rPr>
          <w:rFonts w:asciiTheme="minorHAnsi" w:hAnsiTheme="minorHAnsi"/>
          <w:sz w:val="16"/>
          <w:szCs w:val="16"/>
        </w:rPr>
        <w:br/>
        <w:t xml:space="preserve">w dokumentacji projektowej i specyfikacji technicznej, </w:t>
      </w:r>
    </w:p>
    <w:p w14:paraId="0483404E" w14:textId="77777777" w:rsidR="00105AB9" w:rsidRPr="00E33361" w:rsidRDefault="00105AB9" w:rsidP="00105AB9">
      <w:pPr>
        <w:pStyle w:val="Pro-Inwest"/>
        <w:numPr>
          <w:ilvl w:val="0"/>
          <w:numId w:val="157"/>
        </w:numPr>
        <w:jc w:val="both"/>
        <w:rPr>
          <w:rFonts w:asciiTheme="minorHAnsi" w:hAnsiTheme="minorHAnsi"/>
          <w:sz w:val="16"/>
          <w:szCs w:val="16"/>
        </w:rPr>
      </w:pPr>
      <w:r w:rsidRPr="00E33361">
        <w:rPr>
          <w:rFonts w:asciiTheme="minorHAnsi" w:hAnsiTheme="minorHAnsi"/>
          <w:sz w:val="16"/>
          <w:szCs w:val="16"/>
        </w:rPr>
        <w:t xml:space="preserve">wyrównanie ułożonej warstwy do wymaganego profilu, </w:t>
      </w:r>
    </w:p>
    <w:p w14:paraId="3A469534" w14:textId="77777777" w:rsidR="00105AB9" w:rsidRPr="00E33361" w:rsidRDefault="00105AB9" w:rsidP="00105AB9">
      <w:pPr>
        <w:pStyle w:val="Pro-Inwest"/>
        <w:numPr>
          <w:ilvl w:val="0"/>
          <w:numId w:val="157"/>
        </w:numPr>
        <w:jc w:val="both"/>
        <w:rPr>
          <w:rFonts w:asciiTheme="minorHAnsi" w:hAnsiTheme="minorHAnsi"/>
          <w:sz w:val="16"/>
          <w:szCs w:val="16"/>
        </w:rPr>
      </w:pPr>
      <w:r w:rsidRPr="00E33361">
        <w:rPr>
          <w:rFonts w:asciiTheme="minorHAnsi" w:hAnsiTheme="minorHAnsi"/>
          <w:sz w:val="16"/>
          <w:szCs w:val="16"/>
        </w:rPr>
        <w:t xml:space="preserve">zagęszczenie wyprofilowanej warstwy, </w:t>
      </w:r>
    </w:p>
    <w:p w14:paraId="40D6AD74" w14:textId="77777777" w:rsidR="00105AB9" w:rsidRPr="00E33361" w:rsidRDefault="00105AB9" w:rsidP="00105AB9">
      <w:pPr>
        <w:pStyle w:val="Pro-Inwest"/>
        <w:numPr>
          <w:ilvl w:val="0"/>
          <w:numId w:val="157"/>
        </w:numPr>
        <w:jc w:val="both"/>
        <w:rPr>
          <w:rFonts w:asciiTheme="minorHAnsi" w:hAnsiTheme="minorHAnsi"/>
          <w:sz w:val="16"/>
          <w:szCs w:val="16"/>
        </w:rPr>
      </w:pPr>
      <w:r w:rsidRPr="00E33361">
        <w:rPr>
          <w:rFonts w:asciiTheme="minorHAnsi" w:hAnsiTheme="minorHAnsi"/>
          <w:sz w:val="16"/>
          <w:szCs w:val="16"/>
        </w:rPr>
        <w:t xml:space="preserve">przeprowadzenie  pomiarów  i  badań  laboratoryjnych  wymaganych  w specyfikacji  technicznej, </w:t>
      </w:r>
    </w:p>
    <w:p w14:paraId="06C91283" w14:textId="77777777" w:rsidR="00105AB9" w:rsidRPr="00E33361" w:rsidRDefault="00105AB9" w:rsidP="00105AB9">
      <w:pPr>
        <w:pStyle w:val="Pro-Inwest"/>
        <w:numPr>
          <w:ilvl w:val="0"/>
          <w:numId w:val="157"/>
        </w:numPr>
        <w:jc w:val="both"/>
        <w:rPr>
          <w:rFonts w:asciiTheme="minorHAnsi" w:hAnsiTheme="minorHAnsi"/>
          <w:sz w:val="16"/>
          <w:szCs w:val="16"/>
        </w:rPr>
      </w:pPr>
      <w:r w:rsidRPr="00E33361">
        <w:rPr>
          <w:rFonts w:asciiTheme="minorHAnsi" w:hAnsiTheme="minorHAnsi"/>
          <w:sz w:val="16"/>
          <w:szCs w:val="16"/>
        </w:rPr>
        <w:t xml:space="preserve">utrzymanie warstwy, </w:t>
      </w:r>
    </w:p>
    <w:p w14:paraId="6AD7D71F" w14:textId="77777777" w:rsidR="00105AB9" w:rsidRPr="00E33361" w:rsidRDefault="00105AB9" w:rsidP="00105AB9">
      <w:pPr>
        <w:pStyle w:val="Pro-Inwest"/>
        <w:numPr>
          <w:ilvl w:val="0"/>
          <w:numId w:val="157"/>
        </w:numPr>
        <w:jc w:val="both"/>
        <w:rPr>
          <w:rFonts w:asciiTheme="minorHAnsi" w:hAnsiTheme="minorHAnsi"/>
          <w:sz w:val="16"/>
          <w:szCs w:val="16"/>
        </w:rPr>
      </w:pPr>
      <w:r w:rsidRPr="00E33361">
        <w:rPr>
          <w:rFonts w:asciiTheme="minorHAnsi" w:hAnsiTheme="minorHAnsi"/>
          <w:sz w:val="16"/>
          <w:szCs w:val="16"/>
        </w:rPr>
        <w:t xml:space="preserve">zawiera wszelkie inne czynności związane z prawidłowym wykonaniem warstwy zgodnie z wymaganiami niniejszych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w:t>
      </w:r>
    </w:p>
    <w:p w14:paraId="7564AE8E"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Wszystkie  roboty  powinny  być  wykonane  według  wymagań  dokumentacji projektowej, </w:t>
      </w:r>
      <w:proofErr w:type="spellStart"/>
      <w:r w:rsidRPr="00E33361">
        <w:rPr>
          <w:rFonts w:asciiTheme="minorHAnsi" w:hAnsiTheme="minorHAnsi"/>
          <w:sz w:val="16"/>
          <w:szCs w:val="16"/>
        </w:rPr>
        <w:t>STWiORB</w:t>
      </w:r>
      <w:proofErr w:type="spellEnd"/>
      <w:r w:rsidRPr="00E33361">
        <w:rPr>
          <w:rFonts w:asciiTheme="minorHAnsi" w:hAnsiTheme="minorHAnsi"/>
          <w:sz w:val="16"/>
          <w:szCs w:val="16"/>
        </w:rPr>
        <w:t xml:space="preserve">, specyfikacji technicznej i postanowień Inżyniera/ Inspektora Nadzoru/ Zamawiającego. </w:t>
      </w:r>
    </w:p>
    <w:p w14:paraId="328965D0" w14:textId="77777777" w:rsidR="00105AB9" w:rsidRPr="00E33361" w:rsidRDefault="00105AB9" w:rsidP="00105AB9">
      <w:pPr>
        <w:pStyle w:val="Pro-Inwest"/>
        <w:jc w:val="both"/>
        <w:rPr>
          <w:rFonts w:asciiTheme="minorHAnsi" w:hAnsiTheme="minorHAnsi"/>
          <w:sz w:val="16"/>
          <w:szCs w:val="16"/>
        </w:rPr>
      </w:pPr>
    </w:p>
    <w:p w14:paraId="5C13A983"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10.    PRZEPISY ZWIĄZANE </w:t>
      </w:r>
    </w:p>
    <w:p w14:paraId="795AF555"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10.1. Normy </w:t>
      </w:r>
    </w:p>
    <w:p w14:paraId="3182A98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  PN-EN 13242  Kruszywa  do  niezwiązanych  i  hydraulicznie  związanych materiałów stosowanych w obiektach drogowych i budownictwie drogowym </w:t>
      </w:r>
    </w:p>
    <w:p w14:paraId="7CAF60CF"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  PN-EN 13285  Mieszanki niezwiązane. Wymagania. </w:t>
      </w:r>
    </w:p>
    <w:p w14:paraId="6F21D630"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3.  PN-EN 14227-1  Mieszanki związane spoiwem hydraulicznym. Wymagania. Część 1. Mieszanki związane cementem. </w:t>
      </w:r>
    </w:p>
    <w:p w14:paraId="0022EC5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4.  PN-EN 14227-2  Mieszanki związane spoiwem hydraulicznym. Wymagania. Część 2. Mieszanki związane żużlem. </w:t>
      </w:r>
    </w:p>
    <w:p w14:paraId="56D1BE0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5.  PN-EN 14227-3  Mieszanki związane spoiwem hydraulicznym. Wymagania. Część 3. Mieszanki związane popiołem lotnym.  </w:t>
      </w:r>
    </w:p>
    <w:p w14:paraId="4773755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  PN-EN 14227- 4   Mieszanki związane spoiwem hydraulicznym. Wymagania. Część 4. Popioły lotne do mieszanek </w:t>
      </w:r>
    </w:p>
    <w:p w14:paraId="3368B92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7.  PN-EN 14227-5  Mieszanki związane spoiwem hydraulicznym. Wymagania. Część 5. Mieszanki związane spoiwem drogowym. </w:t>
      </w:r>
    </w:p>
    <w:p w14:paraId="539422B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8.  PN-EN 14227-10  Mieszanki związane spoiwem hydraulicznym. Wymagania. Część 10. Grunty stabilizowane cementem. </w:t>
      </w:r>
    </w:p>
    <w:p w14:paraId="7505025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9.  PN-EN 14227-12  Mieszanki związane spoiwem hydraulicznym. Wymagania. Część 12. Grunty stabilizowane żużlem. </w:t>
      </w:r>
    </w:p>
    <w:p w14:paraId="5C37124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10. PN-EN 14227-13  Mieszanki związane spoiwem hydraulicznym. Wymagania. Część 13. Grunty stabilizowane hydraulicznym spoiwem drogowym. </w:t>
      </w:r>
    </w:p>
    <w:p w14:paraId="47C60065"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11. PN-EN 14227-14  Mieszanki związane spoiwem hydraulicznym. Wymagania. Część 14. Grunty stabilizowane popiołami lotnymi. </w:t>
      </w:r>
    </w:p>
    <w:p w14:paraId="1209F62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12. PN-EN 933-1  Badanie  geometrycznych  właściwości  kruszyw.  Część  1: Oznaczenie składu ziarnowego – Metoda przesiewowa. </w:t>
      </w:r>
    </w:p>
    <w:p w14:paraId="23356A1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13. PN-EN 933-3  Badanie  geometrycznych  właściwości  kruszyw.  Część  2: Oznaczenie kształtu ziaren za pomocą wskaźnika płaskości. </w:t>
      </w:r>
    </w:p>
    <w:p w14:paraId="533312F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14. PN-EN 933-4  Badanie  geometrycznych  właściwości  kruszyw  .    Część  4:  Oznaczenie kształtu ziaren- Wskaźnik kształtu. </w:t>
      </w:r>
    </w:p>
    <w:p w14:paraId="696AC905"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15. PN-EN 933-5  Badanie  geometrycznych  właściwości  kruszyw.  Część  5: Oznaczenie  procentowej  zawartości  </w:t>
      </w:r>
      <w:proofErr w:type="spellStart"/>
      <w:r w:rsidRPr="00E33361">
        <w:rPr>
          <w:rFonts w:asciiTheme="minorHAnsi" w:hAnsiTheme="minorHAnsi"/>
          <w:sz w:val="16"/>
          <w:szCs w:val="16"/>
        </w:rPr>
        <w:t>ziarn</w:t>
      </w:r>
      <w:proofErr w:type="spellEnd"/>
      <w:r w:rsidRPr="00E33361">
        <w:rPr>
          <w:rFonts w:asciiTheme="minorHAnsi" w:hAnsiTheme="minorHAnsi"/>
          <w:sz w:val="16"/>
          <w:szCs w:val="16"/>
        </w:rPr>
        <w:t xml:space="preserve">  o  powierzchniach </w:t>
      </w:r>
    </w:p>
    <w:p w14:paraId="40AEAF5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powstałych  w  wyniku  </w:t>
      </w:r>
      <w:proofErr w:type="spellStart"/>
      <w:r w:rsidRPr="00E33361">
        <w:rPr>
          <w:rFonts w:asciiTheme="minorHAnsi" w:hAnsiTheme="minorHAnsi"/>
          <w:sz w:val="16"/>
          <w:szCs w:val="16"/>
        </w:rPr>
        <w:t>przekruszenia</w:t>
      </w:r>
      <w:proofErr w:type="spellEnd"/>
      <w:r w:rsidRPr="00E33361">
        <w:rPr>
          <w:rFonts w:asciiTheme="minorHAnsi" w:hAnsiTheme="minorHAnsi"/>
          <w:sz w:val="16"/>
          <w:szCs w:val="16"/>
        </w:rPr>
        <w:t xml:space="preserve">  lub  łamania  kruszyw grubych. </w:t>
      </w:r>
    </w:p>
    <w:p w14:paraId="088A67DE"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16. PN-EN 933-8  Badanie  geometrycznych  właściwości  kruszyw.  Część  8:  Ocena zawartości drobnych cząstek - Badania wskaźnika piaskowego. </w:t>
      </w:r>
    </w:p>
    <w:p w14:paraId="40BF6466"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17. PN-EN 933-9  Badanie  geometrycznych  właściwości  kruszyw.  Część  9:  Ocena zawartości drobnych cząstek- Badania błękitem metylenowym. </w:t>
      </w:r>
    </w:p>
    <w:p w14:paraId="097B721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18. PN-EN 1097-2  Badania mechanicznych i fizycznych właściwości kruszyw. Część 2: Metody oznaczania odporności na rozdrobnienie. </w:t>
      </w:r>
    </w:p>
    <w:p w14:paraId="5FD5092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19. PN-EN 1097-6  Badania mechanicznych i fizycznych właściwości kruszyw- Część 6: Oznaczanie gęstości </w:t>
      </w:r>
      <w:proofErr w:type="spellStart"/>
      <w:r w:rsidRPr="00E33361">
        <w:rPr>
          <w:rFonts w:asciiTheme="minorHAnsi" w:hAnsiTheme="minorHAnsi"/>
          <w:sz w:val="16"/>
          <w:szCs w:val="16"/>
        </w:rPr>
        <w:t>ziarn</w:t>
      </w:r>
      <w:proofErr w:type="spellEnd"/>
      <w:r w:rsidRPr="00E33361">
        <w:rPr>
          <w:rFonts w:asciiTheme="minorHAnsi" w:hAnsiTheme="minorHAnsi"/>
          <w:sz w:val="16"/>
          <w:szCs w:val="16"/>
        </w:rPr>
        <w:t xml:space="preserve"> i nasiąkliwości. </w:t>
      </w:r>
    </w:p>
    <w:p w14:paraId="0ACC7EA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20. PN-EN 1367-1  Badanie właściwości cieplnych i odporności kruszyw na działanie czynników  atmosferycznych  –  Część  1:  Oznaczenie </w:t>
      </w:r>
    </w:p>
    <w:p w14:paraId="62246918"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mrozoodporności. </w:t>
      </w:r>
    </w:p>
    <w:p w14:paraId="29E0AB0A"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21. PN-EN 1367-3  Badanie właściwości cieplnych i odporności kruszyw na działanie czynników  atmosferycznych  –  Część  3:  Badanie  bazaltowej zgorzeli słonecznej metoda gotowania. </w:t>
      </w:r>
    </w:p>
    <w:p w14:paraId="2B0E78FF"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22. PN-EN 13286-1  Mieszanki  mineralne  niezwiązane  i  związane  spoiwem hydraulicznym-  Część  1:  Metody  badań  dla  ustalonej </w:t>
      </w:r>
    </w:p>
    <w:p w14:paraId="6544AAB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laboratoryjnie  referencyjnej  gęstości  i  wilgotności  - Wprowadzenie i wymagania ogólne. </w:t>
      </w:r>
    </w:p>
    <w:p w14:paraId="16565E1E"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lastRenderedPageBreak/>
        <w:t xml:space="preserve">23. PN-EN 13286-2  Mieszanki  mineralne  niezwiązane  i  związane  spoiwem hydraulicznym-  Część  1:  Metody  badań  dla  ustalonej </w:t>
      </w:r>
    </w:p>
    <w:p w14:paraId="0A654F63"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laboratoryjnie referencyjnej gęstości i wilgotności- Zagęszczanie aparatem </w:t>
      </w:r>
      <w:proofErr w:type="spellStart"/>
      <w:r w:rsidRPr="00E33361">
        <w:rPr>
          <w:rFonts w:asciiTheme="minorHAnsi" w:hAnsiTheme="minorHAnsi"/>
          <w:sz w:val="16"/>
          <w:szCs w:val="16"/>
        </w:rPr>
        <w:t>Proctora</w:t>
      </w:r>
      <w:proofErr w:type="spellEnd"/>
      <w:r w:rsidRPr="00E33361">
        <w:rPr>
          <w:rFonts w:asciiTheme="minorHAnsi" w:hAnsiTheme="minorHAnsi"/>
          <w:sz w:val="16"/>
          <w:szCs w:val="16"/>
        </w:rPr>
        <w:t xml:space="preserve">. </w:t>
      </w:r>
    </w:p>
    <w:p w14:paraId="6BA33C10"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24. PN-EN 13286-47  Mieszanki  mineralne  niezwiązane  i  związane  spoiwem hydraulicznym - Część 47: Metody badań dla określenia nośności, kalifornijski  wskaźnik  nośności  CBR,  natychmiastowy  wskaźnik nośności i pęcznienia liniowego. </w:t>
      </w:r>
    </w:p>
    <w:p w14:paraId="70442D5E"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25. PN-EN 459-1  Wapno  budowlane.  Część  1.  Definicje,  wymagania,  kryteria zgodności. </w:t>
      </w:r>
    </w:p>
    <w:p w14:paraId="028D5D39"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26. PN-EN 13282-1  Hydrauliczne  spoiwa  drogowe.  Część  1.  Hydrauliczne  spoiwa drogowe szybkowiążące. Skład, wymagania, kryteria zgodności. </w:t>
      </w:r>
    </w:p>
    <w:p w14:paraId="043E00BE"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27. PN-EN 15167-1  Mielony  granulowany  żużel  wielkopiecowy  do  stosowania  w betonie,  zaprawie,  zaczynie.  Część  1.  Definicje,  specyfikacje  i kryteria zgodności </w:t>
      </w:r>
    </w:p>
    <w:p w14:paraId="59AF32DF"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28. PKN-CEN ISO/TS 17892-11 Badania geotechniczne. Badania laboratoryjne gruntów. Część  11.  Badanie  filtracji  przy  stałym  i  zmiennym  gradiencie hydraulicznym  </w:t>
      </w:r>
    </w:p>
    <w:p w14:paraId="313F682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29. PN-S-02205  Drogi samochodowe. Roboty ziemne. Wymagania i badania. </w:t>
      </w:r>
    </w:p>
    <w:p w14:paraId="688C425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30. BN-77/8931-12   Drogi samochodowe. Oznaczenie wskaźnika zagęszczenia gruntu. </w:t>
      </w:r>
    </w:p>
    <w:p w14:paraId="67DAD69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31. BN-8931-04   Drogi samochodowe. Pomiar równości nawierzchni </w:t>
      </w:r>
      <w:proofErr w:type="spellStart"/>
      <w:r w:rsidRPr="00E33361">
        <w:rPr>
          <w:rFonts w:asciiTheme="minorHAnsi" w:hAnsiTheme="minorHAnsi"/>
          <w:sz w:val="16"/>
          <w:szCs w:val="16"/>
        </w:rPr>
        <w:t>planografem</w:t>
      </w:r>
      <w:proofErr w:type="spellEnd"/>
      <w:r w:rsidRPr="00E33361">
        <w:rPr>
          <w:rFonts w:asciiTheme="minorHAnsi" w:hAnsiTheme="minorHAnsi"/>
          <w:sz w:val="16"/>
          <w:szCs w:val="16"/>
        </w:rPr>
        <w:t xml:space="preserve"> i łatą. </w:t>
      </w:r>
    </w:p>
    <w:p w14:paraId="5166E214" w14:textId="77777777" w:rsidR="00105AB9" w:rsidRPr="00E33361" w:rsidRDefault="00105AB9" w:rsidP="00105AB9">
      <w:pPr>
        <w:pStyle w:val="Pro-Inwest"/>
        <w:jc w:val="both"/>
        <w:rPr>
          <w:rFonts w:asciiTheme="minorHAnsi" w:hAnsiTheme="minorHAnsi"/>
          <w:b/>
          <w:bCs/>
          <w:sz w:val="16"/>
          <w:szCs w:val="16"/>
        </w:rPr>
      </w:pPr>
      <w:r w:rsidRPr="00E33361">
        <w:rPr>
          <w:rFonts w:asciiTheme="minorHAnsi" w:hAnsiTheme="minorHAnsi"/>
          <w:b/>
          <w:bCs/>
          <w:sz w:val="16"/>
          <w:szCs w:val="16"/>
        </w:rPr>
        <w:t xml:space="preserve">10.2. Inne Dokumenty </w:t>
      </w:r>
    </w:p>
    <w:p w14:paraId="72FBEBD5"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  Ustawa z dnia 16 kwietnia 2004r. o wyrobach budowlanych (jednolity tekst Dz. U. 2016 poz. 1570)  </w:t>
      </w:r>
    </w:p>
    <w:p w14:paraId="45935106"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2.  Rozporządzenie  Ministra  Infrastruktury  z  dnia  11  sierpnia  2004r.  w  sprawie deklarowania  zgodności  wyrobów  budowlanych  oraz  sposobu  znakowania  ich znakiem budowlanym (Dz. U. Nr 198, poz. 2041 z </w:t>
      </w:r>
      <w:proofErr w:type="spellStart"/>
      <w:r w:rsidRPr="00E33361">
        <w:rPr>
          <w:rFonts w:asciiTheme="minorHAnsi" w:hAnsiTheme="minorHAnsi"/>
          <w:sz w:val="16"/>
          <w:szCs w:val="16"/>
        </w:rPr>
        <w:t>późn</w:t>
      </w:r>
      <w:proofErr w:type="spellEnd"/>
      <w:r w:rsidRPr="00E33361">
        <w:rPr>
          <w:rFonts w:asciiTheme="minorHAnsi" w:hAnsiTheme="minorHAnsi"/>
          <w:sz w:val="16"/>
          <w:szCs w:val="16"/>
        </w:rPr>
        <w:t xml:space="preserve">. zm.) </w:t>
      </w:r>
    </w:p>
    <w:p w14:paraId="3F983CC1"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3.  Rozporządzenie Parlamentu Europejskiego i Rady (UE) Nr 305/2011 z dnia 9 marca 2011 r. ustanawiające zharmonizowane warunki wprowadzania do obrotu wyrobów budowlanych  i  uchylające  dyrektywę  Rady  89/106/EWG  (Dz.  Urz.  UE  L  88  z 04.04.2011) </w:t>
      </w:r>
    </w:p>
    <w:p w14:paraId="4E5F8F5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4.  Sprostowanie  do  rozporządzenia  Parlamentu  Europejskiego  i  Rady  (UE)  nr 305/2011  z  dnia  9  marca  2011  r.  ustanawiającego  zharmonizowane  warunki wprowadzania  do  obrotu  wyrobów  budowlanych  i  uchylającego  dyrektywę  Rady 89/106/EWG (Dz. Urz. UE L 103 z dnia 12.04.2013 r.) </w:t>
      </w:r>
    </w:p>
    <w:p w14:paraId="430A73D7"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5.  Rozporządzenie  delegowane    Komisji  (UE)  NR  157/2014  z  dnia  30  października 2013  r.  w  sprawie  warunków  udostępniania  deklaracji  właściwości  użytkowych wyrobów budowlanych na stronie internetowej (Dz. Urz. UE L 52 z 21.02.2014r.) </w:t>
      </w:r>
    </w:p>
    <w:p w14:paraId="030ACF48"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6.  Rozporządzenie delegowane Komisji  (UE) NR 568/2014 z dnia 18 lutego 2014 r. zmieniające załącznik V do rozporządzenia Parlamentu Europejskiego i Rady (UE) nr  305/2011  dotyczący  oceny  i  weryfikacji  stałości  właściwości  użytkowych wyrobów budowlanych  (Dz. Urz. UE L 157 z 27.05.2014r.) </w:t>
      </w:r>
    </w:p>
    <w:p w14:paraId="50BEBE45"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7.  Rozporządzenie  delegowane  Komisji  (UE)  Nr  574/2014  z  dnia  21  lutego  2014 r. zmieniające załącznik III do rozporządzenia Parlamentu Europejskiego i Rady (UE) nr  305/2001  w  odniesieniu  do  wzoru,  który  należy  stosować  przy  sporządzaniu deklaracji  właściwości  użytkowych  wyrobów  budowlanych  (  Dz.  Urz.  UE  L  159  z 28.05.2014)   </w:t>
      </w:r>
    </w:p>
    <w:p w14:paraId="409630FD"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8.  WT-4  2010  Mieszanki  niezwiązane  Wymagania  Techniczne,  załącznik  nr  3  do zarządzenia   Nr 102 Generalnego Dyrektora Dróg Krajowych i Autostrad z dnia 19 listopada 2010 r.  </w:t>
      </w:r>
    </w:p>
    <w:p w14:paraId="5CE2352C"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9.  WT-5  2010  Mieszanki  związane  spoiwem  hydraulicznym  do  dróg  krajowych Wymagania  Techniczne,  załącznik  nr  4  do  zarządzenia  Nr  102  Generalnego Dyrektora Dróg Krajowych i Autostrad z dnia 19 listopada 2010 r </w:t>
      </w:r>
    </w:p>
    <w:p w14:paraId="6D1EBBF6"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10. Katalog Typowych Konstrukcji Nawierzchni Sztywnych, załącznik do zarządzenia Nr 30 Generalnego Dyrektora Dróg Krajowych i Autostrad z dnia 16.06.2014 r.  </w:t>
      </w:r>
    </w:p>
    <w:p w14:paraId="4F1DCA8C"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11. Katalog Typowych Konstrukcji Nawierzchni Podatnych i Półsztywnych, załącznik do zarządzenia  Nr  31  Generalnego  Dyrektora  Dróg  Krajowych  i  Autostrad  z  dnia 16.06.2014 r. </w:t>
      </w:r>
    </w:p>
    <w:p w14:paraId="44F03234" w14:textId="77777777" w:rsidR="00105AB9" w:rsidRPr="00E33361" w:rsidRDefault="00105AB9" w:rsidP="00105AB9">
      <w:pPr>
        <w:pStyle w:val="Pro-Inwest"/>
        <w:jc w:val="both"/>
        <w:rPr>
          <w:rFonts w:asciiTheme="minorHAnsi" w:hAnsiTheme="minorHAnsi"/>
          <w:sz w:val="16"/>
          <w:szCs w:val="16"/>
        </w:rPr>
      </w:pPr>
      <w:r w:rsidRPr="00E33361">
        <w:rPr>
          <w:rFonts w:asciiTheme="minorHAnsi" w:hAnsiTheme="minorHAnsi"/>
          <w:sz w:val="16"/>
          <w:szCs w:val="16"/>
        </w:rPr>
        <w:t xml:space="preserve">12. Projekt RID I/6 Wykorzystanie materiałów pochodzących z recyklingu. Zadanie 6 Załącznik  9.6  Wytyczne  wykorzystania  materiałów  pochodzących  z  recyklingu nawierzchni betonowych. </w:t>
      </w:r>
    </w:p>
    <w:p w14:paraId="4DC2CA75" w14:textId="77777777" w:rsidR="00105AB9" w:rsidRPr="00E33361" w:rsidRDefault="00105AB9" w:rsidP="00105AB9">
      <w:pPr>
        <w:pStyle w:val="Pro-Inwest"/>
        <w:jc w:val="both"/>
        <w:rPr>
          <w:rFonts w:asciiTheme="minorHAnsi" w:hAnsiTheme="minorHAnsi"/>
          <w:b/>
          <w:sz w:val="18"/>
          <w:szCs w:val="18"/>
        </w:rPr>
      </w:pPr>
    </w:p>
    <w:p w14:paraId="44DDD4FA" w14:textId="77777777" w:rsidR="00105AB9" w:rsidRPr="00E33361" w:rsidRDefault="00105AB9" w:rsidP="00105AB9">
      <w:pPr>
        <w:pStyle w:val="Pro-Inwest"/>
        <w:rPr>
          <w:rFonts w:asciiTheme="minorHAnsi" w:hAnsiTheme="minorHAnsi"/>
          <w:b/>
          <w:sz w:val="18"/>
          <w:szCs w:val="18"/>
        </w:rPr>
      </w:pPr>
    </w:p>
    <w:p w14:paraId="0D4058EF" w14:textId="77777777" w:rsidR="00105AB9" w:rsidRPr="00E33361" w:rsidRDefault="00105AB9" w:rsidP="00105AB9">
      <w:pPr>
        <w:pStyle w:val="Pro-Inwest"/>
        <w:rPr>
          <w:rFonts w:asciiTheme="minorHAnsi" w:hAnsiTheme="minorHAnsi"/>
          <w:b/>
          <w:sz w:val="18"/>
          <w:szCs w:val="18"/>
        </w:rPr>
      </w:pPr>
    </w:p>
    <w:p w14:paraId="78A081B1" w14:textId="77777777" w:rsidR="00105AB9" w:rsidRPr="00021789" w:rsidRDefault="00105AB9" w:rsidP="00105AB9">
      <w:pPr>
        <w:pStyle w:val="Pro-Inwest"/>
        <w:rPr>
          <w:rFonts w:asciiTheme="minorHAnsi" w:hAnsiTheme="minorHAnsi"/>
          <w:b/>
          <w:color w:val="FF0000"/>
          <w:sz w:val="18"/>
          <w:szCs w:val="18"/>
        </w:rPr>
      </w:pPr>
    </w:p>
    <w:p w14:paraId="409C5E55" w14:textId="77777777" w:rsidR="00105AB9" w:rsidRPr="00021789" w:rsidRDefault="00105AB9" w:rsidP="00105AB9">
      <w:pPr>
        <w:pStyle w:val="Pro-Inwest"/>
        <w:rPr>
          <w:rFonts w:asciiTheme="minorHAnsi" w:hAnsiTheme="minorHAnsi"/>
          <w:b/>
          <w:color w:val="FF0000"/>
          <w:sz w:val="18"/>
          <w:szCs w:val="18"/>
        </w:rPr>
      </w:pPr>
    </w:p>
    <w:p w14:paraId="49DBC69C" w14:textId="77777777" w:rsidR="00105AB9" w:rsidRPr="00021789" w:rsidRDefault="00105AB9" w:rsidP="00105AB9">
      <w:pPr>
        <w:pStyle w:val="Pro-Inwest"/>
        <w:rPr>
          <w:rFonts w:asciiTheme="minorHAnsi" w:hAnsiTheme="minorHAnsi"/>
          <w:b/>
          <w:color w:val="FF0000"/>
          <w:sz w:val="18"/>
          <w:szCs w:val="18"/>
        </w:rPr>
      </w:pPr>
    </w:p>
    <w:p w14:paraId="0F5F1F73" w14:textId="77777777" w:rsidR="00105AB9" w:rsidRPr="00021789" w:rsidRDefault="00105AB9" w:rsidP="00105AB9">
      <w:pPr>
        <w:pStyle w:val="Pro-Inwest"/>
        <w:rPr>
          <w:rFonts w:asciiTheme="minorHAnsi" w:hAnsiTheme="minorHAnsi"/>
          <w:b/>
          <w:color w:val="FF0000"/>
          <w:sz w:val="18"/>
          <w:szCs w:val="18"/>
        </w:rPr>
      </w:pPr>
    </w:p>
    <w:p w14:paraId="4F462AE9" w14:textId="77777777" w:rsidR="00105AB9" w:rsidRPr="00021789" w:rsidRDefault="00105AB9" w:rsidP="00105AB9">
      <w:pPr>
        <w:pStyle w:val="Pro-Inwest"/>
        <w:rPr>
          <w:rFonts w:asciiTheme="minorHAnsi" w:hAnsiTheme="minorHAnsi"/>
          <w:b/>
          <w:color w:val="FF0000"/>
          <w:sz w:val="18"/>
          <w:szCs w:val="18"/>
        </w:rPr>
      </w:pPr>
    </w:p>
    <w:p w14:paraId="51E905F5" w14:textId="77777777" w:rsidR="00105AB9" w:rsidRPr="00021789" w:rsidRDefault="00105AB9" w:rsidP="00105AB9">
      <w:pPr>
        <w:pStyle w:val="Pro-Inwest"/>
        <w:rPr>
          <w:rFonts w:asciiTheme="minorHAnsi" w:hAnsiTheme="minorHAnsi"/>
          <w:b/>
          <w:color w:val="FF0000"/>
          <w:sz w:val="18"/>
          <w:szCs w:val="18"/>
        </w:rPr>
      </w:pPr>
    </w:p>
    <w:p w14:paraId="7396759F" w14:textId="77777777" w:rsidR="00105AB9" w:rsidRPr="00021789" w:rsidRDefault="00105AB9" w:rsidP="00105AB9">
      <w:pPr>
        <w:pStyle w:val="Pro-Inwest"/>
        <w:rPr>
          <w:rFonts w:asciiTheme="minorHAnsi" w:hAnsiTheme="minorHAnsi"/>
          <w:b/>
          <w:color w:val="FF0000"/>
          <w:sz w:val="18"/>
          <w:szCs w:val="18"/>
        </w:rPr>
      </w:pPr>
    </w:p>
    <w:p w14:paraId="6E2B4AFF" w14:textId="77777777" w:rsidR="00105AB9" w:rsidRPr="00021789" w:rsidRDefault="00105AB9" w:rsidP="00105AB9">
      <w:pPr>
        <w:pStyle w:val="Pro-Inwest"/>
        <w:rPr>
          <w:rFonts w:asciiTheme="minorHAnsi" w:hAnsiTheme="minorHAnsi"/>
          <w:b/>
          <w:color w:val="FF0000"/>
          <w:sz w:val="18"/>
          <w:szCs w:val="18"/>
        </w:rPr>
      </w:pPr>
    </w:p>
    <w:p w14:paraId="0DE90AC2" w14:textId="77777777" w:rsidR="00105AB9" w:rsidRPr="00021789" w:rsidRDefault="00105AB9" w:rsidP="00105AB9">
      <w:pPr>
        <w:pStyle w:val="Pro-Inwest"/>
        <w:rPr>
          <w:rFonts w:asciiTheme="minorHAnsi" w:hAnsiTheme="minorHAnsi"/>
          <w:b/>
          <w:color w:val="FF0000"/>
          <w:sz w:val="18"/>
          <w:szCs w:val="18"/>
        </w:rPr>
      </w:pPr>
    </w:p>
    <w:p w14:paraId="404E5A2A" w14:textId="77777777" w:rsidR="00105AB9" w:rsidRPr="00021789" w:rsidRDefault="00105AB9" w:rsidP="00105AB9">
      <w:pPr>
        <w:pStyle w:val="Pro-Inwest"/>
        <w:rPr>
          <w:rFonts w:asciiTheme="minorHAnsi" w:hAnsiTheme="minorHAnsi"/>
          <w:b/>
          <w:color w:val="FF0000"/>
          <w:sz w:val="18"/>
          <w:szCs w:val="18"/>
        </w:rPr>
      </w:pPr>
    </w:p>
    <w:p w14:paraId="18E5E51C" w14:textId="77777777" w:rsidR="00105AB9" w:rsidRPr="00021789" w:rsidRDefault="00105AB9" w:rsidP="00105AB9">
      <w:pPr>
        <w:pStyle w:val="Pro-Inwest"/>
        <w:rPr>
          <w:rFonts w:asciiTheme="minorHAnsi" w:hAnsiTheme="minorHAnsi"/>
          <w:b/>
          <w:color w:val="FF0000"/>
          <w:sz w:val="18"/>
          <w:szCs w:val="18"/>
        </w:rPr>
      </w:pPr>
    </w:p>
    <w:p w14:paraId="46933392" w14:textId="77777777" w:rsidR="00105AB9" w:rsidRPr="00021789" w:rsidRDefault="00105AB9" w:rsidP="00105AB9">
      <w:pPr>
        <w:pStyle w:val="Pro-Inwest"/>
        <w:rPr>
          <w:rFonts w:asciiTheme="minorHAnsi" w:hAnsiTheme="minorHAnsi"/>
          <w:b/>
          <w:color w:val="FF0000"/>
          <w:sz w:val="18"/>
          <w:szCs w:val="18"/>
        </w:rPr>
      </w:pPr>
    </w:p>
    <w:p w14:paraId="182E3E0F" w14:textId="77777777" w:rsidR="00105AB9" w:rsidRPr="00021789" w:rsidRDefault="00105AB9" w:rsidP="00105AB9">
      <w:pPr>
        <w:pStyle w:val="Pro-Inwest"/>
        <w:rPr>
          <w:rFonts w:asciiTheme="minorHAnsi" w:hAnsiTheme="minorHAnsi"/>
          <w:b/>
          <w:color w:val="FF0000"/>
          <w:sz w:val="18"/>
          <w:szCs w:val="18"/>
        </w:rPr>
      </w:pPr>
    </w:p>
    <w:p w14:paraId="410F8D02" w14:textId="77777777" w:rsidR="00105AB9" w:rsidRPr="00021789" w:rsidRDefault="00105AB9" w:rsidP="00105AB9">
      <w:pPr>
        <w:pStyle w:val="Pro-Inwest"/>
        <w:rPr>
          <w:rFonts w:asciiTheme="minorHAnsi" w:hAnsiTheme="minorHAnsi"/>
          <w:b/>
          <w:color w:val="FF0000"/>
          <w:sz w:val="18"/>
          <w:szCs w:val="18"/>
        </w:rPr>
      </w:pPr>
    </w:p>
    <w:p w14:paraId="0CA14B1D" w14:textId="77777777" w:rsidR="00105AB9" w:rsidRPr="00021789" w:rsidRDefault="00105AB9" w:rsidP="00105AB9">
      <w:pPr>
        <w:pStyle w:val="Pro-Inwest"/>
        <w:rPr>
          <w:rFonts w:asciiTheme="minorHAnsi" w:hAnsiTheme="minorHAnsi"/>
          <w:b/>
          <w:color w:val="FF0000"/>
          <w:sz w:val="18"/>
          <w:szCs w:val="18"/>
        </w:rPr>
      </w:pPr>
    </w:p>
    <w:p w14:paraId="22CB52A8" w14:textId="77777777" w:rsidR="00105AB9" w:rsidRPr="00021789" w:rsidRDefault="00105AB9" w:rsidP="00105AB9">
      <w:pPr>
        <w:pStyle w:val="Pro-Inwest"/>
        <w:rPr>
          <w:rFonts w:asciiTheme="minorHAnsi" w:hAnsiTheme="minorHAnsi"/>
          <w:b/>
          <w:color w:val="FF0000"/>
          <w:sz w:val="18"/>
          <w:szCs w:val="18"/>
        </w:rPr>
      </w:pPr>
    </w:p>
    <w:p w14:paraId="6D2EB691" w14:textId="77777777" w:rsidR="00105AB9" w:rsidRPr="00021789" w:rsidRDefault="00105AB9" w:rsidP="00105AB9">
      <w:pPr>
        <w:pStyle w:val="Pro-Inwest"/>
        <w:rPr>
          <w:rFonts w:asciiTheme="minorHAnsi" w:hAnsiTheme="minorHAnsi"/>
          <w:b/>
          <w:color w:val="FF0000"/>
          <w:sz w:val="18"/>
          <w:szCs w:val="18"/>
        </w:rPr>
      </w:pPr>
    </w:p>
    <w:p w14:paraId="217370A8" w14:textId="77777777" w:rsidR="00105AB9" w:rsidRPr="00FA7F06" w:rsidRDefault="00105AB9" w:rsidP="00105AB9">
      <w:pPr>
        <w:pStyle w:val="Pro-Inwest"/>
        <w:jc w:val="both"/>
        <w:rPr>
          <w:rFonts w:asciiTheme="minorHAnsi" w:hAnsiTheme="minorHAnsi"/>
          <w:b/>
          <w:sz w:val="16"/>
          <w:szCs w:val="16"/>
        </w:rPr>
      </w:pPr>
      <w:r w:rsidRPr="00FA7F06">
        <w:rPr>
          <w:rFonts w:asciiTheme="minorHAnsi" w:hAnsiTheme="minorHAnsi"/>
          <w:b/>
          <w:sz w:val="18"/>
          <w:szCs w:val="18"/>
        </w:rPr>
        <w:lastRenderedPageBreak/>
        <w:t>D.04.04.02 PODBUDOWA ZASADNICZA Z MIESZANKI NIEZWIĄZANEJ</w:t>
      </w:r>
    </w:p>
    <w:p w14:paraId="64B5AD21" w14:textId="77777777" w:rsidR="00105AB9" w:rsidRPr="00FA7F06" w:rsidRDefault="00105AB9" w:rsidP="00105AB9">
      <w:pPr>
        <w:pStyle w:val="Pro-Inwest"/>
        <w:jc w:val="both"/>
        <w:rPr>
          <w:rFonts w:asciiTheme="minorHAnsi" w:hAnsiTheme="minorHAnsi"/>
          <w:b/>
          <w:bCs/>
          <w:sz w:val="16"/>
          <w:szCs w:val="16"/>
        </w:rPr>
      </w:pPr>
    </w:p>
    <w:p w14:paraId="28BFAB7F"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  WSTĘP </w:t>
      </w:r>
    </w:p>
    <w:p w14:paraId="5C22FF2D"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1.1.  Nazwa zadania </w:t>
      </w:r>
    </w:p>
    <w:p w14:paraId="45A44B99" w14:textId="368ED248" w:rsidR="00105AB9" w:rsidRPr="00FA7F06" w:rsidRDefault="00105AB9" w:rsidP="00105AB9">
      <w:pPr>
        <w:snapToGrid w:val="0"/>
        <w:spacing w:after="0"/>
        <w:jc w:val="both"/>
        <w:rPr>
          <w:sz w:val="16"/>
          <w:szCs w:val="16"/>
        </w:rPr>
      </w:pPr>
      <w:r w:rsidRPr="00FA7F06">
        <w:rPr>
          <w:sz w:val="16"/>
          <w:szCs w:val="16"/>
        </w:rPr>
        <w:t>Dotyczy zadania o nazwie „</w:t>
      </w:r>
      <w:r w:rsidR="003A7D17" w:rsidRPr="00FA7F06">
        <w:rPr>
          <w:sz w:val="16"/>
          <w:szCs w:val="16"/>
        </w:rPr>
        <w:t>Przebudowa, rozbudowa i remont budynku Uniwersytetu Łódzkiego przy ul. Sienkiewicza 21 w Łodzi, wraz ze zmianą jego sposobu użytkowania z funkcji dydaktycznej  na budynek usługowy o funkcji nauki i kultury z częścią o funkcji zamieszkania zbiorowego(centrum kultury z pokojami gościnnymi) rozbiórką balkonów i schodów zewnętrznych wraz z zadaszeniem, oraz wykonaniem ocieplenia elewacji północnej oraz zachodniej, budową szklanego świetlika nad dziedzińcem wewnętrznym oraz realizacją niezbędnej infrastruktury technicznej i zagospodarowania terenu”. Inwestorem przedsięwzięcia jest Uniwersytet Łódzki, ul. Narutowicza 68 , 90-136 Łódź.</w:t>
      </w:r>
    </w:p>
    <w:p w14:paraId="4AF4F5C9"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1.2.  Przedmiot </w:t>
      </w:r>
      <w:proofErr w:type="spellStart"/>
      <w:r w:rsidRPr="00FA7F06">
        <w:rPr>
          <w:rFonts w:asciiTheme="minorHAnsi" w:hAnsiTheme="minorHAnsi"/>
          <w:b/>
          <w:bCs/>
          <w:sz w:val="16"/>
          <w:szCs w:val="16"/>
        </w:rPr>
        <w:t>STWiORB</w:t>
      </w:r>
      <w:proofErr w:type="spellEnd"/>
      <w:r w:rsidRPr="00FA7F06">
        <w:rPr>
          <w:rFonts w:asciiTheme="minorHAnsi" w:hAnsiTheme="minorHAnsi"/>
          <w:b/>
          <w:bCs/>
          <w:sz w:val="16"/>
          <w:szCs w:val="16"/>
        </w:rPr>
        <w:t xml:space="preserve"> </w:t>
      </w:r>
    </w:p>
    <w:p w14:paraId="32860B9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Przedmiotem  niniejszych  Specyfikacji Technicznej  Wykonania  i  Odbioru  Robót  Budowlanych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są  wymagania  dotyczące  wykonania  i  odbioru  podbudowy  z  mieszanki niezwiązanej.  Zakresem  obejmuje  warstwy  podbudowy  zasadniczej</w:t>
      </w:r>
      <w:r w:rsidRPr="00FA7F06">
        <w:rPr>
          <w:rFonts w:asciiTheme="minorHAnsi" w:hAnsiTheme="minorHAnsi"/>
          <w:sz w:val="16"/>
          <w:szCs w:val="16"/>
        </w:rPr>
        <w:br/>
        <w:t xml:space="preserve"> z mieszanki niezwiązanej stabilizowanej mechanicznie </w:t>
      </w:r>
    </w:p>
    <w:p w14:paraId="5B787FF1"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1.3.  Zakres stosowania </w:t>
      </w:r>
      <w:proofErr w:type="spellStart"/>
      <w:r w:rsidRPr="00FA7F06">
        <w:rPr>
          <w:rFonts w:asciiTheme="minorHAnsi" w:hAnsiTheme="minorHAnsi"/>
          <w:b/>
          <w:bCs/>
          <w:sz w:val="16"/>
          <w:szCs w:val="16"/>
        </w:rPr>
        <w:t>STWiORB</w:t>
      </w:r>
      <w:proofErr w:type="spellEnd"/>
      <w:r w:rsidRPr="00FA7F06">
        <w:rPr>
          <w:rFonts w:asciiTheme="minorHAnsi" w:hAnsiTheme="minorHAnsi"/>
          <w:b/>
          <w:bCs/>
          <w:sz w:val="16"/>
          <w:szCs w:val="16"/>
        </w:rPr>
        <w:t xml:space="preserve"> </w:t>
      </w:r>
    </w:p>
    <w:p w14:paraId="38D12EB2" w14:textId="77777777" w:rsidR="00105AB9" w:rsidRPr="00FA7F06" w:rsidRDefault="00105AB9" w:rsidP="00105AB9">
      <w:pPr>
        <w:pStyle w:val="Pro-Inwest"/>
        <w:jc w:val="both"/>
        <w:rPr>
          <w:rFonts w:asciiTheme="minorHAnsi" w:hAnsiTheme="minorHAnsi"/>
          <w:sz w:val="16"/>
          <w:szCs w:val="16"/>
        </w:rPr>
      </w:pP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są  stosowane,  jako  dokument  przetargowy  i kontraktowy  przy  zlecaniu  i realizacji  robót  drogowych.   </w:t>
      </w:r>
    </w:p>
    <w:p w14:paraId="4BF93CF4"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1.3.1.  Nazwy i kody </w:t>
      </w:r>
    </w:p>
    <w:p w14:paraId="33A431C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Nazwy i kody robót objętych wspólnym słownikiem zamówień CPV </w:t>
      </w:r>
    </w:p>
    <w:p w14:paraId="3D15C681"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1.4.  Informacje ogólne o terenie budowy </w:t>
      </w:r>
    </w:p>
    <w:p w14:paraId="6404272A" w14:textId="7BE9E5D1" w:rsidR="00105AB9" w:rsidRPr="00FA7F06" w:rsidRDefault="003A7D17" w:rsidP="00105AB9">
      <w:pPr>
        <w:pStyle w:val="Pro-Inwest"/>
        <w:jc w:val="both"/>
        <w:rPr>
          <w:rFonts w:asciiTheme="minorHAnsi" w:hAnsiTheme="minorHAnsi" w:cstheme="minorHAnsi"/>
          <w:sz w:val="16"/>
          <w:szCs w:val="16"/>
          <w:lang w:eastAsia="ar-SA"/>
        </w:rPr>
      </w:pPr>
      <w:r w:rsidRPr="00FA7F06">
        <w:rPr>
          <w:rFonts w:asciiTheme="minorHAnsi" w:hAnsiTheme="minorHAnsi" w:cstheme="minorHAnsi"/>
          <w:sz w:val="16"/>
          <w:szCs w:val="16"/>
        </w:rPr>
        <w:t>Przebudowa, rozbudowa i remont budynku Uniwersytetu Łódzkiego przy ul. Sienkiewicza 21 w Łodzi, wraz ze zmianą jego sposobu użytkowania z funkcji dydaktycznej  na budynek usługowy o funkcji nauki i kultury z częścią o funkcji zamieszkania zbiorowego(centrum kultury z pokojami gościnnymi) rozbiórką balkonów i schodów zewnętrznych wraz z zadaszeniem, oraz wykonaniem ocieplenia elewacji północnej oraz zachodniej, budową szklanego świetlika nad dziedzińcem wewnętrznym oraz realizacją niezbędnej infrastruktury technicznej i zagospodarowania terenu”. Inwestorem przedsięwzięcia jest Uniwersytet Łódzki, ul. Narutowicza 68 , 90-136 Łódź.</w:t>
      </w:r>
      <w:r w:rsidR="00105AB9" w:rsidRPr="00FA7F06">
        <w:rPr>
          <w:rFonts w:asciiTheme="minorHAnsi" w:hAnsiTheme="minorHAnsi" w:cstheme="minorHAnsi"/>
          <w:sz w:val="16"/>
          <w:szCs w:val="16"/>
          <w:lang w:eastAsia="ar-SA"/>
        </w:rPr>
        <w:t xml:space="preserve"> </w:t>
      </w:r>
    </w:p>
    <w:p w14:paraId="7E8BA73A" w14:textId="0102D0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1.5.  Określenia podstawowe </w:t>
      </w:r>
    </w:p>
    <w:p w14:paraId="4E9B45D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Definicje  i  określenia  podano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D-M.00.00.00.  "Wymagania  ogólne"  oraz w przepisach związanych wyszczególnionych w pkt. 10 niniejszego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w:t>
      </w:r>
    </w:p>
    <w:p w14:paraId="35D441C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1.5.1.  Podbudowa zasadnicza – jedna warstwa lub dwie warstwy konstrukcji nawierzchni spełniająca(e)  podstawową  funkcję</w:t>
      </w:r>
      <w:r w:rsidRPr="00FA7F06">
        <w:rPr>
          <w:rFonts w:asciiTheme="minorHAnsi" w:hAnsiTheme="minorHAnsi"/>
          <w:sz w:val="16"/>
          <w:szCs w:val="16"/>
        </w:rPr>
        <w:br/>
        <w:t xml:space="preserve">w  rozłożeniu  </w:t>
      </w:r>
      <w:proofErr w:type="spellStart"/>
      <w:r w:rsidRPr="00FA7F06">
        <w:rPr>
          <w:rFonts w:asciiTheme="minorHAnsi" w:hAnsiTheme="minorHAnsi"/>
          <w:sz w:val="16"/>
          <w:szCs w:val="16"/>
        </w:rPr>
        <w:t>naprężeń</w:t>
      </w:r>
      <w:proofErr w:type="spellEnd"/>
      <w:r w:rsidRPr="00FA7F06">
        <w:rPr>
          <w:rFonts w:asciiTheme="minorHAnsi" w:hAnsiTheme="minorHAnsi"/>
          <w:sz w:val="16"/>
          <w:szCs w:val="16"/>
        </w:rPr>
        <w:t xml:space="preserve">  od  kół  20  pojazdów. </w:t>
      </w:r>
    </w:p>
    <w:p w14:paraId="2AEC008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Podbudowa zasadnicza może być jednowarstwowa lub dwuwarstwowa. Materiałami do podbudowy zasadniczej mogą być: </w:t>
      </w:r>
    </w:p>
    <w:p w14:paraId="3ADD0C5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a) beton asfaltowy, </w:t>
      </w:r>
    </w:p>
    <w:p w14:paraId="4D2F428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b) mieszanki niezwiązane, </w:t>
      </w:r>
    </w:p>
    <w:p w14:paraId="2917A4C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c) mieszanki związane spoiwem hydraulicznym, </w:t>
      </w:r>
    </w:p>
    <w:p w14:paraId="0B197CE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d) grunty stabilizowane spoiwem hydraulicznym, </w:t>
      </w:r>
    </w:p>
    <w:p w14:paraId="6BD9612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e)  mieszanki  wykonane  w  technologii  recyklingu  na  zimno  (mieszanki  mineralno-cementowo-emulsyjne, mieszanki mineralne z asfaltem spienionym) o właściwościach odpowiednich do podbudowy zasadniczej. </w:t>
      </w:r>
    </w:p>
    <w:p w14:paraId="0D7076E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1.5.2.  Podbudowa  zasadnicza  jednowarstwowa  wg  </w:t>
      </w:r>
      <w:proofErr w:type="spellStart"/>
      <w:r w:rsidRPr="00FA7F06">
        <w:rPr>
          <w:rFonts w:asciiTheme="minorHAnsi" w:hAnsiTheme="minorHAnsi"/>
          <w:sz w:val="16"/>
          <w:szCs w:val="16"/>
        </w:rPr>
        <w:t>KTKNPiP</w:t>
      </w:r>
      <w:proofErr w:type="spellEnd"/>
      <w:r w:rsidRPr="00FA7F06">
        <w:rPr>
          <w:rFonts w:asciiTheme="minorHAnsi" w:hAnsiTheme="minorHAnsi"/>
          <w:sz w:val="16"/>
          <w:szCs w:val="16"/>
        </w:rPr>
        <w:t xml:space="preserve">  2014 r.  występuje w następujących przypadkach: </w:t>
      </w:r>
    </w:p>
    <w:p w14:paraId="2E8E20B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a) Typ A1 (tablica 9.1) dla kategorii ruchu KR1-KR2, </w:t>
      </w:r>
    </w:p>
    <w:p w14:paraId="1D89A0B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b) Typ A2 (tablica 9.2) dla kategorii ruchu KR1-KR2, </w:t>
      </w:r>
    </w:p>
    <w:p w14:paraId="43E7419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c) Typ A3 (tablica 9.3) dla kategorii ruchu KR1-KR2, </w:t>
      </w:r>
    </w:p>
    <w:p w14:paraId="19CCA8D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d) Typ B (tablica 9.4) dla kategorii ruchu KR1-KR7, </w:t>
      </w:r>
    </w:p>
    <w:p w14:paraId="5B75BED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e) Typ C (tablica 9.5) dla kategorii ruchu KR1-KR2, </w:t>
      </w:r>
    </w:p>
    <w:p w14:paraId="4F26C7D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f) Typ D (tablica 9.6) dla kategorii ruchu KR1-KR2, </w:t>
      </w:r>
    </w:p>
    <w:p w14:paraId="1DCD9AD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g) Typ E (tablica 9.7) dla kategorii ruchu KR1-KR3. </w:t>
      </w:r>
    </w:p>
    <w:p w14:paraId="73B9D6C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  wymienionych  konstrukcjach  jednowarstwową  podbudowę  zasadniczą  stanowią: </w:t>
      </w:r>
    </w:p>
    <w:p w14:paraId="3B70DA9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mieszanka  niezwiązana  (typy  A1,  A2,  A3),  beton  asfaltowy  (typ  B),  mieszanka związana spoiwem hydraulicznym (typ C), grunt stabilizowany spoiwem hydraulicznym (typ D) lub mieszanki wykonane w technologii recyklingu na zimno (typ E). </w:t>
      </w:r>
    </w:p>
    <w:p w14:paraId="737DE3E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1.5.3.  Podbudowa  zasadnicza  dwuwarstwowa  wg  </w:t>
      </w:r>
      <w:proofErr w:type="spellStart"/>
      <w:r w:rsidRPr="00FA7F06">
        <w:rPr>
          <w:rFonts w:asciiTheme="minorHAnsi" w:hAnsiTheme="minorHAnsi"/>
          <w:sz w:val="16"/>
          <w:szCs w:val="16"/>
        </w:rPr>
        <w:t>KTKNPiP</w:t>
      </w:r>
      <w:proofErr w:type="spellEnd"/>
      <w:r w:rsidRPr="00FA7F06">
        <w:rPr>
          <w:rFonts w:asciiTheme="minorHAnsi" w:hAnsiTheme="minorHAnsi"/>
          <w:sz w:val="16"/>
          <w:szCs w:val="16"/>
        </w:rPr>
        <w:t xml:space="preserve">  2014 r.  występuje w następujących przypadkach: </w:t>
      </w:r>
    </w:p>
    <w:p w14:paraId="3F9C54E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a) Typ A1 (tablica 9.1) dla kategorii ruchu KR3-KR7, </w:t>
      </w:r>
    </w:p>
    <w:p w14:paraId="6B7303C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b) Typ A2 (tablica 9.2) dla kategorii ruchu KR3-KR7, </w:t>
      </w:r>
    </w:p>
    <w:p w14:paraId="3665CB6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c) Typ C (tablica 9.5) dla kategorii ruchu KR3-KR7, </w:t>
      </w:r>
    </w:p>
    <w:p w14:paraId="7A39190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d) Typ E (tablica 9.7) dla kategorii ruchu KR4. </w:t>
      </w:r>
    </w:p>
    <w:p w14:paraId="7B8280A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 wymienionych konstrukcjach górną warstwę podbudowy zasadniczej stanowi beton asfaltowy, a dolną warstwę podbudowy zasadniczej stanowią mieszanka niezwiązana (typy A1, A2, A3), mieszanka związana spoiwem hydraulicznym (typ C) lub mieszanki wykonane w technologii recyklingu na zimno (typ E). </w:t>
      </w:r>
    </w:p>
    <w:p w14:paraId="588F6A5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1.5.4.  Podbudowa pomocnicza – warstwa tworząca platformę umożliwiającą prawidłowe wbudowanie  podbudowy  zasadniczej,  a  w  czasie  eksploatacji  nawierzchni wspomagająca warstwy górne konstrukcji nawierzchni w rozłożeniu </w:t>
      </w:r>
      <w:proofErr w:type="spellStart"/>
      <w:r w:rsidRPr="00FA7F06">
        <w:rPr>
          <w:rFonts w:asciiTheme="minorHAnsi" w:hAnsiTheme="minorHAnsi"/>
          <w:sz w:val="16"/>
          <w:szCs w:val="16"/>
        </w:rPr>
        <w:t>naprężeń</w:t>
      </w:r>
      <w:proofErr w:type="spellEnd"/>
      <w:r w:rsidRPr="00FA7F06">
        <w:rPr>
          <w:rFonts w:asciiTheme="minorHAnsi" w:hAnsiTheme="minorHAnsi"/>
          <w:sz w:val="16"/>
          <w:szCs w:val="16"/>
        </w:rPr>
        <w:t xml:space="preserve"> od kół pojazdów  oraz  ochronę  nawierzchni  przed  wysadzinami  powodowanymi  przez szkodliwe działanie mrozu. Materiałami używanymi do podbudowy pomocniczej mogą być: </w:t>
      </w:r>
    </w:p>
    <w:p w14:paraId="10EFE22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a) mieszanki niezwiązane, </w:t>
      </w:r>
    </w:p>
    <w:p w14:paraId="5DC2C0E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b) mieszanki związane spoiwami hydraulicznymi, </w:t>
      </w:r>
    </w:p>
    <w:p w14:paraId="136EA77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c) grunty stabilizowane spoiwami hydraulicznymi, o właściwościach odpowiednich do podbudowy pomocniczej.  </w:t>
      </w:r>
    </w:p>
    <w:p w14:paraId="171A983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lastRenderedPageBreak/>
        <w:t>1.5.5.  Mieszanka  niezwiązana  –  ziarnisty  materiał,  zazwyczaj  o  określonym  składzie ziarnowym (od d=0 do D), który jest stosowany</w:t>
      </w:r>
      <w:r w:rsidRPr="00FA7F06">
        <w:rPr>
          <w:rFonts w:asciiTheme="minorHAnsi" w:hAnsiTheme="minorHAnsi"/>
          <w:sz w:val="16"/>
          <w:szCs w:val="16"/>
        </w:rPr>
        <w:br/>
        <w:t>do wykonania ulepszonego podłoża gruntowego oraz warstw konstrukcji nawierzchni dróg. Mieszanka niezwiązana może być wytworzona</w:t>
      </w:r>
      <w:r w:rsidRPr="00FA7F06">
        <w:rPr>
          <w:rFonts w:asciiTheme="minorHAnsi" w:hAnsiTheme="minorHAnsi"/>
          <w:sz w:val="16"/>
          <w:szCs w:val="16"/>
        </w:rPr>
        <w:br/>
        <w:t xml:space="preserve">z kruszyw naturalnych, sztucznych, z recyklingu lub mieszaniny tych kruszyw w określonych proporcjach. </w:t>
      </w:r>
    </w:p>
    <w:p w14:paraId="724EE4C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1.5.6.  Kategoria  –  charakterystyczny  poziom  właściwości  kruszywa  lub  mieszanki niezwiązanej,  wyrażony,  jako  przedział  wartości</w:t>
      </w:r>
      <w:r w:rsidRPr="00FA7F06">
        <w:rPr>
          <w:rFonts w:asciiTheme="minorHAnsi" w:hAnsiTheme="minorHAnsi"/>
          <w:sz w:val="16"/>
          <w:szCs w:val="16"/>
        </w:rPr>
        <w:br/>
        <w:t xml:space="preserve"> lub  wartość  graniczna.  Nie  ma zależności pomiędzy kategoriami różnych właściwości. </w:t>
      </w:r>
    </w:p>
    <w:p w14:paraId="57AB7BD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1.5.7.  Kruszywo – materiał ziarnisty stosowany w budownictwie, który może być naturalny, sztuczny lub z recyklingu. </w:t>
      </w:r>
    </w:p>
    <w:p w14:paraId="68BB918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1.5.8.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 </w:t>
      </w:r>
    </w:p>
    <w:p w14:paraId="7ECB6D8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1.5.9.  Kruszywo  sztuczne  –  kruszywo  pochodzenia  mineralnego,  uzyskiwane  w  wyniku procesu  przemysłowego  obejmującego  obróbkę  termiczną  lub  inną  modyfikację. Do kruszywa sztucznego zalicza się w szczególności kruszywo z żużli: wielkopiecowych, stalowniczych i pomiedziowych. </w:t>
      </w:r>
    </w:p>
    <w:p w14:paraId="5D36447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1.5.10.Kruszywo  z  recyklingu  –  kruszywo  powstałe  w  wyniku  przeróbki  materiału zastosowanego uprzednio w budownictwie. </w:t>
      </w:r>
    </w:p>
    <w:p w14:paraId="05EE44E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1.5.11.Kruszywo  kamienne  –  kruszywo  z  mineralnych  surowców  jak  żwir  kruszony, mechanicznie rozdrobnione skały, nadziarno żwirowe. </w:t>
      </w:r>
    </w:p>
    <w:p w14:paraId="20D6356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1.5.12.Kruszywo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 </w:t>
      </w:r>
    </w:p>
    <w:p w14:paraId="54CC527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1.5.13.Kruszywo żużlowe z żużla stalowniczego – kruszywo składające się głównie ze skrystalizowanego  krzemianu  wapnia  i  ferrytu  zawierającego  </w:t>
      </w:r>
      <w:proofErr w:type="spellStart"/>
      <w:r w:rsidRPr="00FA7F06">
        <w:rPr>
          <w:rFonts w:asciiTheme="minorHAnsi" w:hAnsiTheme="minorHAnsi"/>
          <w:sz w:val="16"/>
          <w:szCs w:val="16"/>
        </w:rPr>
        <w:t>CaO</w:t>
      </w:r>
      <w:proofErr w:type="spellEnd"/>
      <w:r w:rsidRPr="00FA7F06">
        <w:rPr>
          <w:rFonts w:asciiTheme="minorHAnsi" w:hAnsiTheme="minorHAnsi"/>
          <w:sz w:val="16"/>
          <w:szCs w:val="16"/>
        </w:rPr>
        <w:t xml:space="preserve">,  SiO2,  </w:t>
      </w:r>
      <w:proofErr w:type="spellStart"/>
      <w:r w:rsidRPr="00FA7F06">
        <w:rPr>
          <w:rFonts w:asciiTheme="minorHAnsi" w:hAnsiTheme="minorHAnsi"/>
          <w:sz w:val="16"/>
          <w:szCs w:val="16"/>
        </w:rPr>
        <w:t>MgO</w:t>
      </w:r>
      <w:proofErr w:type="spellEnd"/>
      <w:r w:rsidRPr="00FA7F06">
        <w:rPr>
          <w:rFonts w:asciiTheme="minorHAnsi" w:hAnsiTheme="minorHAnsi"/>
          <w:sz w:val="16"/>
          <w:szCs w:val="16"/>
        </w:rPr>
        <w:t xml:space="preserve">  oraz tlenek żelaza. Kruszywo otrzymuje się przez powolne schładzanie powietrzem ciekłego żużla  stalowniczego.  Proces  chłodzenia  może  odbywać  się  przy  kontrolowanym dodawaniu wody. </w:t>
      </w:r>
    </w:p>
    <w:p w14:paraId="3D847E1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1.5.14.Kategoria  ruchu  (KR1  ÷  KR7)  –  obciążenie  drogi  ruchem  samochodowym, wyrażone w osiach obliczeniowych (100 </w:t>
      </w:r>
      <w:proofErr w:type="spellStart"/>
      <w:r w:rsidRPr="00FA7F06">
        <w:rPr>
          <w:rFonts w:asciiTheme="minorHAnsi" w:hAnsiTheme="minorHAnsi"/>
          <w:sz w:val="16"/>
          <w:szCs w:val="16"/>
        </w:rPr>
        <w:t>kN</w:t>
      </w:r>
      <w:proofErr w:type="spellEnd"/>
      <w:r w:rsidRPr="00FA7F06">
        <w:rPr>
          <w:rFonts w:asciiTheme="minorHAnsi" w:hAnsiTheme="minorHAnsi"/>
          <w:sz w:val="16"/>
          <w:szCs w:val="16"/>
        </w:rPr>
        <w:t xml:space="preserve">) według „Katalogu typowych konstrukcji nawierzchni podatnych i półsztywnych”. Politechnika Gdańska, Warszawa 2014 </w:t>
      </w:r>
    </w:p>
    <w:p w14:paraId="1EE6108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1.5.15.Kruszywo grube (wg PN-EN 13242) – oznaczenie kruszywa o wymiarach ziaren d (dolnego) równym lub większym niż 1 mm oraz D (górnego) większym niż 2 mm. </w:t>
      </w:r>
    </w:p>
    <w:p w14:paraId="7B159CA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1.5.16.Kruszywo drobne (wg PN-EN 13242) – oznaczenie kruszywa o wymiarach ziaren d równym 0 oraz D równym 6,3 mm lub mniejszym. </w:t>
      </w:r>
    </w:p>
    <w:p w14:paraId="0728A68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1.5.17.Kruszywo  o  ciągłym  uziarnieniu  (wg  PN-EN  13242)  –  kruszywo  stanowiące mieszankę kruszyw grubych i drobnych, w której D jest większe niż 6,3 mm. </w:t>
      </w:r>
    </w:p>
    <w:p w14:paraId="3D89C23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1.5.18.Destrukt asfaltowy – materiał drogowy pochodzący z frezowania istniejących warstw z mieszanek  mineralno-asfaltowych  (</w:t>
      </w:r>
      <w:proofErr w:type="spellStart"/>
      <w:r w:rsidRPr="00FA7F06">
        <w:rPr>
          <w:rFonts w:asciiTheme="minorHAnsi" w:hAnsiTheme="minorHAnsi"/>
          <w:sz w:val="16"/>
          <w:szCs w:val="16"/>
        </w:rPr>
        <w:t>mma</w:t>
      </w:r>
      <w:proofErr w:type="spellEnd"/>
      <w:r w:rsidRPr="00FA7F06">
        <w:rPr>
          <w:rFonts w:asciiTheme="minorHAnsi" w:hAnsiTheme="minorHAnsi"/>
          <w:sz w:val="16"/>
          <w:szCs w:val="16"/>
        </w:rPr>
        <w:t xml:space="preserve">)  lub  z  </w:t>
      </w:r>
      <w:proofErr w:type="spellStart"/>
      <w:r w:rsidRPr="00FA7F06">
        <w:rPr>
          <w:rFonts w:asciiTheme="minorHAnsi" w:hAnsiTheme="minorHAnsi"/>
          <w:sz w:val="16"/>
          <w:szCs w:val="16"/>
        </w:rPr>
        <w:t>przekruszenia</w:t>
      </w:r>
      <w:proofErr w:type="spellEnd"/>
      <w:r w:rsidRPr="00FA7F06">
        <w:rPr>
          <w:rFonts w:asciiTheme="minorHAnsi" w:hAnsiTheme="minorHAnsi"/>
          <w:sz w:val="16"/>
          <w:szCs w:val="16"/>
        </w:rPr>
        <w:t xml:space="preserve">  kawałków  warstw nawierzchni  asfaltowych  oraz  niewbudowanych  partii  </w:t>
      </w:r>
      <w:proofErr w:type="spellStart"/>
      <w:r w:rsidRPr="00FA7F06">
        <w:rPr>
          <w:rFonts w:asciiTheme="minorHAnsi" w:hAnsiTheme="minorHAnsi"/>
          <w:sz w:val="16"/>
          <w:szCs w:val="16"/>
        </w:rPr>
        <w:t>mma</w:t>
      </w:r>
      <w:proofErr w:type="spellEnd"/>
      <w:r w:rsidRPr="00FA7F06">
        <w:rPr>
          <w:rFonts w:asciiTheme="minorHAnsi" w:hAnsiTheme="minorHAnsi"/>
          <w:sz w:val="16"/>
          <w:szCs w:val="16"/>
        </w:rPr>
        <w:t xml:space="preserve">,  który  został ujednorodniony pod względem składu oraz co najmniej przesiany, w celu odrzucenia dużych kawałków </w:t>
      </w:r>
      <w:proofErr w:type="spellStart"/>
      <w:r w:rsidRPr="00FA7F06">
        <w:rPr>
          <w:rFonts w:asciiTheme="minorHAnsi" w:hAnsiTheme="minorHAnsi"/>
          <w:sz w:val="16"/>
          <w:szCs w:val="16"/>
        </w:rPr>
        <w:t>mma</w:t>
      </w:r>
      <w:proofErr w:type="spellEnd"/>
      <w:r w:rsidRPr="00FA7F06">
        <w:rPr>
          <w:rFonts w:asciiTheme="minorHAnsi" w:hAnsiTheme="minorHAnsi"/>
          <w:sz w:val="16"/>
          <w:szCs w:val="16"/>
        </w:rPr>
        <w:t xml:space="preserve"> (nadziarno nie większe od 1,4 D mieszanki </w:t>
      </w:r>
    </w:p>
    <w:p w14:paraId="68EBA54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1.5.19.Destrukt betonowy – materiał mineralno-cementowy powstały w wyniku kruszenia warstw konstrukcyjnych z betonu cementowego nawierzchni drogowych. </w:t>
      </w:r>
    </w:p>
    <w:p w14:paraId="33302F3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1.5.20.Kruszywa  słabe  –  kruszywo  przewidziane  do  zastosowania  w  mieszance przeznaczonej  do  wykonywania  warstw  nawierzchni  drogowej  lub  podłoża ulepszonego, które charakteryzuje się różnicami w uziarnieniu przed i po 5-krotnym zagęszczeniu metodą </w:t>
      </w:r>
      <w:proofErr w:type="spellStart"/>
      <w:r w:rsidRPr="00FA7F06">
        <w:rPr>
          <w:rFonts w:asciiTheme="minorHAnsi" w:hAnsiTheme="minorHAnsi"/>
          <w:sz w:val="16"/>
          <w:szCs w:val="16"/>
        </w:rPr>
        <w:t>Proctora</w:t>
      </w:r>
      <w:proofErr w:type="spellEnd"/>
      <w:r w:rsidRPr="00FA7F06">
        <w:rPr>
          <w:rFonts w:asciiTheme="minorHAnsi" w:hAnsiTheme="minorHAnsi"/>
          <w:sz w:val="16"/>
          <w:szCs w:val="16"/>
        </w:rPr>
        <w:t>, przekraczającymi ± 8%. Uziarnienie kruszywa należy sprawdzać  na  sitach  przewidzianych  do  kontroli  uziarnienia  wg  PN-EN  13285</w:t>
      </w:r>
      <w:r w:rsidRPr="00FA7F06">
        <w:rPr>
          <w:rFonts w:asciiTheme="minorHAnsi" w:hAnsiTheme="minorHAnsi"/>
          <w:sz w:val="16"/>
          <w:szCs w:val="16"/>
        </w:rPr>
        <w:br/>
        <w:t xml:space="preserve"> i niniejszej  </w:t>
      </w:r>
      <w:proofErr w:type="spellStart"/>
      <w:r w:rsidRPr="00FA7F06">
        <w:rPr>
          <w:rFonts w:asciiTheme="minorHAnsi" w:hAnsiTheme="minorHAnsi"/>
          <w:sz w:val="16"/>
          <w:szCs w:val="16"/>
        </w:rPr>
        <w:t>WWiORB</w:t>
      </w:r>
      <w:proofErr w:type="spellEnd"/>
      <w:r w:rsidRPr="00FA7F06">
        <w:rPr>
          <w:rFonts w:asciiTheme="minorHAnsi" w:hAnsiTheme="minorHAnsi"/>
          <w:sz w:val="16"/>
          <w:szCs w:val="16"/>
        </w:rPr>
        <w:t>.  O  zakwalifikowaniu  kruszywa  do  kruszyw  słabych  decyduje największa różnica wartości przesiewów na jednym</w:t>
      </w:r>
      <w:r w:rsidRPr="00FA7F06">
        <w:rPr>
          <w:rFonts w:asciiTheme="minorHAnsi" w:hAnsiTheme="minorHAnsi"/>
          <w:sz w:val="16"/>
          <w:szCs w:val="16"/>
        </w:rPr>
        <w:br/>
        <w:t xml:space="preserve">z sit kontrolnych. </w:t>
      </w:r>
    </w:p>
    <w:p w14:paraId="5A913BEF"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1.6.  Ogólne wymagania dotyczące robót </w:t>
      </w:r>
    </w:p>
    <w:p w14:paraId="10B5149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1.6.1.  Ogólne  wymagania  dotyczące  robót  podano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D-M  00.00.00  "Wymagania Ogólne". </w:t>
      </w:r>
    </w:p>
    <w:p w14:paraId="0DE2E93A" w14:textId="77777777" w:rsidR="00105AB9" w:rsidRPr="00FA7F06" w:rsidRDefault="00105AB9" w:rsidP="00105AB9">
      <w:pPr>
        <w:pStyle w:val="Pro-Inwest"/>
        <w:jc w:val="both"/>
        <w:rPr>
          <w:rFonts w:asciiTheme="minorHAnsi" w:hAnsiTheme="minorHAnsi"/>
          <w:sz w:val="16"/>
          <w:szCs w:val="16"/>
        </w:rPr>
      </w:pPr>
    </w:p>
    <w:p w14:paraId="551A14C9"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2.  MATERIAŁY </w:t>
      </w:r>
    </w:p>
    <w:p w14:paraId="649C3E21"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2.1.  Ogólne wymagania dotyczące materiałów </w:t>
      </w:r>
    </w:p>
    <w:p w14:paraId="5908736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2.1.1.  Ogólne  wymagania  dotyczące  materiałów  podano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D-M  00.00.00, Wymagania ogólne" punkt 2. </w:t>
      </w:r>
    </w:p>
    <w:p w14:paraId="343FC9C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2.1.2.  Podstawowe wymagania dotyczące materiałów </w:t>
      </w:r>
    </w:p>
    <w:p w14:paraId="0E2B9F5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Wszystkie materiały użyte do budowy powinny pochodzić tylko ze źródeł uzgodnionych i zatwierdzonych przez Inżyniera/ Inspektora Nadzoru/Zamawiającego. </w:t>
      </w:r>
    </w:p>
    <w:p w14:paraId="3A8CCF9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Mieszanka  kruszywa  niezwiązanego  przeznaczona  do  podbudowy  powinny  spełniać wymagania krajowe, przenoszące zapisy normy PN-EN-13285 Mieszanki niezwiązane Wymagania,  które  zostały  określone  w  dokumentach:  WT-4  2010,  </w:t>
      </w:r>
      <w:proofErr w:type="spellStart"/>
      <w:r w:rsidRPr="00FA7F06">
        <w:rPr>
          <w:rFonts w:asciiTheme="minorHAnsi" w:hAnsiTheme="minorHAnsi"/>
          <w:sz w:val="16"/>
          <w:szCs w:val="16"/>
        </w:rPr>
        <w:t>KTKNPiP</w:t>
      </w:r>
      <w:proofErr w:type="spellEnd"/>
      <w:r w:rsidRPr="00FA7F06">
        <w:rPr>
          <w:rFonts w:asciiTheme="minorHAnsi" w:hAnsiTheme="minorHAnsi"/>
          <w:sz w:val="16"/>
          <w:szCs w:val="16"/>
        </w:rPr>
        <w:t xml:space="preserve">  2014, KTKNS 2014.  </w:t>
      </w:r>
    </w:p>
    <w:p w14:paraId="47044E1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Materiałami stosowanymi do wytwarzania mieszanek z kruszywa niezwiązanego są: </w:t>
      </w:r>
    </w:p>
    <w:p w14:paraId="0B347C5C"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kruszywo, </w:t>
      </w:r>
    </w:p>
    <w:p w14:paraId="77938B24"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woda do zraszania kruszywa. </w:t>
      </w:r>
    </w:p>
    <w:p w14:paraId="724DED5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Mieszanki kruszywa powinny być tak produkowane i składowane, aby miały jednakowe właściwości  i  spełniały  wymagania  podane</w:t>
      </w:r>
      <w:r w:rsidRPr="00FA7F06">
        <w:rPr>
          <w:rFonts w:asciiTheme="minorHAnsi" w:hAnsiTheme="minorHAnsi"/>
          <w:sz w:val="16"/>
          <w:szCs w:val="16"/>
        </w:rPr>
        <w:br/>
        <w:t xml:space="preserve">w  Tablicy  2.1  i  2.6.  Wyprodukowane mieszanki  kruszywa  powinny  być  jednorodnie  wymieszane  i  charakteryzować  się równomierną wilgotnością. </w:t>
      </w:r>
    </w:p>
    <w:p w14:paraId="3297402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Kruszywo  powinno  być  składowane  w  pryzmach,  na  utwardzonym  i  dobrze odwodnionym placu, w warunkach zabezpieczających przed zanieczyszczeniem i przed wymieszaniem różnych rodzajów kruszyw </w:t>
      </w:r>
    </w:p>
    <w:p w14:paraId="6F85FE3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Zawartość  wody  w  mieszance  kruszywa  w  trakcie  wbudowywania  i  zagęszczania, określona według PN-EN 13286-2, powinna odpowiadać wymaganiom Tablicy 2.6. </w:t>
      </w:r>
    </w:p>
    <w:p w14:paraId="0277B96A" w14:textId="77777777" w:rsidR="00105AB9" w:rsidRPr="00FA7F06" w:rsidRDefault="00105AB9" w:rsidP="00105AB9">
      <w:pPr>
        <w:pStyle w:val="Pro-Inwest"/>
        <w:jc w:val="both"/>
        <w:rPr>
          <w:rFonts w:asciiTheme="minorHAnsi" w:hAnsiTheme="minorHAnsi"/>
          <w:sz w:val="16"/>
          <w:szCs w:val="16"/>
        </w:rPr>
      </w:pPr>
    </w:p>
    <w:p w14:paraId="4610DB2B"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2.2.  Właściwości kruszywa </w:t>
      </w:r>
    </w:p>
    <w:p w14:paraId="0FB4DB4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Do mieszanek można stosować następujące rodzaje kruszyw: </w:t>
      </w:r>
    </w:p>
    <w:p w14:paraId="284D681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lastRenderedPageBreak/>
        <w:t xml:space="preserve">a)  kruszywo naturalne lub sztuczne, </w:t>
      </w:r>
    </w:p>
    <w:p w14:paraId="3CA0369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b)  kruszywo z recyklingu, </w:t>
      </w:r>
    </w:p>
    <w:p w14:paraId="695C1E9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c)  połączenie  kruszyw  wymienionych  w  punktach  a)  i  b)  z  określeniem  proporcji kruszyw z a) i b) </w:t>
      </w:r>
    </w:p>
    <w:p w14:paraId="0E0D925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d)  z dokładnością ± 5% m/m. </w:t>
      </w:r>
    </w:p>
    <w:p w14:paraId="39B4028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Należy zastosować kruszywa spełniające wymagania podane w Tablicy 2.1. </w:t>
      </w:r>
    </w:p>
    <w:p w14:paraId="49D0BBBF" w14:textId="77777777" w:rsidR="00105AB9" w:rsidRPr="00FA7F06" w:rsidRDefault="00105AB9" w:rsidP="00105AB9">
      <w:pPr>
        <w:pStyle w:val="Pro-Inwest"/>
        <w:jc w:val="both"/>
        <w:rPr>
          <w:rFonts w:asciiTheme="minorHAnsi" w:hAnsiTheme="minorHAnsi"/>
          <w:sz w:val="16"/>
          <w:szCs w:val="16"/>
        </w:rPr>
      </w:pPr>
    </w:p>
    <w:p w14:paraId="67BF60A8" w14:textId="77777777" w:rsidR="00105AB9" w:rsidRPr="00FA7F06" w:rsidRDefault="00000000" w:rsidP="00105AB9">
      <w:pPr>
        <w:pStyle w:val="Pro-Inwest"/>
        <w:jc w:val="center"/>
        <w:rPr>
          <w:rFonts w:asciiTheme="minorHAnsi" w:hAnsiTheme="minorHAnsi"/>
          <w:sz w:val="16"/>
          <w:szCs w:val="16"/>
        </w:rPr>
      </w:pPr>
      <w:r w:rsidRPr="00FA7F06">
        <w:rPr>
          <w:rFonts w:asciiTheme="minorHAnsi" w:hAnsiTheme="minorHAnsi"/>
          <w:noProof/>
          <w:sz w:val="16"/>
          <w:szCs w:val="16"/>
        </w:rPr>
        <w:pict w14:anchorId="1A63C99C">
          <v:shapetype id="_x0000_t32" coordsize="21600,21600" o:spt="32" o:oned="t" path="m,l21600,21600e" filled="f">
            <v:path arrowok="t" fillok="f" o:connecttype="none"/>
            <o:lock v:ext="edit" shapetype="t"/>
          </v:shapetype>
          <v:shape id="_x0000_s2071" type="#_x0000_t32" style="position:absolute;left:0;text-align:left;margin-left:296.65pt;margin-top:35.35pt;width:39.45pt;height:274.2pt;flip:x;z-index:251652608" o:connectortype="straight"/>
        </w:pict>
      </w:r>
      <w:r w:rsidRPr="00FA7F06">
        <w:rPr>
          <w:rFonts w:asciiTheme="minorHAnsi" w:hAnsiTheme="minorHAnsi"/>
          <w:noProof/>
          <w:sz w:val="16"/>
          <w:szCs w:val="16"/>
        </w:rPr>
        <w:pict w14:anchorId="013A20DF">
          <v:shape id="_x0000_s2070" type="#_x0000_t32" style="position:absolute;left:0;text-align:left;margin-left:294.8pt;margin-top:34.1pt;width:41.95pt;height:276.1pt;z-index:251651584" o:connectortype="straight"/>
        </w:pict>
      </w:r>
      <w:r w:rsidRPr="00FA7F06">
        <w:rPr>
          <w:rFonts w:asciiTheme="minorHAnsi" w:hAnsiTheme="minorHAnsi"/>
          <w:noProof/>
          <w:sz w:val="16"/>
          <w:szCs w:val="16"/>
        </w:rPr>
        <w:pict w14:anchorId="2E0BAB28">
          <v:shape id="_x0000_s2069" type="#_x0000_t32" style="position:absolute;left:0;text-align:left;margin-left:257.85pt;margin-top:49.75pt;width:32.55pt;height:260.45pt;flip:x;z-index:251650560" o:connectortype="straight"/>
        </w:pict>
      </w:r>
      <w:r w:rsidRPr="00FA7F06">
        <w:rPr>
          <w:rFonts w:asciiTheme="minorHAnsi" w:hAnsiTheme="minorHAnsi"/>
          <w:noProof/>
          <w:sz w:val="16"/>
          <w:szCs w:val="16"/>
        </w:rPr>
        <w:pict w14:anchorId="10B1F474">
          <v:shape id="_x0000_s2068" type="#_x0000_t32" style="position:absolute;left:0;text-align:left;margin-left:259.7pt;margin-top:47.85pt;width:33.2pt;height:264.2pt;z-index:251649536" o:connectortype="straight"/>
        </w:pict>
      </w:r>
      <w:r w:rsidRPr="00FA7F06">
        <w:rPr>
          <w:rFonts w:asciiTheme="minorHAnsi" w:hAnsiTheme="minorHAnsi"/>
          <w:noProof/>
          <w:sz w:val="16"/>
          <w:szCs w:val="16"/>
        </w:rPr>
        <w:pict w14:anchorId="15FBB9BB">
          <v:shape id="_x0000_s2067" type="#_x0000_t32" style="position:absolute;left:0;text-align:left;margin-left:179.6pt;margin-top:49.75pt;width:32.55pt;height:260.45pt;flip:x;z-index:251648512" o:connectortype="straight"/>
        </w:pict>
      </w:r>
      <w:r w:rsidRPr="00FA7F06">
        <w:rPr>
          <w:rFonts w:asciiTheme="minorHAnsi" w:hAnsiTheme="minorHAnsi"/>
          <w:noProof/>
          <w:sz w:val="16"/>
          <w:szCs w:val="16"/>
        </w:rPr>
        <w:pict w14:anchorId="751103E0">
          <v:shape id="_x0000_s2066" type="#_x0000_t32" style="position:absolute;left:0;text-align:left;margin-left:177.1pt;margin-top:48.5pt;width:35.05pt;height:261.7pt;z-index:251647488" o:connectortype="straight"/>
        </w:pict>
      </w:r>
      <w:r w:rsidR="00105AB9" w:rsidRPr="00FA7F06">
        <w:rPr>
          <w:rFonts w:asciiTheme="minorHAnsi" w:hAnsiTheme="minorHAnsi"/>
          <w:noProof/>
          <w:sz w:val="16"/>
          <w:szCs w:val="16"/>
        </w:rPr>
        <w:drawing>
          <wp:inline distT="0" distB="0" distL="0" distR="0" wp14:anchorId="646C91B9" wp14:editId="341F4DE9">
            <wp:extent cx="4202587" cy="4223982"/>
            <wp:effectExtent l="0" t="0" r="0" b="0"/>
            <wp:docPr id="72" name="Obraz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219283" cy="4240763"/>
                    </a:xfrm>
                    <a:prstGeom prst="rect">
                      <a:avLst/>
                    </a:prstGeom>
                    <a:noFill/>
                    <a:ln>
                      <a:noFill/>
                    </a:ln>
                  </pic:spPr>
                </pic:pic>
              </a:graphicData>
            </a:graphic>
          </wp:inline>
        </w:drawing>
      </w:r>
    </w:p>
    <w:p w14:paraId="33EBF7CE" w14:textId="77777777" w:rsidR="00105AB9" w:rsidRPr="00FA7F06" w:rsidRDefault="00000000" w:rsidP="00105AB9">
      <w:pPr>
        <w:pStyle w:val="Pro-Inwest"/>
        <w:jc w:val="center"/>
        <w:rPr>
          <w:rFonts w:asciiTheme="minorHAnsi" w:hAnsiTheme="minorHAnsi"/>
          <w:sz w:val="16"/>
          <w:szCs w:val="16"/>
        </w:rPr>
      </w:pPr>
      <w:r w:rsidRPr="00FA7F06">
        <w:rPr>
          <w:rFonts w:asciiTheme="minorHAnsi" w:hAnsiTheme="minorHAnsi"/>
          <w:noProof/>
          <w:sz w:val="16"/>
          <w:szCs w:val="16"/>
        </w:rPr>
        <w:lastRenderedPageBreak/>
        <w:pict w14:anchorId="28CE8EC4">
          <v:shape id="_x0000_s2077" type="#_x0000_t32" style="position:absolute;left:0;text-align:left;margin-left:299.8pt;margin-top:6.85pt;width:40.7pt;height:276.1pt;flip:x;z-index:251658752" o:connectortype="straight"/>
        </w:pict>
      </w:r>
      <w:r w:rsidRPr="00FA7F06">
        <w:rPr>
          <w:rFonts w:asciiTheme="minorHAnsi" w:hAnsiTheme="minorHAnsi"/>
          <w:noProof/>
          <w:sz w:val="16"/>
          <w:szCs w:val="16"/>
        </w:rPr>
        <w:pict w14:anchorId="1747C41B">
          <v:shape id="_x0000_s2076" type="#_x0000_t32" style="position:absolute;left:0;text-align:left;margin-left:299.8pt;margin-top:5pt;width:40.7pt;height:281.75pt;z-index:251657728" o:connectortype="straight"/>
        </w:pict>
      </w:r>
      <w:r w:rsidRPr="00FA7F06">
        <w:rPr>
          <w:rFonts w:asciiTheme="minorHAnsi" w:hAnsiTheme="minorHAnsi"/>
          <w:noProof/>
          <w:sz w:val="16"/>
          <w:szCs w:val="16"/>
        </w:rPr>
        <w:pict w14:anchorId="373AFD8D">
          <v:shape id="_x0000_s2075" type="#_x0000_t32" style="position:absolute;left:0;text-align:left;margin-left:257.85pt;margin-top:5pt;width:36.3pt;height:281.75pt;flip:x;z-index:251656704" o:connectortype="straight"/>
        </w:pict>
      </w:r>
      <w:r w:rsidRPr="00FA7F06">
        <w:rPr>
          <w:rFonts w:asciiTheme="minorHAnsi" w:hAnsiTheme="minorHAnsi"/>
          <w:noProof/>
          <w:sz w:val="16"/>
          <w:szCs w:val="16"/>
        </w:rPr>
        <w:pict w14:anchorId="6D1DD779">
          <v:shape id="_x0000_s2074" type="#_x0000_t32" style="position:absolute;left:0;text-align:left;margin-left:259.7pt;margin-top:6.85pt;width:33.2pt;height:279.25pt;z-index:251655680" o:connectortype="straight"/>
        </w:pict>
      </w:r>
      <w:r w:rsidRPr="00FA7F06">
        <w:rPr>
          <w:rFonts w:asciiTheme="minorHAnsi" w:hAnsiTheme="minorHAnsi"/>
          <w:noProof/>
          <w:sz w:val="16"/>
          <w:szCs w:val="16"/>
        </w:rPr>
        <w:pict w14:anchorId="2CE02136">
          <v:shape id="_x0000_s2073" type="#_x0000_t32" style="position:absolute;left:0;text-align:left;margin-left:173.95pt;margin-top:7.5pt;width:40.7pt;height:278.6pt;flip:x;z-index:251654656" o:connectortype="straight"/>
        </w:pict>
      </w:r>
      <w:r w:rsidRPr="00FA7F06">
        <w:rPr>
          <w:rFonts w:asciiTheme="minorHAnsi" w:hAnsiTheme="minorHAnsi"/>
          <w:noProof/>
          <w:sz w:val="16"/>
          <w:szCs w:val="16"/>
        </w:rPr>
        <w:pict w14:anchorId="2D66EFF5">
          <v:shape id="_x0000_s2072" type="#_x0000_t32" style="position:absolute;left:0;text-align:left;margin-left:174.6pt;margin-top:4.35pt;width:35.05pt;height:282.4pt;z-index:251653632" o:connectortype="straight"/>
        </w:pict>
      </w:r>
      <w:r w:rsidR="00105AB9" w:rsidRPr="00FA7F06">
        <w:rPr>
          <w:rFonts w:asciiTheme="minorHAnsi" w:hAnsiTheme="minorHAnsi"/>
          <w:noProof/>
          <w:sz w:val="16"/>
          <w:szCs w:val="16"/>
        </w:rPr>
        <w:drawing>
          <wp:inline distT="0" distB="0" distL="0" distR="0" wp14:anchorId="2FFCA61B" wp14:editId="0A7D3812">
            <wp:extent cx="4377056" cy="4663222"/>
            <wp:effectExtent l="0" t="0" r="0" b="0"/>
            <wp:docPr id="73"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83325" cy="4669901"/>
                    </a:xfrm>
                    <a:prstGeom prst="rect">
                      <a:avLst/>
                    </a:prstGeom>
                    <a:noFill/>
                    <a:ln>
                      <a:noFill/>
                    </a:ln>
                  </pic:spPr>
                </pic:pic>
              </a:graphicData>
            </a:graphic>
          </wp:inline>
        </w:drawing>
      </w:r>
    </w:p>
    <w:p w14:paraId="7E8E6D74" w14:textId="77777777" w:rsidR="00105AB9" w:rsidRPr="00FA7F06" w:rsidRDefault="00105AB9" w:rsidP="00105AB9">
      <w:pPr>
        <w:pStyle w:val="Pro-Inwest"/>
        <w:jc w:val="center"/>
        <w:rPr>
          <w:rFonts w:asciiTheme="minorHAnsi" w:hAnsiTheme="minorHAnsi"/>
          <w:sz w:val="16"/>
          <w:szCs w:val="16"/>
        </w:rPr>
      </w:pPr>
    </w:p>
    <w:p w14:paraId="3909F041"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2.3.  Wymagania wobec mieszanek </w:t>
      </w:r>
    </w:p>
    <w:p w14:paraId="4D52C3D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  warstwach  podbudowy  zasadniczej  i  pomocniczej  można  stosować  następujące mieszanki kruszyw: </w:t>
      </w:r>
    </w:p>
    <w:p w14:paraId="7B308504"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0/31,5 mm, </w:t>
      </w:r>
    </w:p>
    <w:p w14:paraId="0F6BF034" w14:textId="77777777" w:rsidR="00105AB9" w:rsidRPr="00FA7F06" w:rsidRDefault="00105AB9" w:rsidP="00105AB9">
      <w:pPr>
        <w:pStyle w:val="Pro-Inwest"/>
        <w:jc w:val="both"/>
        <w:rPr>
          <w:rFonts w:asciiTheme="minorHAnsi" w:hAnsiTheme="minorHAnsi"/>
          <w:sz w:val="16"/>
          <w:szCs w:val="16"/>
        </w:rPr>
      </w:pPr>
    </w:p>
    <w:p w14:paraId="3AEAB735"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2.4.  Wymagane właściwości mieszanki niezwiązanej do podbudowy zasadniczej </w:t>
      </w:r>
    </w:p>
    <w:p w14:paraId="59834E8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2.4.1.  Zawartość pyłu </w:t>
      </w:r>
    </w:p>
    <w:p w14:paraId="1D69A9C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Maksymalna zawartość pyłów &lt; 0,063 mm w mieszankach kruszyw przeznaczonych do warstwy podbudowy zasadniczej, powinna spełniać wymagania kategorii podanej w Tablicy 2.6. Zawartość pyłów należy oznaczać wg PN-EN 933-1. </w:t>
      </w:r>
    </w:p>
    <w:p w14:paraId="79A30B5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7EF7C0F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 przypadku słabych kruszyw zawartość pyłów w mieszance kruszyw należy również badać i deklarować, po 5 krotnym zagęszczeniu metodą </w:t>
      </w:r>
      <w:proofErr w:type="spellStart"/>
      <w:r w:rsidRPr="00FA7F06">
        <w:rPr>
          <w:rFonts w:asciiTheme="minorHAnsi" w:hAnsiTheme="minorHAnsi"/>
          <w:sz w:val="16"/>
          <w:szCs w:val="16"/>
        </w:rPr>
        <w:t>Proctora</w:t>
      </w:r>
      <w:proofErr w:type="spellEnd"/>
      <w:r w:rsidRPr="00FA7F06">
        <w:rPr>
          <w:rFonts w:asciiTheme="minorHAnsi" w:hAnsiTheme="minorHAnsi"/>
          <w:sz w:val="16"/>
          <w:szCs w:val="16"/>
        </w:rPr>
        <w:t xml:space="preserve">. Zawartość pyłów w takiej mieszance, po pięciokrotnym zagęszczeniu metodą </w:t>
      </w:r>
      <w:proofErr w:type="spellStart"/>
      <w:r w:rsidRPr="00FA7F06">
        <w:rPr>
          <w:rFonts w:asciiTheme="minorHAnsi" w:hAnsiTheme="minorHAnsi"/>
          <w:sz w:val="16"/>
          <w:szCs w:val="16"/>
        </w:rPr>
        <w:t>Proctora</w:t>
      </w:r>
      <w:proofErr w:type="spellEnd"/>
      <w:r w:rsidRPr="00FA7F06">
        <w:rPr>
          <w:rFonts w:asciiTheme="minorHAnsi" w:hAnsiTheme="minorHAnsi"/>
          <w:sz w:val="16"/>
          <w:szCs w:val="16"/>
        </w:rPr>
        <w:t xml:space="preserve">, powinna również spełniać wymagania podane w Tablicy 2.4. </w:t>
      </w:r>
    </w:p>
    <w:p w14:paraId="01B3411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Nie  określa  się  wymagania  wobec  minimalnej  zawartości  pyłów  &lt;  0,063  mm  w mieszankach kruszyw do warstwy podbudowy zasadniczej. </w:t>
      </w:r>
    </w:p>
    <w:p w14:paraId="54D3E19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2.4.2.  Zawartość nadziarna </w:t>
      </w:r>
    </w:p>
    <w:p w14:paraId="5F827BC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sidRPr="00FA7F06">
        <w:rPr>
          <w:rFonts w:asciiTheme="minorHAnsi" w:hAnsiTheme="minorHAnsi"/>
          <w:sz w:val="16"/>
          <w:szCs w:val="16"/>
        </w:rPr>
        <w:t>Proctora</w:t>
      </w:r>
      <w:proofErr w:type="spellEnd"/>
      <w:r w:rsidRPr="00FA7F06">
        <w:rPr>
          <w:rFonts w:asciiTheme="minorHAnsi" w:hAnsiTheme="minorHAnsi"/>
          <w:sz w:val="16"/>
          <w:szCs w:val="16"/>
        </w:rPr>
        <w:t xml:space="preserve">. </w:t>
      </w:r>
    </w:p>
    <w:p w14:paraId="2BD47AC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2.4.3.  Uziarnienie </w:t>
      </w:r>
    </w:p>
    <w:p w14:paraId="1177288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Określone  według  PN-EN  933-1  uziarnienia  mieszanek  kruszyw,  przeznaczonych  do warstw  podbudowy  zasadniczej  muszą  spełniać  wymagania  przedstawione  na rysunkach 2.4, 2.5 i 2.6. </w:t>
      </w:r>
    </w:p>
    <w:p w14:paraId="235B26D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  przypadku  słabych  kruszyw  uziarnienie  mieszanki  kruszyw  należy również  badać i deklarować,  po  5  krotnym  zagęszczeniu  metodą  </w:t>
      </w:r>
      <w:proofErr w:type="spellStart"/>
      <w:r w:rsidRPr="00FA7F06">
        <w:rPr>
          <w:rFonts w:asciiTheme="minorHAnsi" w:hAnsiTheme="minorHAnsi"/>
          <w:sz w:val="16"/>
          <w:szCs w:val="16"/>
        </w:rPr>
        <w:t>Proctora</w:t>
      </w:r>
      <w:proofErr w:type="spellEnd"/>
      <w:r w:rsidRPr="00FA7F06">
        <w:rPr>
          <w:rFonts w:asciiTheme="minorHAnsi" w:hAnsiTheme="minorHAnsi"/>
          <w:sz w:val="16"/>
          <w:szCs w:val="16"/>
        </w:rPr>
        <w:t xml:space="preserve">.  Kryterium  przydatności takiej  mieszanki,  pod  względem  uziarnienia,  jest  spełnione,  jeżeli  uziarnienie mieszanki  po  pięciokrotnym  zagęszczeniu  metodą  </w:t>
      </w:r>
      <w:proofErr w:type="spellStart"/>
      <w:r w:rsidRPr="00FA7F06">
        <w:rPr>
          <w:rFonts w:asciiTheme="minorHAnsi" w:hAnsiTheme="minorHAnsi"/>
          <w:sz w:val="16"/>
          <w:szCs w:val="16"/>
        </w:rPr>
        <w:t>Proctora</w:t>
      </w:r>
      <w:proofErr w:type="spellEnd"/>
      <w:r w:rsidRPr="00FA7F06">
        <w:rPr>
          <w:rFonts w:asciiTheme="minorHAnsi" w:hAnsiTheme="minorHAnsi"/>
          <w:sz w:val="16"/>
          <w:szCs w:val="16"/>
        </w:rPr>
        <w:t xml:space="preserve">,  mieści  się  w  krzywych granicznych podanych na rysunkach 2.4, 2.5 i 2.6. </w:t>
      </w:r>
    </w:p>
    <w:p w14:paraId="7AED4DA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Jako wymagane obowiązują tylko wymienione wartości liczbowe na rysunku. </w:t>
      </w:r>
    </w:p>
    <w:p w14:paraId="7CCA150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6B38CB25" w14:textId="77777777" w:rsidR="003A7D17" w:rsidRPr="00FA7F06" w:rsidRDefault="003A7D17" w:rsidP="00105AB9">
      <w:pPr>
        <w:pStyle w:val="Pro-Inwest"/>
        <w:jc w:val="both"/>
        <w:rPr>
          <w:rFonts w:asciiTheme="minorHAnsi" w:hAnsiTheme="minorHAnsi"/>
          <w:sz w:val="16"/>
          <w:szCs w:val="16"/>
        </w:rPr>
      </w:pPr>
    </w:p>
    <w:p w14:paraId="404018A0" w14:textId="77777777" w:rsidR="003A7D17" w:rsidRPr="00FA7F06" w:rsidRDefault="003A7D17" w:rsidP="00105AB9">
      <w:pPr>
        <w:pStyle w:val="Pro-Inwest"/>
        <w:jc w:val="both"/>
        <w:rPr>
          <w:rFonts w:asciiTheme="minorHAnsi" w:hAnsiTheme="minorHAnsi"/>
          <w:sz w:val="16"/>
          <w:szCs w:val="16"/>
        </w:rPr>
      </w:pPr>
    </w:p>
    <w:p w14:paraId="19FDDF45" w14:textId="77777777" w:rsidR="003A7D17" w:rsidRPr="00FA7F06" w:rsidRDefault="003A7D17" w:rsidP="00105AB9">
      <w:pPr>
        <w:pStyle w:val="Pro-Inwest"/>
        <w:jc w:val="both"/>
        <w:rPr>
          <w:rFonts w:asciiTheme="minorHAnsi" w:hAnsiTheme="minorHAnsi"/>
          <w:sz w:val="16"/>
          <w:szCs w:val="16"/>
        </w:rPr>
      </w:pPr>
    </w:p>
    <w:p w14:paraId="150A5E23" w14:textId="77777777" w:rsidR="003A7D17" w:rsidRPr="00FA7F06" w:rsidRDefault="003A7D17" w:rsidP="00105AB9">
      <w:pPr>
        <w:pStyle w:val="Pro-Inwest"/>
        <w:jc w:val="both"/>
        <w:rPr>
          <w:rFonts w:asciiTheme="minorHAnsi" w:hAnsiTheme="minorHAnsi"/>
          <w:sz w:val="16"/>
          <w:szCs w:val="16"/>
        </w:rPr>
      </w:pPr>
    </w:p>
    <w:p w14:paraId="6F95A17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lastRenderedPageBreak/>
        <w:t xml:space="preserve">Rys. 2.4 Krzywe graniczne uziarnienia mieszanki niezwiązanej 0/31,5 do warstw podbudowy zasadniczej </w:t>
      </w:r>
    </w:p>
    <w:p w14:paraId="5A5FDF5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r w:rsidRPr="00FA7F06">
        <w:rPr>
          <w:rFonts w:asciiTheme="minorHAnsi" w:hAnsiTheme="minorHAnsi"/>
          <w:noProof/>
          <w:sz w:val="16"/>
          <w:szCs w:val="16"/>
        </w:rPr>
        <w:drawing>
          <wp:inline distT="0" distB="0" distL="0" distR="0" wp14:anchorId="00DCD15A" wp14:editId="32580FC3">
            <wp:extent cx="4783266" cy="3598799"/>
            <wp:effectExtent l="0" t="0" r="0" b="0"/>
            <wp:docPr id="78" name="Obraz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98493" cy="3610256"/>
                    </a:xfrm>
                    <a:prstGeom prst="rect">
                      <a:avLst/>
                    </a:prstGeom>
                    <a:noFill/>
                    <a:ln>
                      <a:noFill/>
                    </a:ln>
                  </pic:spPr>
                </pic:pic>
              </a:graphicData>
            </a:graphic>
          </wp:inline>
        </w:drawing>
      </w:r>
    </w:p>
    <w:p w14:paraId="2B0804B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6DA9C0D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425DE65B" w14:textId="77777777" w:rsidR="00105AB9" w:rsidRPr="00FA7F06" w:rsidRDefault="00000000" w:rsidP="00105AB9">
      <w:pPr>
        <w:pStyle w:val="Pro-Inwest"/>
        <w:jc w:val="both"/>
        <w:rPr>
          <w:rFonts w:asciiTheme="minorHAnsi" w:hAnsiTheme="minorHAnsi"/>
          <w:sz w:val="16"/>
          <w:szCs w:val="16"/>
        </w:rPr>
      </w:pPr>
      <w:r w:rsidRPr="00FA7F06">
        <w:rPr>
          <w:rFonts w:asciiTheme="minorHAnsi" w:hAnsiTheme="minorHAnsi"/>
          <w:noProof/>
          <w:sz w:val="16"/>
          <w:szCs w:val="16"/>
        </w:rPr>
        <w:pict w14:anchorId="61104D96">
          <v:shape id="_x0000_s2084" type="#_x0000_t32" style="position:absolute;left:0;text-align:left;margin-left:11.4pt;margin-top:80.6pt;width:331.2pt;height:.6pt;flip:y;z-index:251665920" o:connectortype="straight"/>
        </w:pict>
      </w:r>
      <w:r w:rsidRPr="00FA7F06">
        <w:rPr>
          <w:rFonts w:asciiTheme="minorHAnsi" w:hAnsiTheme="minorHAnsi"/>
          <w:noProof/>
          <w:sz w:val="16"/>
          <w:szCs w:val="16"/>
        </w:rPr>
        <w:pict w14:anchorId="497D6D8D">
          <v:shape id="_x0000_s2083" type="#_x0000_t32" style="position:absolute;left:0;text-align:left;margin-left:8.3pt;margin-top:206.45pt;width:331.2pt;height:.6pt;flip:y;z-index:251664896" o:connectortype="straight"/>
        </w:pict>
      </w:r>
      <w:r w:rsidRPr="00FA7F06">
        <w:rPr>
          <w:rFonts w:asciiTheme="minorHAnsi" w:hAnsiTheme="minorHAnsi"/>
          <w:noProof/>
          <w:sz w:val="16"/>
          <w:szCs w:val="16"/>
        </w:rPr>
        <w:pict w14:anchorId="6BE08FF0">
          <v:shape id="_x0000_s2082" type="#_x0000_t32" style="position:absolute;left:0;text-align:left;margin-left:28.2pt;margin-top:209.5pt;width:331.2pt;height:.6pt;flip:y;z-index:251663872" o:connectortype="straight"/>
        </w:pict>
      </w:r>
      <w:r w:rsidRPr="00FA7F06">
        <w:rPr>
          <w:rFonts w:asciiTheme="minorHAnsi" w:hAnsiTheme="minorHAnsi"/>
          <w:noProof/>
          <w:sz w:val="16"/>
          <w:szCs w:val="16"/>
        </w:rPr>
        <w:pict w14:anchorId="20FEE299">
          <v:shape id="_x0000_s2079" type="#_x0000_t32" style="position:absolute;left:0;text-align:left;margin-left:16.2pt;margin-top:197.5pt;width:331.2pt;height:.6pt;flip:y;z-index:251660800" o:connectortype="straight"/>
        </w:pict>
      </w:r>
      <w:r w:rsidRPr="00FA7F06">
        <w:rPr>
          <w:rFonts w:asciiTheme="minorHAnsi" w:hAnsiTheme="minorHAnsi"/>
          <w:noProof/>
          <w:sz w:val="16"/>
          <w:szCs w:val="16"/>
        </w:rPr>
        <w:pict w14:anchorId="6D47DD86">
          <v:shape id="_x0000_s2078" type="#_x0000_t32" style="position:absolute;left:0;text-align:left;margin-left:19.95pt;margin-top:71.65pt;width:329.3pt;height:2.5pt;z-index:251659776" o:connectortype="straight"/>
        </w:pict>
      </w:r>
      <w:r w:rsidR="00105AB9" w:rsidRPr="00FA7F06">
        <w:rPr>
          <w:rFonts w:asciiTheme="minorHAnsi" w:hAnsiTheme="minorHAnsi"/>
          <w:sz w:val="16"/>
          <w:szCs w:val="16"/>
        </w:rPr>
        <w:t xml:space="preserve"> </w:t>
      </w:r>
      <w:r w:rsidR="00105AB9" w:rsidRPr="00FA7F06">
        <w:rPr>
          <w:rFonts w:asciiTheme="minorHAnsi" w:hAnsiTheme="minorHAnsi"/>
          <w:noProof/>
          <w:sz w:val="16"/>
          <w:szCs w:val="16"/>
        </w:rPr>
        <w:drawing>
          <wp:inline distT="0" distB="0" distL="0" distR="0" wp14:anchorId="776169CE" wp14:editId="6F24F17E">
            <wp:extent cx="4534593" cy="2746640"/>
            <wp:effectExtent l="0" t="0" r="0" b="0"/>
            <wp:docPr id="81" name="Obraz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546692" cy="2753968"/>
                    </a:xfrm>
                    <a:prstGeom prst="rect">
                      <a:avLst/>
                    </a:prstGeom>
                    <a:noFill/>
                    <a:ln>
                      <a:noFill/>
                    </a:ln>
                  </pic:spPr>
                </pic:pic>
              </a:graphicData>
            </a:graphic>
          </wp:inline>
        </w:drawing>
      </w:r>
    </w:p>
    <w:p w14:paraId="275B0594" w14:textId="77777777" w:rsidR="00105AB9" w:rsidRPr="00FA7F06" w:rsidRDefault="00105AB9" w:rsidP="00105AB9">
      <w:pPr>
        <w:pStyle w:val="Pro-Inwest"/>
        <w:jc w:val="both"/>
        <w:rPr>
          <w:rFonts w:asciiTheme="minorHAnsi" w:hAnsiTheme="minorHAnsi"/>
          <w:sz w:val="16"/>
          <w:szCs w:val="16"/>
        </w:rPr>
      </w:pPr>
    </w:p>
    <w:p w14:paraId="69F1D46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2.4.4.  Wrażliwość na mróz, wodoprzepuszczalność </w:t>
      </w:r>
    </w:p>
    <w:p w14:paraId="7D6E8B3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Mieszanki  kruszyw  stosowane  do  warstw  podbudów  zasadniczych  powinny  spełniać wymagania Tablicy 2.6. </w:t>
      </w:r>
    </w:p>
    <w:p w14:paraId="14DFE3B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Wymagania  wobec  mieszanek  przeznaczonych  do  warstw  podbudowy  zasadniczej odnośnie  wrażliwości  na  mróz  (wskaźnik  SE4),  dotyczą  badania  materiału  po pięciokrotnym zagęszczeniu metodą </w:t>
      </w:r>
      <w:proofErr w:type="spellStart"/>
      <w:r w:rsidRPr="00FA7F06">
        <w:rPr>
          <w:rFonts w:asciiTheme="minorHAnsi" w:hAnsiTheme="minorHAnsi"/>
          <w:sz w:val="16"/>
          <w:szCs w:val="16"/>
        </w:rPr>
        <w:t>Proctora</w:t>
      </w:r>
      <w:proofErr w:type="spellEnd"/>
      <w:r w:rsidRPr="00FA7F06">
        <w:rPr>
          <w:rFonts w:asciiTheme="minorHAnsi" w:hAnsiTheme="minorHAnsi"/>
          <w:sz w:val="16"/>
          <w:szCs w:val="16"/>
        </w:rPr>
        <w:t xml:space="preserve"> według PN EN 13286-2. </w:t>
      </w:r>
    </w:p>
    <w:p w14:paraId="6C2F035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Nie  stawia  się  wymagań  wobec  wodoprzepuszczalności  zagęszczonej  mieszanki niezwiązanej do podbudowy zasadniczej. </w:t>
      </w:r>
    </w:p>
    <w:p w14:paraId="62A0457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2.4.5.  Zawartość wody </w:t>
      </w:r>
    </w:p>
    <w:p w14:paraId="399517A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Zawartość wody w mieszankach kruszyw powinna odpowiadać wymaganej zawartości wody  w  trakcie  wbudowywania  i  zagęszczania  określonej  według  PN-EN  13286-2, w granicach podanych w Tablicy 2.6. </w:t>
      </w:r>
    </w:p>
    <w:p w14:paraId="27B866F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2.4.6.  Wskaźnik nośności CBR </w:t>
      </w:r>
    </w:p>
    <w:p w14:paraId="6851CAC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Badanie  CBR  mieszanek  do  podbudowy  zasadniczej  należy  wykonać  na  mieszance zagęszczonej metodą </w:t>
      </w:r>
      <w:proofErr w:type="spellStart"/>
      <w:r w:rsidRPr="00FA7F06">
        <w:rPr>
          <w:rFonts w:asciiTheme="minorHAnsi" w:hAnsiTheme="minorHAnsi"/>
          <w:sz w:val="16"/>
          <w:szCs w:val="16"/>
        </w:rPr>
        <w:t>Proctora</w:t>
      </w:r>
      <w:proofErr w:type="spellEnd"/>
      <w:r w:rsidRPr="00FA7F06">
        <w:rPr>
          <w:rFonts w:asciiTheme="minorHAnsi" w:hAnsiTheme="minorHAnsi"/>
          <w:sz w:val="16"/>
          <w:szCs w:val="16"/>
        </w:rPr>
        <w:t xml:space="preserve"> do wskaźnika zagęszczenia I S =1,0 i po 96 godzinach przechowywania  jej  w  wodzie.  CBR  oznaczyć  wg  PN-EN  13286-47.  Wymaganie  wg Tablicy 2.6. </w:t>
      </w:r>
    </w:p>
    <w:p w14:paraId="24DDC423" w14:textId="77777777" w:rsidR="00105AB9" w:rsidRPr="00FA7F06" w:rsidRDefault="00105AB9" w:rsidP="00105AB9">
      <w:pPr>
        <w:pStyle w:val="Pro-Inwest"/>
        <w:jc w:val="both"/>
        <w:rPr>
          <w:rFonts w:asciiTheme="minorHAnsi" w:hAnsiTheme="minorHAnsi"/>
          <w:sz w:val="16"/>
          <w:szCs w:val="16"/>
        </w:rPr>
      </w:pPr>
    </w:p>
    <w:p w14:paraId="6ABA25E3"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2.6.  Woda </w:t>
      </w:r>
    </w:p>
    <w:p w14:paraId="024C77F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Do zwilżania kruszywa stosuje się wodę spełniającą wymagania PN-EN 1008. </w:t>
      </w:r>
    </w:p>
    <w:p w14:paraId="4AA40EC9"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lastRenderedPageBreak/>
        <w:t xml:space="preserve">2.7.  Kontrola jakości materiałów w okresie dostaw </w:t>
      </w:r>
    </w:p>
    <w:p w14:paraId="12D801C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Kontrola  jakości  materiałów  polega  na  przeprowadzeniu  badań  cech  fizycznych materiałów na reprezentatywnych próbkach dla partii kruszywa i porównaniu wyników z wymaganiami określonymi w p.2.3. </w:t>
      </w:r>
    </w:p>
    <w:p w14:paraId="03C7ED3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2.9.  Dodatkowe wymagania </w:t>
      </w:r>
    </w:p>
    <w:p w14:paraId="27E4B90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Podbudowa  wykonywana  bezpośrednio  na  podłożu  gruntowym  powinna  spełniać warunek szczelności warstwy (nieprzenikania cząstek):</w:t>
      </w:r>
    </w:p>
    <w:p w14:paraId="0C9B8EDA" w14:textId="77777777" w:rsidR="00105AB9" w:rsidRPr="00FA7F06" w:rsidRDefault="00105AB9" w:rsidP="00105AB9">
      <w:pPr>
        <w:pStyle w:val="Pro-Inwest"/>
        <w:jc w:val="center"/>
        <w:rPr>
          <w:rFonts w:asciiTheme="minorHAnsi" w:hAnsiTheme="minorHAnsi"/>
          <w:sz w:val="16"/>
          <w:szCs w:val="16"/>
        </w:rPr>
      </w:pPr>
      <w:r w:rsidRPr="00FA7F06">
        <w:rPr>
          <w:rFonts w:ascii="Cambria Math" w:hAnsi="Cambria Math" w:cs="Cambria Math"/>
          <w:noProof/>
          <w:sz w:val="16"/>
          <w:szCs w:val="16"/>
        </w:rPr>
        <w:drawing>
          <wp:inline distT="0" distB="0" distL="0" distR="0" wp14:anchorId="77515559" wp14:editId="06442ACD">
            <wp:extent cx="621030" cy="402590"/>
            <wp:effectExtent l="0" t="0" r="0" b="0"/>
            <wp:docPr id="85" name="Obraz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1030" cy="402590"/>
                    </a:xfrm>
                    <a:prstGeom prst="rect">
                      <a:avLst/>
                    </a:prstGeom>
                    <a:noFill/>
                    <a:ln>
                      <a:noFill/>
                    </a:ln>
                  </pic:spPr>
                </pic:pic>
              </a:graphicData>
            </a:graphic>
          </wp:inline>
        </w:drawing>
      </w:r>
    </w:p>
    <w:p w14:paraId="46C3E8F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64CDD05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 którym: </w:t>
      </w:r>
    </w:p>
    <w:p w14:paraId="46BE1CF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D 15  – wymiar sita, przez które przechodzi 15% ziaren warstwy podbudowy, </w:t>
      </w:r>
    </w:p>
    <w:p w14:paraId="066A835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D 85  – wymiar sita, przez które przechodzi 85% ziaren gruntu podłoża. </w:t>
      </w:r>
    </w:p>
    <w:p w14:paraId="3F3D058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Warunek ten zostaje automatycznie spełniony w przypadku zastosowania stabilizacji podłoża  spoiwami  hydraulicznymi  lub  przy  zastosowaniu  warstwy  geowłókniny separującej. </w:t>
      </w:r>
    </w:p>
    <w:p w14:paraId="230B02D6" w14:textId="77777777" w:rsidR="00105AB9" w:rsidRPr="00FA7F06" w:rsidRDefault="00105AB9" w:rsidP="00105AB9">
      <w:pPr>
        <w:pStyle w:val="Pro-Inwest"/>
        <w:jc w:val="both"/>
        <w:rPr>
          <w:rFonts w:asciiTheme="minorHAnsi" w:hAnsiTheme="minorHAnsi"/>
          <w:sz w:val="16"/>
          <w:szCs w:val="16"/>
        </w:rPr>
      </w:pPr>
    </w:p>
    <w:p w14:paraId="787894F2"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3.  SPRZĘT </w:t>
      </w:r>
    </w:p>
    <w:p w14:paraId="44F6F383"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3.1.  Ogólne wymagania dotyczące sprzętu </w:t>
      </w:r>
    </w:p>
    <w:p w14:paraId="50E8BC2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3.1.1.  Ogólne wymagania dotyczące sprzętu podano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D-M 00.00.00, Wymagania ogólne" punkt 3. </w:t>
      </w:r>
    </w:p>
    <w:p w14:paraId="0B86528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3.2.  Sprzęt do robót  </w:t>
      </w:r>
    </w:p>
    <w:p w14:paraId="3B17AC6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3.2.1.  Sprzęt  do  wykonania  podbudów  powinien  być  dobrany  przez  Wykonawcę  tak,  aby zabezpieczył  jakość  zgodnie</w:t>
      </w:r>
      <w:r w:rsidRPr="00FA7F06">
        <w:rPr>
          <w:rFonts w:asciiTheme="minorHAnsi" w:hAnsiTheme="minorHAnsi"/>
          <w:sz w:val="16"/>
          <w:szCs w:val="16"/>
        </w:rPr>
        <w:br/>
        <w:t xml:space="preserve">z  Dokumentacją  Projektową  w  ilości  i  rodzaju gwarantującym wykonanie robót zgodnie z harmonogramem i terminem zakończenia inwestycji. </w:t>
      </w:r>
    </w:p>
    <w:p w14:paraId="163EA6B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Mieszanka kruszywa dla warstwy z mieszanki niezwiązanej winna być rozkładana za pomocą  urządzeń  uniemożliwiających  segregację.</w:t>
      </w:r>
      <w:r w:rsidRPr="00FA7F06">
        <w:rPr>
          <w:rFonts w:asciiTheme="minorHAnsi" w:hAnsiTheme="minorHAnsi"/>
          <w:sz w:val="16"/>
          <w:szCs w:val="16"/>
        </w:rPr>
        <w:br/>
        <w:t xml:space="preserve">Na  ciągu  głównym  należy podbudowę zasadniczą z mieszanki niezwiązanej rozkładać układarkami.  </w:t>
      </w:r>
    </w:p>
    <w:p w14:paraId="7C8EA18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3.2.2.  Wykonawca przystępujący do wykonania warstwy z mieszanek kruszyw niezwiązanych powinien wykazać się możliwością korzystania z następującego sprzętu: </w:t>
      </w:r>
    </w:p>
    <w:p w14:paraId="06D6C8B4"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mieszarek  stacjonarnych  (zlokalizowanych  w  pobliżu  palcu  budowy)  do wytwarzania  mieszanki  kruszyw,  wyposażone</w:t>
      </w:r>
      <w:r w:rsidRPr="00FA7F06">
        <w:rPr>
          <w:rFonts w:asciiTheme="minorHAnsi" w:hAnsiTheme="minorHAnsi"/>
          <w:sz w:val="16"/>
          <w:szCs w:val="16"/>
        </w:rPr>
        <w:br/>
        <w:t>w  urządzenia  dozujące  wodę. Mieszarki  powinny  zapewnić  wytworzenie  jednorodnej  mieszanki  o  wilgotności optymalnej.  Wymaganie  to  jest  zbędne  w  przypadku,  gdy  producent  kruszywa gwarantuje  dostawy  jednorodnej  mieszanki</w:t>
      </w:r>
      <w:r w:rsidRPr="00FA7F06">
        <w:rPr>
          <w:rFonts w:asciiTheme="minorHAnsi" w:hAnsiTheme="minorHAnsi"/>
          <w:sz w:val="16"/>
          <w:szCs w:val="16"/>
        </w:rPr>
        <w:br/>
        <w:t xml:space="preserve">o  wymaganym  uziarnieniu i odpowiedniej wilgotności. </w:t>
      </w:r>
    </w:p>
    <w:p w14:paraId="78DE5829"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układarek na ciągu głównym (obowiązkowo podbudowa zasadnicza) </w:t>
      </w:r>
    </w:p>
    <w:p w14:paraId="04E914A2"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równiarek  lub  układarek  na  pozostałych  drogach  (podbudowa  pomocnicza  i zasadnicza)  i pozostałych  warstwach  (podbudowa  pomocnicza)  dla  ciągów głównych. Za zgodą Inżyniera/Inspektora Nadzoru/Zamawiającego do rozkładania mieszanki na drogach o ruchu mniejszym od KR3 można dopuścić spycharki, </w:t>
      </w:r>
    </w:p>
    <w:p w14:paraId="7CC94884"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walcy ogumionych i stalowych wibracyjnych lub statycznych do zagęszczania, </w:t>
      </w:r>
    </w:p>
    <w:p w14:paraId="50EFDC99"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płyt  wibracyjnych  lub  ubijaków  mechanicznych  do  zagęszczania  w  miejscach trudnodostępnych, </w:t>
      </w:r>
    </w:p>
    <w:p w14:paraId="1CEEC21C"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innego  sprzętu  zaakceptowanego  przez  Inżyniera/  Inspektora  Nadzoru/ Zamawiającego. </w:t>
      </w:r>
    </w:p>
    <w:p w14:paraId="0E996E90" w14:textId="77777777" w:rsidR="00105AB9" w:rsidRPr="00FA7F06" w:rsidRDefault="00105AB9" w:rsidP="00105AB9">
      <w:pPr>
        <w:pStyle w:val="Pro-Inwest"/>
        <w:jc w:val="both"/>
        <w:rPr>
          <w:rFonts w:asciiTheme="minorHAnsi" w:hAnsiTheme="minorHAnsi"/>
          <w:sz w:val="16"/>
          <w:szCs w:val="16"/>
        </w:rPr>
      </w:pPr>
    </w:p>
    <w:p w14:paraId="2F333B3E"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4.  TRANSPORT </w:t>
      </w:r>
    </w:p>
    <w:p w14:paraId="5B748473"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4.1.  Ogólne wymagania dotyczące transportu </w:t>
      </w:r>
    </w:p>
    <w:p w14:paraId="200A223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4.1.1.  Ogólne  wymagania  dotyczące  transportu  podano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D-M  00.00.00, Wymagania ogólne" punkt 4. </w:t>
      </w:r>
    </w:p>
    <w:p w14:paraId="3FCE99A7"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4.2.  Transport kruszyw </w:t>
      </w:r>
    </w:p>
    <w:p w14:paraId="73E96C1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4.2.1.  Wybór środków transportowych oraz metod transportu powinien być dostosowany do materiału,  jego  objętości,  technologii  odspajania  i  załadunku  oraz  do  odległości transportu. Wydajność środków transportowych powinna być ponadto dostosowana do wydajności sprzętu stosowanego do wbudowania gruntu materiału. </w:t>
      </w:r>
    </w:p>
    <w:p w14:paraId="5CE39E3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4.2.2.  Wykonawca  powinien  zapewnić  minimalizację  odległości  transportowych  przy zachowaniu  wymagań  projektowych.  Organizację  transportu  należy  przeprowadzić  z  uwzględnieniem  zmienności  w  dostępności  dróg  i  powierzchni  do  prowadzenia transportu (przemieszczania materiałów do wykonania nasypu). </w:t>
      </w:r>
    </w:p>
    <w:p w14:paraId="2338ABB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4.2.3.  W  organizacji  transportu  Wykonawca  uwzględni:  typowe  warunki  klimatyczne  i pogodowe,  wymagania  wynikające  z  harmonogramu  prac,  ograniczenia  dotyczące ładunku przez czynniki zewnętrzne (instalacje, konstrukcje, dopuszczalne obciążenia), wymagania  ochrony  środowiska  oraz  rodzaj  maszyn  stosowanych  do  załadunku,  w przypadku samochodów.  </w:t>
      </w:r>
    </w:p>
    <w:p w14:paraId="50209D9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4.2.4.  Należy przestrzegać ograniczeń dotyczących ruchu budowlanego, podanych w punkcie 5.7.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D-02.01.01.  „Roboty ziemne.  Wykonanie  wykopów”  i  w  punkcie  5.16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D-02.03.01. „Roboty ziemne. Wykonywanie nasypów”. </w:t>
      </w:r>
    </w:p>
    <w:p w14:paraId="0E4A8B5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4.2.5.  Zwiększenie  odległości  transportu  ponad  odległości  zatwierdzone  nie  może  być podstawą roszczeń Wykonawcy, dotyczących dodatkowej zapłaty za transport. </w:t>
      </w:r>
    </w:p>
    <w:p w14:paraId="5CD0482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4.2.6.  Transport i wyładunek mieszanki niezwiązanej powinien zapewnić niezmienność składu mieszanki oraz nie powinien powodować segregacji składników oraz zanieczyszczenia mieszanki. Transport kruszywa może odbywać się samochodami samowyładowczymi w sposób  zabezpieczający  je  przed  segregacją  ,zanieczyszczeniem,  zmieszaniem  z innymi materiałami, nadmiernym wysuszeniem lub zawilgoceniem. </w:t>
      </w:r>
    </w:p>
    <w:p w14:paraId="3D6C8E7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4.2.7.  Materiały  sypkie  należy  przewozić  w  sposób  eliminujący  możliwość  wysypywania, pylenia oraz innego zanieczyszczenia środowiska. </w:t>
      </w:r>
    </w:p>
    <w:p w14:paraId="08A2D2C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4.2.8.  Transport pozostałych wyrobów powinien odbywać się zgodnie z wymaganiami norm przedmiotowych. </w:t>
      </w:r>
    </w:p>
    <w:p w14:paraId="5EC94140"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lastRenderedPageBreak/>
        <w:t xml:space="preserve">5.  WYKONANIE ROBÓT </w:t>
      </w:r>
    </w:p>
    <w:p w14:paraId="69D91461"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5.1.  Ogólne zasady dotyczące wykonania robót </w:t>
      </w:r>
    </w:p>
    <w:p w14:paraId="47EFCF2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5.1.1.  Ogólne  zasady  prowadzenia  robót  podano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D-M  00.00.00  "Wymagania ogólne” punkt 5. </w:t>
      </w:r>
    </w:p>
    <w:p w14:paraId="55EB56BF"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5.2.  Zasady wykonywania robót </w:t>
      </w:r>
    </w:p>
    <w:p w14:paraId="406BCB1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5.2.1.  Wykonawca przedstawi Inżynierowi/Zamawiającemu do akceptacji Projekt Technologii i Organizacji  Robót  oraz  Program  Zapewnienia  Jakości  uwzględniający  wszystkie warunki, w jakich będą wykonywane roboty. </w:t>
      </w:r>
    </w:p>
    <w:p w14:paraId="025ABB7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5.2.2.  Sposób wykonania robót powinien być zgodny z dokumentacją projektową i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w:t>
      </w:r>
    </w:p>
    <w:p w14:paraId="6DD6D87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 przypadku  braku  wystarczających  danych  można  korzystać  z  ustaleń  podanych w niniejszych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w:t>
      </w:r>
    </w:p>
    <w:p w14:paraId="663A257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Podstawowe czynności przy wykonaniu robót obejmują: </w:t>
      </w:r>
    </w:p>
    <w:p w14:paraId="5FBC42D6"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roboty przygotowawcze,  </w:t>
      </w:r>
    </w:p>
    <w:p w14:paraId="545CE834"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przygotowanie podłoża, </w:t>
      </w:r>
    </w:p>
    <w:p w14:paraId="0B44F247"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wytwarzanie mieszanki kruszywa, </w:t>
      </w:r>
    </w:p>
    <w:p w14:paraId="6F0F4A08"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odcinek próbny, </w:t>
      </w:r>
    </w:p>
    <w:p w14:paraId="3898169C"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wbudowanie mieszanki, </w:t>
      </w:r>
    </w:p>
    <w:p w14:paraId="3DA82255"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zagęszczanie mieszanki, </w:t>
      </w:r>
    </w:p>
    <w:p w14:paraId="7639F18A"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utrzymanie wykonanej warstwy, </w:t>
      </w:r>
    </w:p>
    <w:p w14:paraId="27F43318"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roboty wykończeniowe. </w:t>
      </w:r>
    </w:p>
    <w:p w14:paraId="5E58F237"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5.3.  Roboty przygotowawcze  </w:t>
      </w:r>
    </w:p>
    <w:p w14:paraId="1551014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5.3.1.  Przed  przystąpieniem  do  robót  należy,  na  podstawie  dokumentacji  projektowej,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lub wskazań Inżyniera/ Inspektora Nadzoru /Zamawiającego: </w:t>
      </w:r>
    </w:p>
    <w:p w14:paraId="5FAB87DD"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ustalić lokalizację robót, </w:t>
      </w:r>
    </w:p>
    <w:p w14:paraId="52881F85"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przeprowadzić  obliczenia  i  pomiary  niezbędne  do  szczegółowego  wytyczenia robót oraz ustalenia danych wysokościowych, </w:t>
      </w:r>
    </w:p>
    <w:p w14:paraId="4B2E2348"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usunąć przeszkody utrudniające wykonanie robót, </w:t>
      </w:r>
    </w:p>
    <w:p w14:paraId="440C658F"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wprowadzić oznakowanie drogi na okres robót, </w:t>
      </w:r>
    </w:p>
    <w:p w14:paraId="2AA10813"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zgromadzić materiały i sprzęt potrzebne do rozpoczęcia robót. </w:t>
      </w:r>
    </w:p>
    <w:p w14:paraId="7EBF94A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5.3.2.  Prace  pomiarowe  powinny  być  prowadzone  w  sposób  umożliwiający  wykonanie warstwy podbudowy zgodnie z Dokumentacją Projektową, z tolerancjami określonymi w  niniejszej  specyfikacji.  Paliki  lub  szpilki  do  kontroli  ukształtowania  podbudowy powinny</w:t>
      </w:r>
      <w:r w:rsidRPr="00FA7F06">
        <w:rPr>
          <w:rFonts w:asciiTheme="minorHAnsi" w:hAnsiTheme="minorHAnsi"/>
          <w:sz w:val="16"/>
          <w:szCs w:val="16"/>
        </w:rPr>
        <w:br/>
        <w:t>być  wcześniej  przygotowane,  odpowiednio  zamocowane  i  utrzymywane  w czasie robót przez Wykonawcę. Powinny być one ustawione w osi drogi i w rzędach równoległych  do  osi  drogi,  lub  w  inny  sposób  zaakceptowany  przez  Inżyniera/ Inspektora  Nadzoru  /Zamawiającego.  Rozmieszczenie  palików  lub  szpilek  powinno umożliwiać  naciągnięcie  sznurków  lub  linek  do  wytyczenia  robót</w:t>
      </w:r>
      <w:r w:rsidRPr="00FA7F06">
        <w:rPr>
          <w:rFonts w:asciiTheme="minorHAnsi" w:hAnsiTheme="minorHAnsi"/>
          <w:sz w:val="16"/>
          <w:szCs w:val="16"/>
        </w:rPr>
        <w:br/>
        <w:t>i  nie  powinno  być rzadsze, niż co 10m. Jeżeli warstwa mieszanki kruszywa stabilizowanego mechanicznie będzie  układana</w:t>
      </w:r>
      <w:r w:rsidRPr="00FA7F06">
        <w:rPr>
          <w:rFonts w:asciiTheme="minorHAnsi" w:hAnsiTheme="minorHAnsi"/>
          <w:sz w:val="16"/>
          <w:szCs w:val="16"/>
        </w:rPr>
        <w:br/>
        <w:t xml:space="preserve">w  prowadnicach,  to  po  wytyczeniu  podbudowy  należy  ustawić  na podłożu prowadnice w taki sposób, aby wyznaczały one ściśle linie krawędzi układanej warstwy według Dokumentacji Projektowej. Wysokość prowadnic powinna odpowiadać grubości  warstwy  mieszanki  kruszywa  stabilizowanego  mechanicznie,  w  stanie niezagęszczonym.  Prowadnice  powinny  być  ustawione  stabilnie,  w  sposób wykluczający  ich  przesuwanie  się  pod  wpływem  oddziaływania  maszyn  użytych  do wykonania warstwy. </w:t>
      </w:r>
    </w:p>
    <w:p w14:paraId="16B7672C"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sz w:val="16"/>
          <w:szCs w:val="16"/>
        </w:rPr>
        <w:t>Zamiennie  można  zastosować  wytyczenie  sytuacyjne  i  wysokościowe  przez jednoznaczne zdefiniowanie w pamięci elektronicznej maszyn wyposażonych w system sterowania 3D wszystkich elementów geometrii warstwy podbudowy.</w:t>
      </w:r>
      <w:r w:rsidRPr="00FA7F06">
        <w:rPr>
          <w:rFonts w:asciiTheme="minorHAnsi" w:hAnsiTheme="minorHAnsi"/>
          <w:b/>
          <w:bCs/>
          <w:sz w:val="16"/>
          <w:szCs w:val="16"/>
        </w:rPr>
        <w:t xml:space="preserve"> </w:t>
      </w:r>
    </w:p>
    <w:p w14:paraId="14FDD0FD"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5.4.  Przygotowanie podłoża </w:t>
      </w:r>
    </w:p>
    <w:p w14:paraId="684730C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5.4.1.  Przed wykonaniem podbudowy podłoże należy oczyścić ze wszelkich zanieczyszczeń oraz  sprawdzić  jego  cechy  geometryczne</w:t>
      </w:r>
      <w:r w:rsidRPr="00FA7F06">
        <w:rPr>
          <w:rFonts w:asciiTheme="minorHAnsi" w:hAnsiTheme="minorHAnsi"/>
          <w:sz w:val="16"/>
          <w:szCs w:val="16"/>
        </w:rPr>
        <w:br/>
        <w:t>i  zagęszczenie.  Wszelkie  uszkodzenia  lub powierzchnie wykazujące odchylenia od wymaganej równości, spadków poprzecznych</w:t>
      </w:r>
      <w:r w:rsidRPr="00FA7F06">
        <w:rPr>
          <w:rFonts w:asciiTheme="minorHAnsi" w:hAnsiTheme="minorHAnsi"/>
          <w:sz w:val="16"/>
          <w:szCs w:val="16"/>
        </w:rPr>
        <w:br/>
        <w:t xml:space="preserve">lub rzędnych powinny być naprawione. </w:t>
      </w:r>
    </w:p>
    <w:p w14:paraId="0E265AD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Podłoże  pod  podbudowę  stanowi  warstwa  stabilizowana  cementem  lub  warstwa </w:t>
      </w:r>
      <w:proofErr w:type="spellStart"/>
      <w:r w:rsidRPr="00FA7F06">
        <w:rPr>
          <w:rFonts w:asciiTheme="minorHAnsi" w:hAnsiTheme="minorHAnsi"/>
          <w:sz w:val="16"/>
          <w:szCs w:val="16"/>
        </w:rPr>
        <w:t>mrozoochronna</w:t>
      </w:r>
      <w:proofErr w:type="spellEnd"/>
      <w:r w:rsidRPr="00FA7F06">
        <w:rPr>
          <w:rFonts w:asciiTheme="minorHAnsi" w:hAnsiTheme="minorHAnsi"/>
          <w:sz w:val="16"/>
          <w:szCs w:val="16"/>
        </w:rPr>
        <w:t xml:space="preserve"> bądź też inna warstwa zgodnie</w:t>
      </w:r>
      <w:r w:rsidRPr="00FA7F06">
        <w:rPr>
          <w:rFonts w:asciiTheme="minorHAnsi" w:hAnsiTheme="minorHAnsi"/>
          <w:sz w:val="16"/>
          <w:szCs w:val="16"/>
        </w:rPr>
        <w:br/>
        <w:t xml:space="preserve">z projektem. </w:t>
      </w:r>
    </w:p>
    <w:p w14:paraId="7076E3A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5.4.2.  Podbudowa  powinna  być  wytyczona  w  sposób  umożliwiający  jej  wykonanie  zgodnie z Dokumentacją  Projektową</w:t>
      </w:r>
      <w:r w:rsidRPr="00FA7F06">
        <w:rPr>
          <w:rFonts w:asciiTheme="minorHAnsi" w:hAnsiTheme="minorHAnsi"/>
          <w:sz w:val="16"/>
          <w:szCs w:val="16"/>
        </w:rPr>
        <w:br/>
        <w:t xml:space="preserve">lub  wg  zaleceń  Inżyniera/  Inspektora  Nadzoru /Zamawiającego z tolerancjami określonymi w niniejszych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w:t>
      </w:r>
    </w:p>
    <w:p w14:paraId="1C098FA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5.4.3.  Podbudowę  z  kruszywa  łamanego  stabilizowanego  mechanicznie  należy  układać  na odpowiednio przygotowanej warstwie, zgodnie z właściwymi </w:t>
      </w:r>
      <w:proofErr w:type="spellStart"/>
      <w:r w:rsidRPr="00FA7F06">
        <w:rPr>
          <w:rFonts w:asciiTheme="minorHAnsi" w:hAnsiTheme="minorHAnsi"/>
          <w:sz w:val="16"/>
          <w:szCs w:val="16"/>
        </w:rPr>
        <w:t>WWiORB</w:t>
      </w:r>
      <w:proofErr w:type="spellEnd"/>
      <w:r w:rsidRPr="00FA7F06">
        <w:rPr>
          <w:rFonts w:asciiTheme="minorHAnsi" w:hAnsiTheme="minorHAnsi"/>
          <w:sz w:val="16"/>
          <w:szCs w:val="16"/>
        </w:rPr>
        <w:t>. Jeżeli podłoże wykazuje jakiekolwiek wady, to powinny być one usunięte wg zasad zaakceptowanych</w:t>
      </w:r>
      <w:r w:rsidRPr="00FA7F06">
        <w:rPr>
          <w:rFonts w:asciiTheme="minorHAnsi" w:hAnsiTheme="minorHAnsi"/>
          <w:sz w:val="16"/>
          <w:szCs w:val="16"/>
        </w:rPr>
        <w:br/>
        <w:t xml:space="preserve">przez Inżyniera/ Inspektora Nadzoru /Zamawiającego. </w:t>
      </w:r>
    </w:p>
    <w:p w14:paraId="35D90D3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5.4.4.  Dla pobocza nie jest wymagane wykonanie badań modułów odkształceń metodą VSS. </w:t>
      </w:r>
    </w:p>
    <w:p w14:paraId="62DC5051"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5.5.  Wytwarzanie mieszanki kruszywa </w:t>
      </w:r>
    </w:p>
    <w:p w14:paraId="390217C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5.5.1.  Przed przystąpieniem do robót w terminie uzgodnionym z Inżynierem/ Zamawiającym, Wykonawca  dostarczy  Inżynierowi/  Zamawiającemu  do  akceptacji  projekt  składu mieszanki kruszywa niezwiązanego oraz wyniki badań laboratoryjnych poszczególnych składników i próbki materiałów pobrane w obecności  Inżyniera/ Inspektora Nadzoru /Zamawiającego do wykonania badań kontrolnych. Projektowanie polega na doborze kruszywa do mieszanki oraz zawartości wody. Procedura projektowania powinna być oparta na próbkach laboratoryjnych i/lub polowych przeprowadzonych na tych samych składnikach, z tych samych źródeł i o takich samych właściwościach, jak te które będą stosowane do wykonania podbudowy. </w:t>
      </w:r>
    </w:p>
    <w:p w14:paraId="2056294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5.5.2.  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Mieszankę kruszywa o ściśle określonym uziarnieniu</w:t>
      </w:r>
      <w:r w:rsidRPr="00FA7F06">
        <w:rPr>
          <w:rFonts w:asciiTheme="minorHAnsi" w:hAnsiTheme="minorHAnsi"/>
          <w:sz w:val="16"/>
          <w:szCs w:val="16"/>
        </w:rPr>
        <w:br/>
        <w:t xml:space="preserve">i wilgotności optymalnej należy wytwarzać w mieszarkach, gwarantujących otrzymanie jednorodnej mieszanki. </w:t>
      </w:r>
    </w:p>
    <w:p w14:paraId="247A13F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5.5.3.  Mieszarki (wytwórnie mieszanek kruszywa) stacjonarne lub mobilne powinny zapewnić ciągłość  produkcji  zgodną  z  receptą  laboratoryjną.  Mieszanka  po  wyprodukowaniu powinna  być  od  razu  transportowana  na  miejsce  wbudowania  w  sposób przeciwdziałający segregacji i nadmiernemu wysychaniu.  </w:t>
      </w:r>
    </w:p>
    <w:p w14:paraId="7A5C7A50"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lastRenderedPageBreak/>
        <w:t xml:space="preserve">5.6.  Odcinek próbny </w:t>
      </w:r>
    </w:p>
    <w:p w14:paraId="48CD46D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5.6.1.  Co najmniej 3 dni przed planowanym rozpoczęciem robót, Wykonawca wykona odcinek próbny w celu: </w:t>
      </w:r>
    </w:p>
    <w:p w14:paraId="0624C3F0"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stwierdzenia,  czy  sprzęt  budowlany  do  mieszania,  rozkładania  i  zagęszczania kruszywa jest właściwy, </w:t>
      </w:r>
    </w:p>
    <w:p w14:paraId="4B7D8961"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określenia grubości warstwy materiału z w stanie luźnym, koniecznej do uzyskania wymaganej grubości warstwy</w:t>
      </w:r>
      <w:r w:rsidRPr="00FA7F06">
        <w:rPr>
          <w:rFonts w:asciiTheme="minorHAnsi" w:hAnsiTheme="minorHAnsi"/>
          <w:sz w:val="16"/>
          <w:szCs w:val="16"/>
        </w:rPr>
        <w:br/>
        <w:t xml:space="preserve">po zagęszczeniu, </w:t>
      </w:r>
    </w:p>
    <w:p w14:paraId="2A0C3B1C"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określenia ilości warstwy koniecznych dla osiągnięcia wymaganego zagęszczenia; </w:t>
      </w:r>
    </w:p>
    <w:p w14:paraId="32447817"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ustalenia  liczby  przejść  sprzętu  zagęszczającego,  potrzebnej  do  uzyskania wymaganego wskaźnika zagęszczenia. </w:t>
      </w:r>
    </w:p>
    <w:p w14:paraId="07BFD8C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5.6.2.  Na odcinku próbnym Wykonawca powinien użyć takich materiałów oraz sprzętu, jakie będą stosowane do wykonania warstwy</w:t>
      </w:r>
      <w:r w:rsidRPr="00FA7F06">
        <w:rPr>
          <w:rFonts w:asciiTheme="minorHAnsi" w:hAnsiTheme="minorHAnsi"/>
          <w:sz w:val="16"/>
          <w:szCs w:val="16"/>
        </w:rPr>
        <w:br/>
        <w:t xml:space="preserve">na budowie. </w:t>
      </w:r>
    </w:p>
    <w:p w14:paraId="65ED377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Powierzchnia odcinka próbnego powinna wynosić od 400  do 800 m 2 . </w:t>
      </w:r>
    </w:p>
    <w:p w14:paraId="5876C2C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Odcinek próbny powinien być zlokalizowany w miejscu wskazanym przez  Inżyniera/ Inspektora Nadzoru /Zamawiającego. </w:t>
      </w:r>
    </w:p>
    <w:p w14:paraId="5F1A21C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Po  wykonaniu  odcinka  próbnego  Wykonawca  umożliwi  Inżynierowi/  Inspektorowi Nadzoru/  Zamawiającemu  przeprowadzenie  dodatkowych  badań  kontrolnych.  Po akceptacji przez Inżyniera/ Inspektora Nadzoru /Zamawiającego Wykonawca przystąpi</w:t>
      </w:r>
      <w:r w:rsidRPr="00FA7F06">
        <w:rPr>
          <w:rFonts w:asciiTheme="minorHAnsi" w:hAnsiTheme="minorHAnsi"/>
          <w:sz w:val="16"/>
          <w:szCs w:val="16"/>
        </w:rPr>
        <w:br/>
        <w:t xml:space="preserve">do  zasadniczych  robót  związanych  z  wykonaniem  warstwy  podbudowy  z  kruszywa niezwiązanego hydraulicznie. </w:t>
      </w:r>
    </w:p>
    <w:p w14:paraId="088DD96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Wykonawca  może  przystąpić  do  wykonania  warstwy  po  zaakceptowaniu  odcinka próbnego przez Inżyniera/ Inspektora Nadzoru /Zamawiającego. </w:t>
      </w:r>
    </w:p>
    <w:p w14:paraId="44DB3584"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5.7.  Wbudowanie mieszanki </w:t>
      </w:r>
    </w:p>
    <w:p w14:paraId="28A0D9A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5.7.1.  Rozpoczęcie budowy każdej następnej warstwy może nastąpić po odbiorze poprzedniej warstwy przez Inżyniera/ Inspektora Nadzoru /Zamawiającego </w:t>
      </w:r>
    </w:p>
    <w:p w14:paraId="3DCAA73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5.7.2.  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Jeżeli  układana  konstrukcja składa  się  z więcej  niż  jednej  warstwy  kruszywa,  to  każda  warstwa  powinna  być wyprofilowana  i zagęszczona  z  zachowaniem  wymaganych  spadków  i  rzędnych wysokościowych.  </w:t>
      </w:r>
    </w:p>
    <w:p w14:paraId="227D069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5.7.3.  Zawartość wody w mieszance zagęszczonej musi być zgodna z granicami podanymi w tablicy 2.6. Wilgotność mieszanki kruszywa podczas zagęszczania powinna odpowiadać wilgotności  optymalnej, określonej  według  próby </w:t>
      </w:r>
      <w:proofErr w:type="spellStart"/>
      <w:r w:rsidRPr="00FA7F06">
        <w:rPr>
          <w:rFonts w:asciiTheme="minorHAnsi" w:hAnsiTheme="minorHAnsi"/>
          <w:sz w:val="16"/>
          <w:szCs w:val="16"/>
        </w:rPr>
        <w:t>Proctora</w:t>
      </w:r>
      <w:proofErr w:type="spellEnd"/>
      <w:r w:rsidRPr="00FA7F06">
        <w:rPr>
          <w:rFonts w:asciiTheme="minorHAnsi" w:hAnsiTheme="minorHAnsi"/>
          <w:sz w:val="16"/>
          <w:szCs w:val="16"/>
        </w:rPr>
        <w:t xml:space="preserve">,  wg  PN-EN  13286-2  oraz PN-EN  1097-6.  Mieszanka  o  większej  wilgotności  powinna  zostać  osuszona  przez mieszanie  i  napowietrzanie.  Jeżeli  wilgotność  mieszanki  kruszywa  jest  niższa  od wartości podanej w tablicy 2.6, mieszanka powinna być zwilżona określoną ilością wody i równomiernie wymieszana.  </w:t>
      </w:r>
    </w:p>
    <w:p w14:paraId="317308D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Rozścieloną mieszankę kruszywa należy sprofilować równiarką lub ciężkim szablonem, do  spadków  poprzecznych  i  pochyleń  podłużnych  ustalonych  w  dokumentacji projektowej. W czasie profilowania należy wyrównać lokalne wgłębienia. W miejscach, gdzie widoczna jest segregacja kruszywa należy przed zagęszczeniem wymienić kruszywo na materiał o odpowiednich właściwościach. </w:t>
      </w:r>
    </w:p>
    <w:p w14:paraId="2526806A"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5.8.  Zagęszczenie mieszanki </w:t>
      </w:r>
    </w:p>
    <w:p w14:paraId="51191C5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5.8.1.  Po wyprofilowaniu mieszanki kruszywa należy rozpocząć jej zagęszczanie, które należy kontynuować aż do  osiągnięcia  wymaganego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wskaźnika  zagęszczenia. </w:t>
      </w:r>
    </w:p>
    <w:p w14:paraId="4B618B3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  </w:t>
      </w:r>
    </w:p>
    <w:p w14:paraId="7827047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Zagęszczanie walcami na podbudowach o przekroju daszkowym powinno rozpocząć się od krawędzi i przesuwać się pasami podłużnymi</w:t>
      </w:r>
      <w:r w:rsidRPr="00FA7F06">
        <w:rPr>
          <w:rFonts w:asciiTheme="minorHAnsi" w:hAnsiTheme="minorHAnsi"/>
          <w:sz w:val="16"/>
          <w:szCs w:val="16"/>
        </w:rPr>
        <w:br/>
        <w:t>w stronę osi jezdni. Zagęszczanie na podbudowach o jednostronnym spadku poprzecznym powinno rozpocząć się od dolnej krawędzi</w:t>
      </w:r>
      <w:r w:rsidRPr="00FA7F06">
        <w:rPr>
          <w:rFonts w:asciiTheme="minorHAnsi" w:hAnsiTheme="minorHAnsi"/>
          <w:sz w:val="16"/>
          <w:szCs w:val="16"/>
        </w:rPr>
        <w:br/>
        <w:t xml:space="preserve">i przesuwać się pasami podłużnymi w stronę górnej krawędzi podbudowy. </w:t>
      </w:r>
    </w:p>
    <w:p w14:paraId="0BE22AC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5.8.2.  Zagęszczenie powinno być równomierne na całej szerokości warstwy. Zaleca się, aby grubość zagęszczanej warstwy nie przekraczała przy walcach statycznych gładkich 15 cm, a przy walcach ogumionych lub wibracyjnych 20 cm. </w:t>
      </w:r>
    </w:p>
    <w:p w14:paraId="7E8F27D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5.8.3.  Zagęszczenie podbudowy należy wykonywać warstwami przy zachowaniu wilgotności optymalnej.  W  ostatniej  fazie  zagęszczania  należy  sprawdzić  profil  szablonem. </w:t>
      </w:r>
    </w:p>
    <w:p w14:paraId="54F9763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Zagęszczenie podbudowy powinno być równomierne na całej szerokości. </w:t>
      </w:r>
    </w:p>
    <w:p w14:paraId="013924E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5.8.4.  Wskaźnik zagęszczenia nie powinien być mniejszy od 1,03 (KR 5 -KR 7) oraz 1,00 dla pozostałych dróg.  Zagęszczenie kontroluje</w:t>
      </w:r>
      <w:r w:rsidRPr="00FA7F06">
        <w:rPr>
          <w:rFonts w:asciiTheme="minorHAnsi" w:hAnsiTheme="minorHAnsi"/>
          <w:sz w:val="16"/>
          <w:szCs w:val="16"/>
        </w:rPr>
        <w:br/>
        <w:t xml:space="preserve">się  płytą VSS przez sprawdzenie modułu odkształcenia. Zagęszczenie podbudowy stabilizowanej mechanicznie należy uznać za prawidłowe, gdy stosunek wtórnego modułu E 2  do pierwotnego modułu odkształcenia E 1  jest nie większy od 2,2 dla każdej warstwy konstrukcyjnej podbudowy. Wskaźnik zagęszczenia  podbudowy  powinien  odpowiadać  przyjętemu  poziomowi  wskaźnika nośności podbudowy wg tablicy 6.8. </w:t>
      </w:r>
    </w:p>
    <w:p w14:paraId="084879BF"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5.9.  Utrzymanie wykonanej warstwy </w:t>
      </w:r>
    </w:p>
    <w:p w14:paraId="5F735C1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5.9.1.  Warstwa  po  wykonaniu,  a  przed  ułożeniem  następnej  warstwy  powinna  być utrzymywana  w  dobrym  stanie.  Jeżeli  Wykonawca  będzie  wykorzystywał,  gotową warstwę do ruchu budowlanego, to jest obowiązany naprawić wszelkie jej uszkodzenia spowodowane przez ten ruch.  </w:t>
      </w:r>
    </w:p>
    <w:p w14:paraId="67A0E38A"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5.10.  Roboty wykończeniowe </w:t>
      </w:r>
    </w:p>
    <w:p w14:paraId="22460CF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5.10.1.Roboty  wykończeniowe,  zgodne  z  dokumentacją  projektową,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lub wskazaniami Inżyniera/Inspektora Nadzoru/Zamawiającego dotyczą prac związanych z dostosowaniem wykonanych robót do istniejących warunków terenowych, takie jak: </w:t>
      </w:r>
    </w:p>
    <w:p w14:paraId="746CEFF1"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odtworzenie przeszkód czasowo usuniętych, </w:t>
      </w:r>
    </w:p>
    <w:p w14:paraId="123DECEF"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uzupełnienie zniszczonych w czasie robót istniejących elementów drogowych lub terenowych, </w:t>
      </w:r>
    </w:p>
    <w:p w14:paraId="6CB75461"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lastRenderedPageBreak/>
        <w:t xml:space="preserve">roboty porządkujące otoczenie terenu robót, </w:t>
      </w:r>
    </w:p>
    <w:p w14:paraId="502CF8FC"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usunięcie oznakowania drogi wprowadzonego na okres robót. </w:t>
      </w:r>
    </w:p>
    <w:p w14:paraId="6858BD2D" w14:textId="77777777" w:rsidR="00105AB9" w:rsidRPr="00FA7F06" w:rsidRDefault="00105AB9" w:rsidP="00105AB9">
      <w:pPr>
        <w:pStyle w:val="Pro-Inwest"/>
        <w:jc w:val="both"/>
        <w:rPr>
          <w:rFonts w:asciiTheme="minorHAnsi" w:hAnsiTheme="minorHAnsi"/>
          <w:sz w:val="16"/>
          <w:szCs w:val="16"/>
        </w:rPr>
      </w:pPr>
    </w:p>
    <w:p w14:paraId="2F5E5B30"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6.  KONTROLA JAKOŚCI ROBÓT </w:t>
      </w:r>
    </w:p>
    <w:p w14:paraId="51DD133C"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6.1.  Ogólne wymagania dotyczące kontroli jakości robót </w:t>
      </w:r>
    </w:p>
    <w:p w14:paraId="2937B3A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6.1.1.  Ogólne wymagania dotyczące kontroli jakości robót podano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D-M 00.00.00, Wymagania ogólne" punkt 6. </w:t>
      </w:r>
    </w:p>
    <w:p w14:paraId="58F2B7E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6.1.2.  Badania i pomiary dzielą się na: </w:t>
      </w:r>
    </w:p>
    <w:p w14:paraId="7285C3E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a)   badania i pomiary Wykonawcy (w ramach własnego nadzoru), </w:t>
      </w:r>
    </w:p>
    <w:p w14:paraId="10BA3EF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b)   badania i pomiary kontrolne, wykonywane na zlecenie Inżyniera/Inspektora Nadzoru/Zamawiającego przez Laboratorium Zamawiającego.  </w:t>
      </w:r>
    </w:p>
    <w:p w14:paraId="540EDB9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Badania i pomiary kontrolne dzielą się na podstawowe, dodatkowe i arbitrażowe. </w:t>
      </w:r>
    </w:p>
    <w:p w14:paraId="590B9A8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 uzasadnionych przypadkach w ramach badań i pomiarów kontrolnych dopuszcza się wykonanie  badań  i  pomiarów  kontrolnych  dodatkowych  lub  badań  i  pomiarów arbitrażowych. </w:t>
      </w:r>
    </w:p>
    <w:p w14:paraId="2D34295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Badania obejmują: </w:t>
      </w:r>
    </w:p>
    <w:p w14:paraId="45232249"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pobranie próbek, </w:t>
      </w:r>
    </w:p>
    <w:p w14:paraId="6FE71406"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zapakowanie próbek do wysyłki, </w:t>
      </w:r>
    </w:p>
    <w:p w14:paraId="0EF80B4A"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transport próbek z miejsca pobrania do placówki wykonującej badania, </w:t>
      </w:r>
    </w:p>
    <w:p w14:paraId="5CD5D8F1"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przeprowadzenie badania, </w:t>
      </w:r>
    </w:p>
    <w:p w14:paraId="12F08532" w14:textId="77777777" w:rsidR="00105AB9" w:rsidRPr="00FA7F06" w:rsidRDefault="00105AB9" w:rsidP="00105AB9">
      <w:pPr>
        <w:pStyle w:val="Pro-Inwest"/>
        <w:numPr>
          <w:ilvl w:val="0"/>
          <w:numId w:val="158"/>
        </w:numPr>
        <w:jc w:val="both"/>
        <w:rPr>
          <w:rFonts w:asciiTheme="minorHAnsi" w:hAnsiTheme="minorHAnsi"/>
          <w:sz w:val="16"/>
          <w:szCs w:val="16"/>
        </w:rPr>
      </w:pPr>
      <w:r w:rsidRPr="00FA7F06">
        <w:rPr>
          <w:rFonts w:asciiTheme="minorHAnsi" w:hAnsiTheme="minorHAnsi"/>
          <w:sz w:val="16"/>
          <w:szCs w:val="16"/>
        </w:rPr>
        <w:t xml:space="preserve">sprawozdanie z badań.  </w:t>
      </w:r>
    </w:p>
    <w:p w14:paraId="30329B5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Pomiary obejmują terenową weryfikację cech warstwy. </w:t>
      </w:r>
    </w:p>
    <w:p w14:paraId="207F3493"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6.2.  Badania  i  pomiary  Wykonawcy  –  zgodnie  z  D-M-00.00.00  „Wymagania ogólne” </w:t>
      </w:r>
    </w:p>
    <w:p w14:paraId="4B10B38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Zakres badań i pomiarów Wykonawcy powinien być: </w:t>
      </w:r>
    </w:p>
    <w:p w14:paraId="5AC54BB7" w14:textId="77777777" w:rsidR="00105AB9" w:rsidRPr="00FA7F06" w:rsidRDefault="00105AB9" w:rsidP="00105AB9">
      <w:pPr>
        <w:pStyle w:val="Pro-Inwest"/>
        <w:numPr>
          <w:ilvl w:val="0"/>
          <w:numId w:val="159"/>
        </w:numPr>
        <w:jc w:val="both"/>
        <w:rPr>
          <w:rFonts w:asciiTheme="minorHAnsi" w:hAnsiTheme="minorHAnsi"/>
          <w:sz w:val="16"/>
          <w:szCs w:val="16"/>
        </w:rPr>
      </w:pPr>
      <w:r w:rsidRPr="00FA7F06">
        <w:rPr>
          <w:rFonts w:asciiTheme="minorHAnsi" w:hAnsiTheme="minorHAnsi"/>
          <w:sz w:val="16"/>
          <w:szCs w:val="16"/>
        </w:rPr>
        <w:t xml:space="preserve">nie mniejszy niż określony w Zakładowej Kontroli Produkcji dla dostarczanych na budowę materiałów i wyrobów budowlanych, </w:t>
      </w:r>
    </w:p>
    <w:p w14:paraId="5DF6925B" w14:textId="77777777" w:rsidR="00105AB9" w:rsidRPr="00FA7F06" w:rsidRDefault="00105AB9" w:rsidP="00105AB9">
      <w:pPr>
        <w:pStyle w:val="Pro-Inwest"/>
        <w:numPr>
          <w:ilvl w:val="0"/>
          <w:numId w:val="159"/>
        </w:numPr>
        <w:jc w:val="both"/>
        <w:rPr>
          <w:rFonts w:asciiTheme="minorHAnsi" w:hAnsiTheme="minorHAnsi"/>
          <w:sz w:val="16"/>
          <w:szCs w:val="16"/>
        </w:rPr>
      </w:pPr>
      <w:r w:rsidRPr="00FA7F06">
        <w:rPr>
          <w:rFonts w:asciiTheme="minorHAnsi" w:hAnsiTheme="minorHAnsi"/>
          <w:sz w:val="16"/>
          <w:szCs w:val="16"/>
        </w:rPr>
        <w:t xml:space="preserve">nie mniejszy niż zakres i częstotliwość badań i pomiarów kontrolnych określony  w niniejszym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w:t>
      </w:r>
    </w:p>
    <w:p w14:paraId="575995F5"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6.3.  Badania i pomiary kontrolne – zgodnie z D-M-00.00.00 „Wymagania ogólne” </w:t>
      </w:r>
    </w:p>
    <w:p w14:paraId="22DABD3C"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6.4.  Badania  i  pomiary  kontrolne  dodatkowe–  zgodnie  z  D-M-00.00.00 „Wymagania ogólne” </w:t>
      </w:r>
    </w:p>
    <w:p w14:paraId="3C9A697C"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6.5.  Badania  i  pomiary  arbitrażowe  –  zgodnie  z  D-M-00.00.00  „Wymagania ogólne” </w:t>
      </w:r>
    </w:p>
    <w:p w14:paraId="0ACD86DA"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6.6.  Badania  przed  przystąpieniem  do  robót  –  zgodnie  z  D-M-00.00.00 „Wymagania ogólne” </w:t>
      </w:r>
    </w:p>
    <w:p w14:paraId="09BB13A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6.6.1.  Przed przystąpieniem do robót Wykonawca powinien : </w:t>
      </w:r>
    </w:p>
    <w:p w14:paraId="68ED4820"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przedstawić  Inżynierowi/Inspektorowi  Nadzoru  do  akceptacji  źródła  poboru mieszanki  oraz  wszystkich  dodatkowych  materiałów,  dołączając  wszystkie dokumenty potwierdzające jakość materiałów składowych; </w:t>
      </w:r>
    </w:p>
    <w:p w14:paraId="71F4F3C0"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uzyskać  wymagane  dokumenty,  dopuszczające  wyroby  budowlane  do  obrotu i powszechnego stosowania (np. stwierdzenie o oznakowaniu materiału znakiem CE  lub  znakiem  budowlanym  B,  Certyfikat  Zgodności  ZKP/Stałości  Właściwości Użytkowych, deklarację właściwości użytkowych, KOT/EOT, aprobatę techniczną, ew. badania materiałów wykonane przez dostawców itp.), </w:t>
      </w:r>
    </w:p>
    <w:p w14:paraId="5D37FDD1"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opracować  receptę  laboratoryjną  dla  mieszanki  kruszywa  oraz  przedstawić Inżynierowi/Inspektorowi Nadzoru</w:t>
      </w:r>
      <w:r w:rsidRPr="00FA7F06">
        <w:rPr>
          <w:rFonts w:asciiTheme="minorHAnsi" w:hAnsiTheme="minorHAnsi"/>
          <w:sz w:val="16"/>
          <w:szCs w:val="16"/>
        </w:rPr>
        <w:br/>
        <w:t xml:space="preserve">wraz z wynikami badań do zatwierdzenia; </w:t>
      </w:r>
    </w:p>
    <w:p w14:paraId="48111883"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wykonać  własne  badania  właściwości  materiałów  przeznaczonych  do  wykonania robót, określone przez Inżyniera/ Inspektora Nadzoru /Zamawiającego. Badania te powinny obejmować wszystkie właściwości kruszywa określone w pkt. 2. </w:t>
      </w:r>
    </w:p>
    <w:p w14:paraId="52E62E6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6.6.2.  Wszystkie  dokumenty  oraz  wyniki  badań  Wykonawca  przedstawia  Inżynierowi/ Inspektorowi Nadzoru do akceptacji. </w:t>
      </w:r>
    </w:p>
    <w:p w14:paraId="638F3D4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6.6.3.  Ważność  wykonanych  przez  producenta  mieszanki  niezwiązanej  pełnych  badań materiałów  wsadowych,  w  trakcie  złożenia</w:t>
      </w:r>
      <w:r w:rsidRPr="00FA7F06">
        <w:rPr>
          <w:rFonts w:asciiTheme="minorHAnsi" w:hAnsiTheme="minorHAnsi"/>
          <w:sz w:val="16"/>
          <w:szCs w:val="16"/>
        </w:rPr>
        <w:br/>
        <w:t>do  akceptacji  razem  z  receptą  nie  może przekroczyć pół roku od dnia wykonania tych badań. Dla tych właściwości mieszanki niezwiązanej,  których  producent  nie  deklaruje,   gdyż  w  ramach  prowadzonego systemu ZKP wg PN-EN 13242 nie jest wymagane</w:t>
      </w:r>
      <w:r w:rsidRPr="00FA7F06">
        <w:rPr>
          <w:rFonts w:asciiTheme="minorHAnsi" w:hAnsiTheme="minorHAnsi"/>
          <w:sz w:val="16"/>
          <w:szCs w:val="16"/>
        </w:rPr>
        <w:br/>
        <w:t xml:space="preserve">albo wykonuje rzadziej niż co 0,5 roku  Wykonawca  powinien  przedstawić  wyniki  badań  własnych  lub  uzyskać  od producenta  dodatkowo.  W  sytuacji  gdy  mieszanka  jest  składana  przez  Wykonawcę badania  należy  przedstawić  dla  każdego  materiału  wsadowego  oraz  dla  gotowej mieszanki  niezwiązanej  zgodnie  z  wymaganiami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Badania  materiałów wsadowych w ramach badań własnych Wykonawcy należy powtarzać jeden raz na rok. </w:t>
      </w:r>
    </w:p>
    <w:p w14:paraId="092F6D92"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6.7.  Badania i pomiary w czasie realizacji robót  </w:t>
      </w:r>
    </w:p>
    <w:p w14:paraId="7B8B2F2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6.7.1.  Wykonawca  powinien  wykonywać  badania  i  pomiary  z  częstotliwością  gwarantującą zachowanie wymagań dotyczących jakości robót, lecz nie rzadziej niż wskazano to w tablicy 6.7  </w:t>
      </w:r>
    </w:p>
    <w:p w14:paraId="259D2FC8" w14:textId="77777777" w:rsidR="00105AB9" w:rsidRPr="00FA7F06" w:rsidRDefault="00105AB9" w:rsidP="00105AB9">
      <w:pPr>
        <w:pStyle w:val="Pro-Inwest"/>
        <w:jc w:val="both"/>
        <w:rPr>
          <w:rFonts w:asciiTheme="minorHAnsi" w:hAnsiTheme="minorHAnsi"/>
          <w:sz w:val="16"/>
          <w:szCs w:val="16"/>
        </w:rPr>
      </w:pPr>
    </w:p>
    <w:p w14:paraId="1A3ED71D" w14:textId="77777777" w:rsidR="00105AB9" w:rsidRPr="00FA7F06" w:rsidRDefault="00105AB9" w:rsidP="00105AB9">
      <w:pPr>
        <w:pStyle w:val="Pro-Inwest"/>
        <w:jc w:val="both"/>
        <w:rPr>
          <w:rFonts w:asciiTheme="minorHAnsi" w:hAnsiTheme="minorHAnsi"/>
          <w:sz w:val="16"/>
          <w:szCs w:val="16"/>
        </w:rPr>
      </w:pPr>
    </w:p>
    <w:p w14:paraId="77CF23A3" w14:textId="77777777" w:rsidR="00105AB9" w:rsidRPr="00FA7F06" w:rsidRDefault="00105AB9" w:rsidP="00105AB9">
      <w:pPr>
        <w:pStyle w:val="Pro-Inwest"/>
        <w:rPr>
          <w:rFonts w:asciiTheme="minorHAnsi" w:hAnsiTheme="minorHAnsi"/>
          <w:sz w:val="16"/>
          <w:szCs w:val="16"/>
        </w:rPr>
      </w:pPr>
      <w:r w:rsidRPr="00FA7F06">
        <w:rPr>
          <w:rFonts w:asciiTheme="minorHAnsi" w:hAnsiTheme="minorHAnsi"/>
          <w:noProof/>
          <w:sz w:val="16"/>
          <w:szCs w:val="16"/>
        </w:rPr>
        <w:lastRenderedPageBreak/>
        <w:drawing>
          <wp:inline distT="0" distB="0" distL="0" distR="0" wp14:anchorId="002AAA82" wp14:editId="7FDBDAE5">
            <wp:extent cx="4626790" cy="2165792"/>
            <wp:effectExtent l="0" t="0" r="0" b="0"/>
            <wp:docPr id="86" name="Obraz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49102" cy="2176236"/>
                    </a:xfrm>
                    <a:prstGeom prst="rect">
                      <a:avLst/>
                    </a:prstGeom>
                    <a:noFill/>
                    <a:ln>
                      <a:noFill/>
                    </a:ln>
                  </pic:spPr>
                </pic:pic>
              </a:graphicData>
            </a:graphic>
          </wp:inline>
        </w:drawing>
      </w:r>
    </w:p>
    <w:p w14:paraId="60971594" w14:textId="77777777" w:rsidR="00105AB9" w:rsidRPr="00FA7F06" w:rsidRDefault="00105AB9" w:rsidP="00105AB9">
      <w:pPr>
        <w:pStyle w:val="Pro-Inwest"/>
        <w:jc w:val="center"/>
        <w:rPr>
          <w:rFonts w:asciiTheme="minorHAnsi" w:hAnsiTheme="minorHAnsi"/>
          <w:sz w:val="16"/>
          <w:szCs w:val="16"/>
        </w:rPr>
      </w:pPr>
    </w:p>
    <w:p w14:paraId="1F23C83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6.7.2.  Uziarnienie mieszanki </w:t>
      </w:r>
    </w:p>
    <w:p w14:paraId="3AC51D6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Kontrola uziarnienia rozłożonego kruszywa powinna być przeprowadzana minimum 1 raz  na  każdej  dziennej  działce  roboczej</w:t>
      </w:r>
      <w:r w:rsidRPr="00FA7F06">
        <w:rPr>
          <w:rFonts w:asciiTheme="minorHAnsi" w:hAnsiTheme="minorHAnsi"/>
          <w:sz w:val="16"/>
          <w:szCs w:val="16"/>
        </w:rPr>
        <w:br/>
        <w:t xml:space="preserve">za  pomocą  analizy  sitowej.  Próbki  należy pobierać losowo z rozłożonej warstwy, przed jej zagęszczeniem. Uziarnienie mieszanki powinno mieścić się pomiędzy odpowiednimi krzywymi granicznymi wg WT-4 2010 dla zaprojektowanego uziarnienia mieszanki kruszyw. </w:t>
      </w:r>
    </w:p>
    <w:p w14:paraId="3705EB6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6.7.3.  Zawartość wody w mieszance </w:t>
      </w:r>
    </w:p>
    <w:p w14:paraId="7925D43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Zawartość wody w mieszance kruszyw w czasie wbudowania i zagęszczania badana według PN-EN 13286-2 powinna odpowiadać wymaganej w granicach określonych w WT-4 2010.  </w:t>
      </w:r>
    </w:p>
    <w:p w14:paraId="3B4A57F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6.7.4.  Zagęszczenie i nośność podbudowy </w:t>
      </w:r>
    </w:p>
    <w:p w14:paraId="2E1D2B1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6.7.4.1. Kontrolę  zagęszczenia  i  nośności  podbudowy  należy  oprzeć  na  metodzie  obciążeń płytowych za pomocą płyty VSS o średnicy 30 cm.  </w:t>
      </w:r>
    </w:p>
    <w:p w14:paraId="300B106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6.7.4.2. Nośność podbudowy należy uznać za prawidłową, gdy wtórny moduł odkształcenia E2  oznaczony  za  pomocą  płyty  VSS</w:t>
      </w:r>
      <w:r w:rsidRPr="00FA7F06">
        <w:rPr>
          <w:rFonts w:asciiTheme="minorHAnsi" w:hAnsiTheme="minorHAnsi"/>
          <w:sz w:val="16"/>
          <w:szCs w:val="16"/>
        </w:rPr>
        <w:br/>
        <w:t xml:space="preserve">jest  nie  mniejszy  niż  wymagana  wartość, określona  w </w:t>
      </w:r>
      <w:proofErr w:type="spellStart"/>
      <w:r w:rsidRPr="00FA7F06">
        <w:rPr>
          <w:rFonts w:asciiTheme="minorHAnsi" w:hAnsiTheme="minorHAnsi"/>
          <w:sz w:val="16"/>
          <w:szCs w:val="16"/>
        </w:rPr>
        <w:t>KTKNPiP</w:t>
      </w:r>
      <w:proofErr w:type="spellEnd"/>
      <w:r w:rsidRPr="00FA7F06">
        <w:rPr>
          <w:rFonts w:asciiTheme="minorHAnsi" w:hAnsiTheme="minorHAnsi"/>
          <w:sz w:val="16"/>
          <w:szCs w:val="16"/>
        </w:rPr>
        <w:t xml:space="preserve">  2014  lub  KTKNS  2014,  odpowiednia  dla  danej  podbudowy</w:t>
      </w:r>
      <w:r w:rsidRPr="00FA7F06">
        <w:rPr>
          <w:rFonts w:asciiTheme="minorHAnsi" w:hAnsiTheme="minorHAnsi"/>
          <w:sz w:val="16"/>
          <w:szCs w:val="16"/>
        </w:rPr>
        <w:br/>
        <w:t xml:space="preserve">i określona w Dokumentacji Projektowej.  </w:t>
      </w:r>
    </w:p>
    <w:p w14:paraId="33824E90" w14:textId="77777777" w:rsidR="00105AB9" w:rsidRPr="00FA7F06" w:rsidRDefault="00105AB9" w:rsidP="00105AB9">
      <w:pPr>
        <w:pStyle w:val="Pro-Inwest"/>
        <w:jc w:val="both"/>
        <w:rPr>
          <w:rFonts w:asciiTheme="minorHAnsi" w:hAnsiTheme="minorHAnsi"/>
          <w:sz w:val="16"/>
          <w:szCs w:val="16"/>
        </w:rPr>
      </w:pPr>
    </w:p>
    <w:p w14:paraId="290CB4CB" w14:textId="77777777" w:rsidR="00105AB9" w:rsidRPr="00FA7F06" w:rsidRDefault="00000000" w:rsidP="00105AB9">
      <w:pPr>
        <w:pStyle w:val="Pro-Inwest"/>
        <w:jc w:val="both"/>
        <w:rPr>
          <w:rFonts w:asciiTheme="minorHAnsi" w:hAnsiTheme="minorHAnsi"/>
          <w:sz w:val="16"/>
          <w:szCs w:val="16"/>
        </w:rPr>
      </w:pPr>
      <w:r w:rsidRPr="00FA7F06">
        <w:rPr>
          <w:rFonts w:asciiTheme="minorHAnsi" w:hAnsiTheme="minorHAnsi"/>
          <w:noProof/>
          <w:sz w:val="16"/>
          <w:szCs w:val="16"/>
        </w:rPr>
        <w:pict w14:anchorId="790A44A1">
          <v:shape id="_x0000_s2081" type="#_x0000_t32" style="position:absolute;left:0;text-align:left;margin-left:234.05pt;margin-top:17.8pt;width:102.05pt;height:75.15pt;flip:x;z-index:251662848" o:connectortype="straight"/>
        </w:pict>
      </w:r>
      <w:r w:rsidRPr="00FA7F06">
        <w:rPr>
          <w:rFonts w:asciiTheme="minorHAnsi" w:hAnsiTheme="minorHAnsi"/>
          <w:noProof/>
          <w:sz w:val="16"/>
          <w:szCs w:val="16"/>
        </w:rPr>
        <w:pict w14:anchorId="19F7C482">
          <v:shape id="_x0000_s2080" type="#_x0000_t32" style="position:absolute;left:0;text-align:left;margin-left:235.3pt;margin-top:14.65pt;width:98.95pt;height:80.75pt;z-index:251661824" o:connectortype="straight"/>
        </w:pict>
      </w:r>
      <w:r w:rsidR="00105AB9" w:rsidRPr="00FA7F06">
        <w:rPr>
          <w:rFonts w:asciiTheme="minorHAnsi" w:hAnsiTheme="minorHAnsi"/>
          <w:noProof/>
          <w:sz w:val="16"/>
          <w:szCs w:val="16"/>
        </w:rPr>
        <w:drawing>
          <wp:inline distT="0" distB="0" distL="0" distR="0" wp14:anchorId="306980B3" wp14:editId="5A7B1E7B">
            <wp:extent cx="4469462" cy="1337958"/>
            <wp:effectExtent l="0" t="0" r="0" b="0"/>
            <wp:docPr id="87" name="Obraz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16188" cy="1351946"/>
                    </a:xfrm>
                    <a:prstGeom prst="rect">
                      <a:avLst/>
                    </a:prstGeom>
                    <a:noFill/>
                    <a:ln>
                      <a:noFill/>
                    </a:ln>
                  </pic:spPr>
                </pic:pic>
              </a:graphicData>
            </a:graphic>
          </wp:inline>
        </w:drawing>
      </w:r>
    </w:p>
    <w:p w14:paraId="6780985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6.7.4.3.Zagęszczenie podbudowy należy uznać za prawidłowe, gdy wskaźnik odkształcenia </w:t>
      </w:r>
      <w:proofErr w:type="spellStart"/>
      <w:r w:rsidRPr="00FA7F06">
        <w:rPr>
          <w:rFonts w:asciiTheme="minorHAnsi" w:hAnsiTheme="minorHAnsi"/>
          <w:sz w:val="16"/>
          <w:szCs w:val="16"/>
        </w:rPr>
        <w:t>Io</w:t>
      </w:r>
      <w:proofErr w:type="spellEnd"/>
      <w:r w:rsidRPr="00FA7F06">
        <w:rPr>
          <w:rFonts w:asciiTheme="minorHAnsi" w:hAnsiTheme="minorHAnsi"/>
          <w:sz w:val="16"/>
          <w:szCs w:val="16"/>
        </w:rPr>
        <w:t xml:space="preserve">, określony stosunkiem wtórnego modułu E 2  do pierwotnego modułu E 1 , jest nie większy niż 2,2.  </w:t>
      </w:r>
    </w:p>
    <w:p w14:paraId="4B618EE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6.7.4.4.Zagęszczenie warstwy podbudowy możemy sprawdzić zgodnie z metodą opisaną w załączniku Z1. </w:t>
      </w:r>
    </w:p>
    <w:p w14:paraId="78B44EC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6.7.4.5.Bieżące  badania  kontrolne  nośności  warstwy  podbudowy  Wykonawca  może przeprowadzać metodami alternatywnymi, np. lekką płytą do obciążeń dynamicznych. </w:t>
      </w:r>
    </w:p>
    <w:p w14:paraId="383FACE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Metodą referencyjną jest metoda obciążeń płytowych wg załącznika Z1. </w:t>
      </w:r>
    </w:p>
    <w:p w14:paraId="7DD89D7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6.7.4.6.Alternatywnie  dopuszcza  się  kontrolę  i  ocenę  nośności  na  powierzchni  warstwy materiału  na  podstawie  oznaczenia  wartości  modułu  dynamicznego  E </w:t>
      </w:r>
      <w:proofErr w:type="spellStart"/>
      <w:r w:rsidRPr="00FA7F06">
        <w:rPr>
          <w:rFonts w:asciiTheme="minorHAnsi" w:hAnsiTheme="minorHAnsi"/>
          <w:sz w:val="16"/>
          <w:szCs w:val="16"/>
        </w:rPr>
        <w:t>vd</w:t>
      </w:r>
      <w:proofErr w:type="spellEnd"/>
      <w:r w:rsidRPr="00FA7F06">
        <w:rPr>
          <w:rFonts w:asciiTheme="minorHAnsi" w:hAnsiTheme="minorHAnsi"/>
          <w:sz w:val="16"/>
          <w:szCs w:val="16"/>
        </w:rPr>
        <w:t xml:space="preserve">   z zastosowaniem  lekkiej  płyty  dynamicznej  LPD.  Dopuszczenie  tej  metody  wymaga potwierdzenia na odcinku próbnym i akceptacji przez Inżyniera/ Inspektora Nadzoru /Zamawiającego korelacji wartości wtórnego modułu odkształcenia E 2 , stanowiących kryterium akceptacji nośności, z wartościami modułu dynamicznego E </w:t>
      </w:r>
      <w:proofErr w:type="spellStart"/>
      <w:r w:rsidRPr="00FA7F06">
        <w:rPr>
          <w:rFonts w:asciiTheme="minorHAnsi" w:hAnsiTheme="minorHAnsi"/>
          <w:sz w:val="16"/>
          <w:szCs w:val="16"/>
        </w:rPr>
        <w:t>vd</w:t>
      </w:r>
      <w:proofErr w:type="spellEnd"/>
      <w:r w:rsidRPr="00FA7F06">
        <w:rPr>
          <w:rFonts w:asciiTheme="minorHAnsi" w:hAnsiTheme="minorHAnsi"/>
          <w:sz w:val="16"/>
          <w:szCs w:val="16"/>
        </w:rPr>
        <w:t xml:space="preserve">  w odniesieniu do  gruntów  i  materiałów  stosowanych  w  konkretnym  przypadku  i  określonych  z zastosowaniem wybranego typu (konstrukcji) LPD.W przypadku stosowania płyt LPD o różnych konstrukcjach korelację należy ustalić dla każdego typu urządzenia. Metodą referencyjną jest metoda obciążeń płytowych wg załącznika Z1. </w:t>
      </w:r>
    </w:p>
    <w:p w14:paraId="7A1CC02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6.7.4.7. W  przypadku  stosowania  płyty  LPD  należy  uwzględnić  właściwe  dla  tej  metody ograniczenia  w  zakresie  jej  stosowalności.  Metody  tej  nie  należy  jednak wykorzystywać do badań odbiorowych warstwy. </w:t>
      </w:r>
    </w:p>
    <w:p w14:paraId="3C03A84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6.7.4.8. Wykonawca zobowiązany jest zapewniać laboratorium Inżyniera/ Inspektora Nadzoru /Zamawiającego  na  swój  koszt  pojazdy  ciężarowe  stanowiące  przeciwwagę  do oznaczania modułu odkształcenia i badania nośności przez obciążenie płyta statyczną (badanie  aparatem  VSS)  w  miejscu  i  terminie  wyznaczonym  przez  Inżyniera/ Inspektora Nadzoru /Zamawiającego. </w:t>
      </w:r>
    </w:p>
    <w:p w14:paraId="735C649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6.7.5.  Właściwości kruszywa </w:t>
      </w:r>
    </w:p>
    <w:p w14:paraId="3A8CE8A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Właściwości mieszanki kruszywa inne niż uziarnienie powinny być badane okresowe na polecenie Inżyniera/ Inspektora Nadzoru /Zamawiającego oraz w razie wątpliwości co do  jakości  mieszanki.  Próbki  do  badań  powinny  być  pobierane  losowo  w  obecności Inżyniera/ Inspektora Nadzoru /Zamawiającego. </w:t>
      </w:r>
    </w:p>
    <w:p w14:paraId="4AC60DD5" w14:textId="77777777" w:rsidR="00105AB9" w:rsidRPr="00FA7F06" w:rsidRDefault="00105AB9" w:rsidP="00105AB9">
      <w:pPr>
        <w:pStyle w:val="Pro-Inwest"/>
        <w:jc w:val="both"/>
        <w:rPr>
          <w:rFonts w:asciiTheme="minorHAnsi" w:hAnsiTheme="minorHAnsi"/>
          <w:sz w:val="16"/>
          <w:szCs w:val="16"/>
        </w:rPr>
      </w:pPr>
    </w:p>
    <w:p w14:paraId="2B0D82F1"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lastRenderedPageBreak/>
        <w:t xml:space="preserve">6.8.  Wymagania dotyczące cech geometrycznych podbudowy </w:t>
      </w:r>
    </w:p>
    <w:p w14:paraId="406513D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noProof/>
          <w:sz w:val="16"/>
          <w:szCs w:val="16"/>
        </w:rPr>
        <w:drawing>
          <wp:inline distT="0" distB="0" distL="0" distR="0" wp14:anchorId="404D2B27" wp14:editId="6B7D422B">
            <wp:extent cx="4517333" cy="2282513"/>
            <wp:effectExtent l="0" t="0" r="0" b="0"/>
            <wp:docPr id="88" name="Obraz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80275" cy="2314317"/>
                    </a:xfrm>
                    <a:prstGeom prst="rect">
                      <a:avLst/>
                    </a:prstGeom>
                    <a:noFill/>
                    <a:ln>
                      <a:noFill/>
                    </a:ln>
                  </pic:spPr>
                </pic:pic>
              </a:graphicData>
            </a:graphic>
          </wp:inline>
        </w:drawing>
      </w:r>
    </w:p>
    <w:p w14:paraId="00B80DF5" w14:textId="77777777" w:rsidR="00105AB9" w:rsidRPr="00FA7F06" w:rsidRDefault="00105AB9" w:rsidP="00105AB9">
      <w:pPr>
        <w:pStyle w:val="Pro-Inwest"/>
        <w:jc w:val="both"/>
        <w:rPr>
          <w:rFonts w:asciiTheme="minorHAnsi" w:hAnsiTheme="minorHAnsi"/>
          <w:b/>
          <w:bCs/>
          <w:sz w:val="16"/>
          <w:szCs w:val="16"/>
        </w:rPr>
      </w:pPr>
    </w:p>
    <w:p w14:paraId="22FEC372"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6.9.  Dopuszczalne tolerancje dotyczące cech geometrycznych </w:t>
      </w:r>
    </w:p>
    <w:p w14:paraId="229CA94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noProof/>
          <w:sz w:val="16"/>
          <w:szCs w:val="16"/>
        </w:rPr>
        <w:drawing>
          <wp:inline distT="0" distB="0" distL="0" distR="0" wp14:anchorId="3F606501" wp14:editId="700FBB17">
            <wp:extent cx="4442062" cy="2336624"/>
            <wp:effectExtent l="0" t="0" r="0" b="0"/>
            <wp:docPr id="91" name="Obraz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464723" cy="2348544"/>
                    </a:xfrm>
                    <a:prstGeom prst="rect">
                      <a:avLst/>
                    </a:prstGeom>
                    <a:noFill/>
                    <a:ln>
                      <a:noFill/>
                    </a:ln>
                  </pic:spPr>
                </pic:pic>
              </a:graphicData>
            </a:graphic>
          </wp:inline>
        </w:drawing>
      </w:r>
    </w:p>
    <w:p w14:paraId="6F160F55"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7.  OBMIAR ROBÓT </w:t>
      </w:r>
    </w:p>
    <w:p w14:paraId="3C571F39"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7.1  Ogólne zasady obmiaru robót </w:t>
      </w:r>
    </w:p>
    <w:p w14:paraId="7555A48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Ogólne zasady obmiaru robót podano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D-M 00.00.00 "Wymagania Ogólne" punkt 7. </w:t>
      </w:r>
    </w:p>
    <w:p w14:paraId="71967CB4"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7.2  Jednostka obmiarowa </w:t>
      </w:r>
    </w:p>
    <w:p w14:paraId="353AEA5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7.1.1.  Jednostką obmiarową jest m 2  (metr kwadratowy) wykonanej warstwy. </w:t>
      </w:r>
    </w:p>
    <w:p w14:paraId="303C190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0C9978E4"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8.  ODBIÓR ROBÓT </w:t>
      </w:r>
    </w:p>
    <w:p w14:paraId="76BF77A6"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8.1.  Ogólne zasady odbioru robót </w:t>
      </w:r>
    </w:p>
    <w:p w14:paraId="2A5E1DA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8.1.1.  Ogólne zasady odbioru robót podano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D-M 00.00.00 „Wymagania Ogólne” punkt 8.  </w:t>
      </w:r>
    </w:p>
    <w:p w14:paraId="77A5782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8.1.2.  Roboty  uznaje  się  za  wykonane  zgodnie  z  Dokumentacją  Projektową,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i  wymaganiami  Inżyniera/  Inspektora  Nadzoru  /Zamawiającego,  jeżeli  wszystkie pomiary i badania z zachowaniem tolerancji wg punktu 6 dały wyniki pozytywne. </w:t>
      </w:r>
    </w:p>
    <w:p w14:paraId="21FF1EC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8.1.3.  Do odbioru ostatecznego uwzględniane są wyniki badań i pomiarów kontrolnych, badań i pomiarów  kontrolnych  dodatkowych  oraz  badań  i  pomiarów  arbitrażowych  do wyznaczonych odcinków częściowych. </w:t>
      </w:r>
    </w:p>
    <w:p w14:paraId="534C6B2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8.2.  Zasady postępowania z wadliwie wykonanymi robotami </w:t>
      </w:r>
    </w:p>
    <w:p w14:paraId="35B8374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Jeżeli  wystąpią  wyniki  negatywne  dla  materiałów  i  robót  (nie  spełniające  wymagań określonych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  to Inżynier/Inspektor  Nadzoru/Zamawiający  wydaje  Wykonawcy  polecenie przedstawienia programu naprawczego, chyba że na wniosek jednej ze stron kontraktu zostaną wykonane badania lub pomiary arbitrażowe (zgodnie z pkt. 6.5 niniejszego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a  ich  wyniki  będą  pozytywne.  Wykonawca  w  programie  tym  jest zobowiązany  dokonać  oceny  wpływu  na  trwałość,  przedstawić  sposób  naprawienia wady</w:t>
      </w:r>
      <w:r w:rsidRPr="00FA7F06">
        <w:rPr>
          <w:rFonts w:asciiTheme="minorHAnsi" w:hAnsiTheme="minorHAnsi"/>
          <w:sz w:val="16"/>
          <w:szCs w:val="16"/>
        </w:rPr>
        <w:br/>
        <w:t xml:space="preserve">lub wnioskować o zredukowanie ceny kontraktowej naliczenie potrąceń. </w:t>
      </w:r>
    </w:p>
    <w:p w14:paraId="772D4C6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Na  zastosowanie  programu  naprawczego  wyraża  zgodę  Inżynier/Inspektor Nadzoru/Zamawiający.  </w:t>
      </w:r>
    </w:p>
    <w:p w14:paraId="1FD9BCD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  przypadku  braku  zgody  Inżyniera/Inspektora  Nadzoru/Zamawiającego  na zastosowanie  programu  naprawczego  wszystkie  materiały  i  roboty  nie  spełniające wymagań  podanych  w odpowiednich  punktach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zostaną  odrzucone. </w:t>
      </w:r>
    </w:p>
    <w:p w14:paraId="7F2DD29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Wykonawca  wymieni  materiały  na  właściwe  i  wykona  prawidłowo  roboty  na  własny koszt. </w:t>
      </w:r>
    </w:p>
    <w:p w14:paraId="1BF44F2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Jeżeli wymiana materiałów niespełniających wymagań lub wadliwie wykonane roboty spowodowują szkodę w innych, prawidłowo wykonanych robotach, to również te roboty powinny być ponownie wykonane przez Wykonawcę na jego koszt. </w:t>
      </w:r>
    </w:p>
    <w:p w14:paraId="068C9D67" w14:textId="77777777" w:rsidR="00105AB9" w:rsidRPr="00FA7F06" w:rsidRDefault="00105AB9" w:rsidP="00105AB9">
      <w:pPr>
        <w:pStyle w:val="Pro-Inwest"/>
        <w:jc w:val="both"/>
        <w:rPr>
          <w:rFonts w:asciiTheme="minorHAnsi" w:hAnsiTheme="minorHAnsi"/>
          <w:b/>
          <w:bCs/>
          <w:sz w:val="16"/>
          <w:szCs w:val="16"/>
        </w:rPr>
      </w:pPr>
    </w:p>
    <w:p w14:paraId="69CC98EF" w14:textId="77777777" w:rsidR="003A7D17" w:rsidRPr="00FA7F06" w:rsidRDefault="003A7D17" w:rsidP="00105AB9">
      <w:pPr>
        <w:pStyle w:val="Pro-Inwest"/>
        <w:jc w:val="both"/>
        <w:rPr>
          <w:rFonts w:asciiTheme="minorHAnsi" w:hAnsiTheme="minorHAnsi"/>
          <w:b/>
          <w:bCs/>
          <w:sz w:val="16"/>
          <w:szCs w:val="16"/>
        </w:rPr>
      </w:pPr>
    </w:p>
    <w:p w14:paraId="4015A9F1" w14:textId="77777777" w:rsidR="003A7D17" w:rsidRPr="00FA7F06" w:rsidRDefault="003A7D17" w:rsidP="00105AB9">
      <w:pPr>
        <w:pStyle w:val="Pro-Inwest"/>
        <w:jc w:val="both"/>
        <w:rPr>
          <w:rFonts w:asciiTheme="minorHAnsi" w:hAnsiTheme="minorHAnsi"/>
          <w:b/>
          <w:bCs/>
          <w:sz w:val="16"/>
          <w:szCs w:val="16"/>
        </w:rPr>
      </w:pPr>
    </w:p>
    <w:p w14:paraId="5B7F27EC"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lastRenderedPageBreak/>
        <w:t xml:space="preserve">9.  PODSTAWA PŁATNOŚCI </w:t>
      </w:r>
    </w:p>
    <w:p w14:paraId="382B68B8"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9.1.  Ogólne ustalenia dotyczące podstawy płatności </w:t>
      </w:r>
    </w:p>
    <w:p w14:paraId="745D287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9.1.1.  Ogólne  ustalenia  dotyczące  podstawy  płatności  podano  w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D-M  00.00.00  „Wymagania Ogólne” w punkcie 9. </w:t>
      </w:r>
    </w:p>
    <w:p w14:paraId="34E66454"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9.2.  Cena jednostki obmiarowej (1 m 2 ) obejmuje: </w:t>
      </w:r>
    </w:p>
    <w:p w14:paraId="05A3B12D"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prace pomiarowe i roboty przygotowawcze, </w:t>
      </w:r>
    </w:p>
    <w:p w14:paraId="73D0C9D6"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oznakowanie robót, </w:t>
      </w:r>
    </w:p>
    <w:p w14:paraId="2BDC0351"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dostarczenie materiałów i sprzętu, </w:t>
      </w:r>
    </w:p>
    <w:p w14:paraId="3277F58C"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przygotowanie mieszanki z kruszywa, zgodnie z receptą, </w:t>
      </w:r>
    </w:p>
    <w:p w14:paraId="3F13BB66"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dostarczenie mieszanki na miejsce wbudowania, </w:t>
      </w:r>
    </w:p>
    <w:p w14:paraId="73091317"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rozłożenie mieszanki, </w:t>
      </w:r>
    </w:p>
    <w:p w14:paraId="3E2E4DCB"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zagęszczenie mieszanki, </w:t>
      </w:r>
    </w:p>
    <w:p w14:paraId="116B4914"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utrzymanie warstwy w czasie robót, </w:t>
      </w:r>
    </w:p>
    <w:p w14:paraId="5BDF400F"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przeprowadzenie wymaganych pomiarów i badań, </w:t>
      </w:r>
    </w:p>
    <w:p w14:paraId="1EA95758"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uporządkowanie terenu robót i jego otoczenia, </w:t>
      </w:r>
    </w:p>
    <w:p w14:paraId="618880EA"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roboty wykończeniowe, </w:t>
      </w:r>
    </w:p>
    <w:p w14:paraId="4CC688D1"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odwiezienie sprzętu, </w:t>
      </w:r>
    </w:p>
    <w:p w14:paraId="777BA4C5"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zawiera wszelkie inne czynności związane z prawidłowym wykonaniem warstwy zgodnie z wymaganiami niniejszych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w:t>
      </w:r>
    </w:p>
    <w:p w14:paraId="5D6D1A84" w14:textId="77777777" w:rsidR="00105AB9" w:rsidRPr="00FA7F06" w:rsidRDefault="00105AB9" w:rsidP="00105AB9">
      <w:pPr>
        <w:pStyle w:val="Pro-Inwest"/>
        <w:jc w:val="both"/>
        <w:rPr>
          <w:rFonts w:asciiTheme="minorHAnsi" w:hAnsiTheme="minorHAnsi"/>
          <w:sz w:val="16"/>
          <w:szCs w:val="16"/>
        </w:rPr>
      </w:pPr>
    </w:p>
    <w:p w14:paraId="3D9F2B0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Wszystkie roboty powinny być wykonane według wymagań dokumentacji projektowej,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specyfikacji technicznej i postanowień Inżyniera/ Inspektora Nadzoru /Zamawiającego. </w:t>
      </w:r>
    </w:p>
    <w:p w14:paraId="1E423C54" w14:textId="77777777" w:rsidR="00105AB9" w:rsidRPr="00FA7F06" w:rsidRDefault="00105AB9" w:rsidP="00105AB9">
      <w:pPr>
        <w:pStyle w:val="Pro-Inwest"/>
        <w:jc w:val="both"/>
        <w:rPr>
          <w:rFonts w:asciiTheme="minorHAnsi" w:hAnsiTheme="minorHAnsi"/>
          <w:sz w:val="16"/>
          <w:szCs w:val="16"/>
        </w:rPr>
      </w:pPr>
    </w:p>
    <w:p w14:paraId="6E11305D"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9.3.  Sposób rozliczenia robót tymczasowych i prac towarzyszących </w:t>
      </w:r>
    </w:p>
    <w:p w14:paraId="2479556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Cena wykonania robót określonych niniejszymi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xml:space="preserve"> obejmuje: </w:t>
      </w:r>
    </w:p>
    <w:p w14:paraId="5DCEF0F7"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 xml:space="preserve">roboty tymczasowe, które są potrzebne do wykonania robót podstawowych, ale nie  są  przekazywane  Inżynierowi/Zamawiającemu i  są  usuwane  po  wykonaniu robót podstawowych, </w:t>
      </w:r>
    </w:p>
    <w:p w14:paraId="66FF20AD" w14:textId="77777777" w:rsidR="00105AB9" w:rsidRPr="00FA7F06" w:rsidRDefault="00105AB9" w:rsidP="00105AB9">
      <w:pPr>
        <w:pStyle w:val="Pro-Inwest"/>
        <w:numPr>
          <w:ilvl w:val="0"/>
          <w:numId w:val="160"/>
        </w:numPr>
        <w:jc w:val="both"/>
        <w:rPr>
          <w:rFonts w:asciiTheme="minorHAnsi" w:hAnsiTheme="minorHAnsi"/>
          <w:sz w:val="16"/>
          <w:szCs w:val="16"/>
        </w:rPr>
      </w:pPr>
      <w:r w:rsidRPr="00FA7F06">
        <w:rPr>
          <w:rFonts w:asciiTheme="minorHAnsi" w:hAnsiTheme="minorHAnsi"/>
          <w:sz w:val="16"/>
          <w:szCs w:val="16"/>
        </w:rPr>
        <w:t>prace  towarzyszące,  które  są  niezbędne  do  wykonania  robót  podstawowych, niezaliczane do robót tymczasowych,</w:t>
      </w:r>
      <w:r w:rsidRPr="00FA7F06">
        <w:rPr>
          <w:rFonts w:asciiTheme="minorHAnsi" w:hAnsiTheme="minorHAnsi"/>
          <w:sz w:val="16"/>
          <w:szCs w:val="16"/>
        </w:rPr>
        <w:br/>
        <w:t xml:space="preserve">jak geodezyjne wytyczenie robót itd. </w:t>
      </w:r>
    </w:p>
    <w:p w14:paraId="64956AB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532C78A0"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10.  PRZEPISY ZWIĄZANE </w:t>
      </w:r>
    </w:p>
    <w:p w14:paraId="6C1C7328"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10.1 Normy </w:t>
      </w:r>
    </w:p>
    <w:p w14:paraId="1A7AA7F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1.  PN-EN 13242  Kruszywa  do  niezwiązanych  i  hydraulicznie  związanych  materiałów stosowanych w obiektach drogowych</w:t>
      </w:r>
      <w:r w:rsidRPr="00FA7F06">
        <w:rPr>
          <w:rFonts w:asciiTheme="minorHAnsi" w:hAnsiTheme="minorHAnsi"/>
          <w:sz w:val="16"/>
          <w:szCs w:val="16"/>
        </w:rPr>
        <w:br/>
        <w:t xml:space="preserve">i budownictwie drogowym 2.  PN-EN 13285  Mieszanki niezwiązane. Wymagania. </w:t>
      </w:r>
    </w:p>
    <w:p w14:paraId="6E8B627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3.  PN-EN 1008  Woda  zarobowa  do  betonu.  Specyfikacja  pobierania  próbek,  badanie i ocena  przydatności  wody  zarobowej</w:t>
      </w:r>
      <w:r w:rsidRPr="00FA7F06">
        <w:rPr>
          <w:rFonts w:asciiTheme="minorHAnsi" w:hAnsiTheme="minorHAnsi"/>
          <w:sz w:val="16"/>
          <w:szCs w:val="16"/>
        </w:rPr>
        <w:br/>
        <w:t xml:space="preserve">do  betonu,  w  tym  wody odzyskanej z procesów produkcji betonu </w:t>
      </w:r>
    </w:p>
    <w:p w14:paraId="744D22A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  PN-EN 933-1  Badanie  geometrycznych  właściwości  kruszyw.  Część  1:  Oznaczenie składu ziarnowego – Metoda przesiewowa. </w:t>
      </w:r>
    </w:p>
    <w:p w14:paraId="4E366BB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  PN-EN 933-3  Badanie  geometrycznych  właściwości  kruszyw.  Część  2:  Oznaczenie kształtu ziaren za pomocą wskaźnika płaskości. </w:t>
      </w:r>
    </w:p>
    <w:p w14:paraId="18CEC3E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  PN-EN 933-4  Badanie  geometrycznych  właściwości  kruszyw.  Część  4:  Oznaczenie kształtu ziaren- Wskaźnik kształtu. </w:t>
      </w:r>
    </w:p>
    <w:p w14:paraId="4F3EB49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7.  PN-EN 933-5  Badanie  geometrycznych  właściwości  kruszyw.  Część  5:  Oznaczenie procentowej  zawartości  </w:t>
      </w:r>
      <w:proofErr w:type="spellStart"/>
      <w:r w:rsidRPr="00FA7F06">
        <w:rPr>
          <w:rFonts w:asciiTheme="minorHAnsi" w:hAnsiTheme="minorHAnsi"/>
          <w:sz w:val="16"/>
          <w:szCs w:val="16"/>
        </w:rPr>
        <w:t>ziarn</w:t>
      </w:r>
      <w:proofErr w:type="spellEnd"/>
      <w:r w:rsidRPr="00FA7F06">
        <w:rPr>
          <w:rFonts w:asciiTheme="minorHAnsi" w:hAnsiTheme="minorHAnsi"/>
          <w:sz w:val="16"/>
          <w:szCs w:val="16"/>
        </w:rPr>
        <w:t xml:space="preserve">  o  powierzchniach  powstałych  w  wyniku </w:t>
      </w:r>
      <w:proofErr w:type="spellStart"/>
      <w:r w:rsidRPr="00FA7F06">
        <w:rPr>
          <w:rFonts w:asciiTheme="minorHAnsi" w:hAnsiTheme="minorHAnsi"/>
          <w:sz w:val="16"/>
          <w:szCs w:val="16"/>
        </w:rPr>
        <w:t>przekruszenia</w:t>
      </w:r>
      <w:proofErr w:type="spellEnd"/>
      <w:r w:rsidRPr="00FA7F06">
        <w:rPr>
          <w:rFonts w:asciiTheme="minorHAnsi" w:hAnsiTheme="minorHAnsi"/>
          <w:sz w:val="16"/>
          <w:szCs w:val="16"/>
        </w:rPr>
        <w:t xml:space="preserve"> lub łamania kruszyw grubych. </w:t>
      </w:r>
    </w:p>
    <w:p w14:paraId="33A2AA6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8.  PN-EN 933-8  Badanie  geometrycznych  właściwości  kruszyw.  Część  8:  Ocena zawartości drobnych cząstek - Badania wskaźnika piaskowego. </w:t>
      </w:r>
    </w:p>
    <w:p w14:paraId="026FBE9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9.  PN-EN 933-9  Badanie  geometrycznych  właściwości  kruszyw.  Część  9:  Ocena zawartości drobnych cząstek- Badania błękitem metylenowym. </w:t>
      </w:r>
    </w:p>
    <w:p w14:paraId="13F018F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10.  PN-EN 1097-2  Badania  mechanicznych  i  fizycznych  właściwości  kruszyw.  Część  2: Metody oznaczania odporności na rozdrobnienie. </w:t>
      </w:r>
    </w:p>
    <w:p w14:paraId="7CF9F78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11.  PN-EN 1097-6  Badania  mechanicznych  i  fizycznych  właściwości  kruszyw-  Część  6: Oznaczanie gęstości </w:t>
      </w:r>
      <w:proofErr w:type="spellStart"/>
      <w:r w:rsidRPr="00FA7F06">
        <w:rPr>
          <w:rFonts w:asciiTheme="minorHAnsi" w:hAnsiTheme="minorHAnsi"/>
          <w:sz w:val="16"/>
          <w:szCs w:val="16"/>
        </w:rPr>
        <w:t>ziarn</w:t>
      </w:r>
      <w:proofErr w:type="spellEnd"/>
      <w:r w:rsidRPr="00FA7F06">
        <w:rPr>
          <w:rFonts w:asciiTheme="minorHAnsi" w:hAnsiTheme="minorHAnsi"/>
          <w:sz w:val="16"/>
          <w:szCs w:val="16"/>
        </w:rPr>
        <w:t xml:space="preserve"> i nasiąkliwości. </w:t>
      </w:r>
    </w:p>
    <w:p w14:paraId="1C9A9B7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12.  PN-EN 1367-1  Badanie  właściwości  cieplnych  i  odporności  kruszyw  na  działanie czynników atmosferycznych – Część 1: Oznaczenie mrozoodporności. </w:t>
      </w:r>
    </w:p>
    <w:p w14:paraId="724AE36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13.  PN-EN 1367-3  Badanie  właściwości  cieplnych  i  odporności  kruszyw  na  działanie czynników  atmosferycznych  –  Część  3:  Badanie  bazaltowej  zgorzeli słonecznej metoda gotowania. </w:t>
      </w:r>
    </w:p>
    <w:p w14:paraId="3E02784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14.  PN-EN 13286-1  Mieszanki  mineralne  niezwiązane  i  związane  spoiwem  hydraulicznym- Część  1:  Metody  badań  dla  ustalonej  laboratoryjnie  referencyjnej gęstości i wilgotności - Wprowadzenie i wymagania ogólne. </w:t>
      </w:r>
    </w:p>
    <w:p w14:paraId="7FCC121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15.  PN-EN 13286-2  Mieszanki  mineralne  niezwiązane  i  związane  spoiwem  hydraulicznym- Część  1:  Metody  badań  dla  ustalonej  laboratoryjnie  referencyjnej gęstości i wilgotności- Zagęszczanie aparatem </w:t>
      </w:r>
      <w:proofErr w:type="spellStart"/>
      <w:r w:rsidRPr="00FA7F06">
        <w:rPr>
          <w:rFonts w:asciiTheme="minorHAnsi" w:hAnsiTheme="minorHAnsi"/>
          <w:sz w:val="16"/>
          <w:szCs w:val="16"/>
        </w:rPr>
        <w:t>Proctora</w:t>
      </w:r>
      <w:proofErr w:type="spellEnd"/>
      <w:r w:rsidRPr="00FA7F06">
        <w:rPr>
          <w:rFonts w:asciiTheme="minorHAnsi" w:hAnsiTheme="minorHAnsi"/>
          <w:sz w:val="16"/>
          <w:szCs w:val="16"/>
        </w:rPr>
        <w:t xml:space="preserve">. </w:t>
      </w:r>
    </w:p>
    <w:p w14:paraId="52DE798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16.  PN-EN 13286-47 Mieszanki mineralne niezwiązane i związane spoiwem hydraulicznym - Część 47: Metody badań dla określenia nośności, kalifornijski wskaźnik nośności  CBR,  natychmiastowy  wskaźnik  nośności  i  pęcznienia liniowego. </w:t>
      </w:r>
    </w:p>
    <w:p w14:paraId="3BE84DF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17.  BN-77/8931-12  Drogi samochodowe. Oznaczenie wskaźnika zagęszczenia gruntu. </w:t>
      </w:r>
    </w:p>
    <w:p w14:paraId="5A03B91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18.  BN-8931-04   Drogi samochodowe. Pomiar równości nawierzchni </w:t>
      </w:r>
      <w:proofErr w:type="spellStart"/>
      <w:r w:rsidRPr="00FA7F06">
        <w:rPr>
          <w:rFonts w:asciiTheme="minorHAnsi" w:hAnsiTheme="minorHAnsi"/>
          <w:sz w:val="16"/>
          <w:szCs w:val="16"/>
        </w:rPr>
        <w:t>planografem</w:t>
      </w:r>
      <w:proofErr w:type="spellEnd"/>
      <w:r w:rsidRPr="00FA7F06">
        <w:rPr>
          <w:rFonts w:asciiTheme="minorHAnsi" w:hAnsiTheme="minorHAnsi"/>
          <w:sz w:val="16"/>
          <w:szCs w:val="16"/>
        </w:rPr>
        <w:t xml:space="preserve"> i łatą. </w:t>
      </w:r>
    </w:p>
    <w:p w14:paraId="5BE1C389"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10.1.  Inne dokumenty </w:t>
      </w:r>
    </w:p>
    <w:p w14:paraId="7F17407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L.p.  Tytuł  </w:t>
      </w:r>
    </w:p>
    <w:p w14:paraId="3A115CC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1  „Instrukcja  Badań  Podłoża  Gruntowego  Budowli  Drogowych  i  Mostowych  –  Część  2. Załącznik” GDDP, Warszawa 1998r. </w:t>
      </w:r>
    </w:p>
    <w:p w14:paraId="472099F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2  Katalog  typowych  konstrukcji  nawierzchni  podatnych  i  półsztywnych  Politechnika Gdańska 2014 r. </w:t>
      </w:r>
    </w:p>
    <w:p w14:paraId="48BEFBC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3  Rozporządzenie  Ministra  Transportu  i  Gospodarki  Morskiej  w  sprawie  warunków technicznych, jakim powinny odpowiadać drogi publiczne i ich usytuowanie. Dz. U. Nr 43 z dnia 14 maja 1999 r z późniejszymi zmianami. </w:t>
      </w:r>
    </w:p>
    <w:p w14:paraId="61CF09B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lastRenderedPageBreak/>
        <w:t xml:space="preserve">4  WT-4 2010. Mieszanki niezwiązane do dróg krajowych. Wymagania techniczne. Załącznik Nr 3 do Zarządzenia nr 102 Generalnego Dyrektora Dróg Krajowych i Autostrad z dnia 19 listopada 2010r. </w:t>
      </w:r>
    </w:p>
    <w:p w14:paraId="5EB3AEC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5  Załącznik  B3  do  KPRNPP-2014  Procedura  wykonania  badania  modułu  odkształcenia warstw konstrukcyjnych podatnych i podłoża przez obciążenie płytą VSS. </w:t>
      </w:r>
    </w:p>
    <w:p w14:paraId="2E45F71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6 Projekt RID I/6 Wykorzystanie materiałów pochodzących z recyklingu Zadanie 6 Załącznik 9.6  „Wytyczne  wykorzystania  materiałów  pochodzących  z  recyklingu  nawierzchni betonowych”, Warszawa 2019 r.  </w:t>
      </w:r>
    </w:p>
    <w:p w14:paraId="4D242609" w14:textId="77777777" w:rsidR="00105AB9" w:rsidRPr="00FA7F06" w:rsidRDefault="00105AB9" w:rsidP="00105AB9">
      <w:pPr>
        <w:pStyle w:val="Pro-Inwest"/>
        <w:jc w:val="both"/>
        <w:rPr>
          <w:rFonts w:asciiTheme="minorHAnsi" w:hAnsiTheme="minorHAnsi"/>
          <w:sz w:val="16"/>
          <w:szCs w:val="16"/>
        </w:rPr>
      </w:pPr>
    </w:p>
    <w:p w14:paraId="7ED3FF75" w14:textId="77777777" w:rsidR="00105AB9" w:rsidRPr="00FA7F06" w:rsidRDefault="00105AB9" w:rsidP="00105AB9">
      <w:pPr>
        <w:pStyle w:val="Pro-Inwest"/>
        <w:jc w:val="both"/>
        <w:rPr>
          <w:rFonts w:asciiTheme="minorHAnsi" w:hAnsiTheme="minorHAnsi"/>
          <w:b/>
          <w:bCs/>
          <w:sz w:val="18"/>
          <w:szCs w:val="18"/>
        </w:rPr>
      </w:pPr>
      <w:r w:rsidRPr="00FA7F06">
        <w:rPr>
          <w:rFonts w:asciiTheme="minorHAnsi" w:hAnsiTheme="minorHAnsi"/>
          <w:b/>
          <w:bCs/>
          <w:sz w:val="18"/>
          <w:szCs w:val="18"/>
        </w:rPr>
        <w:t xml:space="preserve">Załącznik nr Z1 </w:t>
      </w:r>
    </w:p>
    <w:p w14:paraId="25FC23B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Procedura wykonania badania modułu odkształcenia warstw konstrukcyjnych podatnych przez obciążenie płytą VSS </w:t>
      </w:r>
    </w:p>
    <w:p w14:paraId="54F1FE4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62B43CAF"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1.  Cel metody badawczej </w:t>
      </w:r>
    </w:p>
    <w:p w14:paraId="3788F87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Metoda badawcza stosowana jest do określania modułów odkształcenia E 1  i E 2  oraz wskaźnika odkształcenia I o  warstw konstrukcyjnych podatnych. </w:t>
      </w:r>
    </w:p>
    <w:p w14:paraId="1CAFCBF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Metodę badania stosuje się do warstw podłoża gruntowego (naturalnego oraz nasypowego), podłoża ulepszonego spoiwami hydraulicznymi, warstw z mieszanek niezwiązanych. Metoda ma  zastosowanie  przy  badaniu  warstw  z  gruntów  drobno  i  gruboziarnistych,  mieszanek niezwiązanych z kruszyw o uziarnieniu do 63mm oraz gruntów ulepszonych spoiwami. Metody nie  stosuje  się  dla  warstw  konstrukcji  nawierzchni  z  gruntów  lub  kruszyw  związanych hydraulicznie po rozpoczęciu procesu wiązania (warstwy sztywne). </w:t>
      </w:r>
    </w:p>
    <w:p w14:paraId="1F316096"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2.  Badane cechy - definicje </w:t>
      </w:r>
    </w:p>
    <w:p w14:paraId="44530C6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Moduł  odkształcenia  -  iloraz  przyrostu  obciążenia  jednostkowego  </w:t>
      </w:r>
      <w:proofErr w:type="spellStart"/>
      <w:r w:rsidRPr="00FA7F06">
        <w:rPr>
          <w:rFonts w:asciiTheme="minorHAnsi" w:hAnsiTheme="minorHAnsi"/>
          <w:sz w:val="16"/>
          <w:szCs w:val="16"/>
        </w:rPr>
        <w:t>Δp</w:t>
      </w:r>
      <w:proofErr w:type="spellEnd"/>
      <w:r w:rsidRPr="00FA7F06">
        <w:rPr>
          <w:rFonts w:asciiTheme="minorHAnsi" w:hAnsiTheme="minorHAnsi"/>
          <w:sz w:val="16"/>
          <w:szCs w:val="16"/>
        </w:rPr>
        <w:t xml:space="preserve">  do  przyrostu odkształcenia  </w:t>
      </w:r>
      <w:proofErr w:type="spellStart"/>
      <w:r w:rsidRPr="00FA7F06">
        <w:rPr>
          <w:rFonts w:asciiTheme="minorHAnsi" w:hAnsiTheme="minorHAnsi"/>
          <w:sz w:val="16"/>
          <w:szCs w:val="16"/>
        </w:rPr>
        <w:t>Δs</w:t>
      </w:r>
      <w:proofErr w:type="spellEnd"/>
      <w:r w:rsidRPr="00FA7F06">
        <w:rPr>
          <w:rFonts w:asciiTheme="minorHAnsi" w:hAnsiTheme="minorHAnsi"/>
          <w:sz w:val="16"/>
          <w:szCs w:val="16"/>
        </w:rPr>
        <w:t xml:space="preserve">  badanej  warstwy  w  ustalonym  zakresie  obciążeń  pomnożony  przez  0,75 średnicy płyty obciążającej D. </w:t>
      </w:r>
    </w:p>
    <w:p w14:paraId="410F577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Wartość modułu odkształcenia wyznacza się ze wzoru (1.1): </w:t>
      </w:r>
    </w:p>
    <w:p w14:paraId="049BECE5" w14:textId="77777777" w:rsidR="00105AB9" w:rsidRPr="00FA7F06" w:rsidRDefault="00105AB9" w:rsidP="00105AB9">
      <w:pPr>
        <w:pStyle w:val="Pro-Inwest"/>
        <w:jc w:val="both"/>
        <w:rPr>
          <w:rFonts w:asciiTheme="minorHAnsi" w:hAnsiTheme="minorHAnsi"/>
          <w:sz w:val="16"/>
          <w:szCs w:val="16"/>
        </w:rPr>
      </w:pPr>
    </w:p>
    <w:p w14:paraId="6CDBAD2F" w14:textId="77777777" w:rsidR="00105AB9" w:rsidRPr="00FA7F06" w:rsidRDefault="00105AB9" w:rsidP="00105AB9">
      <w:pPr>
        <w:pStyle w:val="Pro-Inwest"/>
        <w:jc w:val="center"/>
        <w:rPr>
          <w:rFonts w:asciiTheme="minorHAnsi" w:hAnsiTheme="minorHAnsi"/>
          <w:sz w:val="16"/>
          <w:szCs w:val="16"/>
        </w:rPr>
      </w:pPr>
      <w:r w:rsidRPr="00FA7F06">
        <w:rPr>
          <w:rFonts w:asciiTheme="minorHAnsi" w:hAnsiTheme="minorHAnsi"/>
          <w:noProof/>
          <w:sz w:val="16"/>
          <w:szCs w:val="16"/>
        </w:rPr>
        <w:drawing>
          <wp:inline distT="0" distB="0" distL="0" distR="0" wp14:anchorId="2689587E" wp14:editId="7E14AC6A">
            <wp:extent cx="1446540" cy="417308"/>
            <wp:effectExtent l="0" t="0" r="0" b="0"/>
            <wp:docPr id="92" name="Obraz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57830" cy="420565"/>
                    </a:xfrm>
                    <a:prstGeom prst="rect">
                      <a:avLst/>
                    </a:prstGeom>
                    <a:noFill/>
                    <a:ln>
                      <a:noFill/>
                    </a:ln>
                  </pic:spPr>
                </pic:pic>
              </a:graphicData>
            </a:graphic>
          </wp:inline>
        </w:drawing>
      </w:r>
    </w:p>
    <w:p w14:paraId="428FD36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gdzie: </w:t>
      </w:r>
    </w:p>
    <w:p w14:paraId="22AE86B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E 1 , E 2  - pierwotny i wtórny moduł odkształcenia,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1C72E1F7" w14:textId="77777777" w:rsidR="00105AB9" w:rsidRPr="00FA7F06" w:rsidRDefault="00105AB9" w:rsidP="00105AB9">
      <w:pPr>
        <w:pStyle w:val="Pro-Inwest"/>
        <w:jc w:val="both"/>
        <w:rPr>
          <w:rFonts w:asciiTheme="minorHAnsi" w:hAnsiTheme="minorHAnsi"/>
          <w:sz w:val="16"/>
          <w:szCs w:val="16"/>
        </w:rPr>
      </w:pPr>
      <w:proofErr w:type="spellStart"/>
      <w:r w:rsidRPr="00FA7F06">
        <w:rPr>
          <w:rFonts w:asciiTheme="minorHAnsi" w:hAnsiTheme="minorHAnsi"/>
          <w:sz w:val="16"/>
          <w:szCs w:val="16"/>
        </w:rPr>
        <w:t>Δp</w:t>
      </w:r>
      <w:proofErr w:type="spellEnd"/>
      <w:r w:rsidRPr="00FA7F06">
        <w:rPr>
          <w:rFonts w:asciiTheme="minorHAnsi" w:hAnsiTheme="minorHAnsi"/>
          <w:sz w:val="16"/>
          <w:szCs w:val="16"/>
        </w:rPr>
        <w:t xml:space="preserve"> - przyrost obciążenia przy pierwszym (powtórnym) obciążeniu,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7E537F24" w14:textId="77777777" w:rsidR="00105AB9" w:rsidRPr="00FA7F06" w:rsidRDefault="00105AB9" w:rsidP="00105AB9">
      <w:pPr>
        <w:pStyle w:val="Pro-Inwest"/>
        <w:jc w:val="both"/>
        <w:rPr>
          <w:rFonts w:asciiTheme="minorHAnsi" w:hAnsiTheme="minorHAnsi"/>
          <w:sz w:val="16"/>
          <w:szCs w:val="16"/>
        </w:rPr>
      </w:pPr>
      <w:proofErr w:type="spellStart"/>
      <w:r w:rsidRPr="00FA7F06">
        <w:rPr>
          <w:rFonts w:asciiTheme="minorHAnsi" w:hAnsiTheme="minorHAnsi"/>
          <w:sz w:val="16"/>
          <w:szCs w:val="16"/>
        </w:rPr>
        <w:t>Δs</w:t>
      </w:r>
      <w:proofErr w:type="spellEnd"/>
      <w:r w:rsidRPr="00FA7F06">
        <w:rPr>
          <w:rFonts w:asciiTheme="minorHAnsi" w:hAnsiTheme="minorHAnsi"/>
          <w:sz w:val="16"/>
          <w:szCs w:val="16"/>
        </w:rPr>
        <w:t xml:space="preserve">  –  przyrost  </w:t>
      </w:r>
      <w:proofErr w:type="spellStart"/>
      <w:r w:rsidRPr="00FA7F06">
        <w:rPr>
          <w:rFonts w:asciiTheme="minorHAnsi" w:hAnsiTheme="minorHAnsi"/>
          <w:sz w:val="16"/>
          <w:szCs w:val="16"/>
        </w:rPr>
        <w:t>osiadań</w:t>
      </w:r>
      <w:proofErr w:type="spellEnd"/>
      <w:r w:rsidRPr="00FA7F06">
        <w:rPr>
          <w:rFonts w:asciiTheme="minorHAnsi" w:hAnsiTheme="minorHAnsi"/>
          <w:sz w:val="16"/>
          <w:szCs w:val="16"/>
        </w:rPr>
        <w:t xml:space="preserve">  odpowiadający  przyjętemu  zakresowi  obciążeń  przy  pierwszym (powtórnym), [mm] </w:t>
      </w:r>
    </w:p>
    <w:p w14:paraId="6441940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p 1 , p 2  - obciążenia przyjętego zakresu obciążeń,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42D94F8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D - średnica płyty [mm] </w:t>
      </w:r>
    </w:p>
    <w:p w14:paraId="25CCA63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Pierwotny moduł odkształcenia E 1  - moduł odkształcenia oznaczony w pierwszym obciążeniu badanej warstwy. </w:t>
      </w:r>
    </w:p>
    <w:p w14:paraId="371254D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Wtórny moduł odkształcenia E 2  - moduł odkształcenia oznaczony w powtórnym obciążeniu badanej warstwy. </w:t>
      </w:r>
    </w:p>
    <w:p w14:paraId="554D9E6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Wskaźnik  odkształcenia  I 0   -  stosunek  wtórnego  modułu  odkształcenia  E 2   do  pierwotnego modułu odkształcenia E 1 . </w:t>
      </w:r>
    </w:p>
    <w:p w14:paraId="1DC307F9"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3.  Aparatura badawcza </w:t>
      </w:r>
    </w:p>
    <w:p w14:paraId="5E15AF8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Przykładowa aparatura do oznaczania modułu odkształcenia przedstawiona jest na </w:t>
      </w:r>
    </w:p>
    <w:p w14:paraId="00FBA03E"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rysunku nr 1.1, 1.2. W skład jej wchodzą: </w:t>
      </w:r>
    </w:p>
    <w:p w14:paraId="503F27F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płyta  stalowa  o  średnicy  (300  ±  1)  mm  (1)  z  prętami  do  mocowania  czujnika  (2)  do zainstalowania uchwytów (3) czujników oraz górnym pierścieniem usztywniającym (4)  - w przypadku zestawu z trzema czujnikami, </w:t>
      </w:r>
    </w:p>
    <w:p w14:paraId="21ED067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płyta stalowa o średnicy (300 ±1) mm (1), centralny uchwyt do mocowania czujnika (3) </w:t>
      </w:r>
    </w:p>
    <w:p w14:paraId="1D1E29C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  przypadku  zestawu  z  jednym  czujnikiem,  (preferowane  jest  użycie  zestawu  z  3 czujnikami) – vide pkt 4.2. ostatni akapit. </w:t>
      </w:r>
    </w:p>
    <w:p w14:paraId="293648C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ramię pompy (5), pompa (6) z manometrem (7) o skali z działką elementarną 0,01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2292FA0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przegub sferyczny (8) łączący siłownik (12) z przeciwwagą, </w:t>
      </w:r>
    </w:p>
    <w:p w14:paraId="7B8F6C9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  czujnik zegarowy (9) lub inny (np. elektroniczny z wyświetlaczem cyfrowym) o zakresie pomiarowym do 10 mm z działką elementarną 0,01 mm, </w:t>
      </w:r>
    </w:p>
    <w:p w14:paraId="4845823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przedłużacz (10) do wstawiania pomiędzy siłownik (12) a przeciwwagę, </w:t>
      </w:r>
    </w:p>
    <w:p w14:paraId="2DA276F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statyw (11) stanowiący poziom odniesienia pomiarów przemieszczenia. </w:t>
      </w:r>
    </w:p>
    <w:p w14:paraId="4CB9BD0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0C95F90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lastRenderedPageBreak/>
        <w:t xml:space="preserve"> </w:t>
      </w:r>
      <w:r w:rsidRPr="00FA7F06">
        <w:rPr>
          <w:rFonts w:asciiTheme="minorHAnsi" w:hAnsiTheme="minorHAnsi"/>
          <w:noProof/>
          <w:sz w:val="16"/>
          <w:szCs w:val="16"/>
        </w:rPr>
        <w:drawing>
          <wp:inline distT="0" distB="0" distL="0" distR="0" wp14:anchorId="7A276C1E" wp14:editId="556BC6CA">
            <wp:extent cx="4435655" cy="2343787"/>
            <wp:effectExtent l="0" t="0" r="0" b="0"/>
            <wp:docPr id="93" name="Obraz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440397" cy="2346293"/>
                    </a:xfrm>
                    <a:prstGeom prst="rect">
                      <a:avLst/>
                    </a:prstGeom>
                    <a:noFill/>
                    <a:ln>
                      <a:noFill/>
                    </a:ln>
                  </pic:spPr>
                </pic:pic>
              </a:graphicData>
            </a:graphic>
          </wp:inline>
        </w:drawing>
      </w:r>
    </w:p>
    <w:p w14:paraId="707F7DE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660EB4A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Rys. 1.1. Aparatura VSS z trzypunktowym pomiarem przemieszczenia płyty </w:t>
      </w:r>
    </w:p>
    <w:p w14:paraId="5D35567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6243E1D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613C96B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r w:rsidRPr="00FA7F06">
        <w:rPr>
          <w:rFonts w:asciiTheme="minorHAnsi" w:hAnsiTheme="minorHAnsi"/>
          <w:noProof/>
          <w:sz w:val="16"/>
          <w:szCs w:val="16"/>
        </w:rPr>
        <w:drawing>
          <wp:inline distT="0" distB="0" distL="0" distR="0" wp14:anchorId="22B61205" wp14:editId="3DDE0D1A">
            <wp:extent cx="4694555" cy="3098165"/>
            <wp:effectExtent l="0" t="0" r="0" b="0"/>
            <wp:docPr id="95" name="Obraz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694555" cy="3098165"/>
                    </a:xfrm>
                    <a:prstGeom prst="rect">
                      <a:avLst/>
                    </a:prstGeom>
                    <a:noFill/>
                    <a:ln>
                      <a:noFill/>
                    </a:ln>
                  </pic:spPr>
                </pic:pic>
              </a:graphicData>
            </a:graphic>
          </wp:inline>
        </w:drawing>
      </w:r>
    </w:p>
    <w:p w14:paraId="6C6E52C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Rys. 1.2 Aparatura VSS z jednopunktowym pomiarem przemieszczenia płyty </w:t>
      </w:r>
    </w:p>
    <w:p w14:paraId="5F6B736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383692F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w:t>
      </w:r>
    </w:p>
    <w:p w14:paraId="20B15DE2"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4.  Metoda badania i wykonanie badania </w:t>
      </w:r>
    </w:p>
    <w:p w14:paraId="4F6B7181"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4.1.  Metoda badania </w:t>
      </w:r>
    </w:p>
    <w:p w14:paraId="67EE49D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Badanie polega na pomiarze przemieszczeń pionowych (</w:t>
      </w:r>
      <w:proofErr w:type="spellStart"/>
      <w:r w:rsidRPr="00FA7F06">
        <w:rPr>
          <w:rFonts w:asciiTheme="minorHAnsi" w:hAnsiTheme="minorHAnsi"/>
          <w:sz w:val="16"/>
          <w:szCs w:val="16"/>
        </w:rPr>
        <w:t>osiadań</w:t>
      </w:r>
      <w:proofErr w:type="spellEnd"/>
      <w:r w:rsidRPr="00FA7F06">
        <w:rPr>
          <w:rFonts w:asciiTheme="minorHAnsi" w:hAnsiTheme="minorHAnsi"/>
          <w:sz w:val="16"/>
          <w:szCs w:val="16"/>
        </w:rPr>
        <w:t>) badanej warstwy pod wpływem  nacisku  statycznego  wywieranego</w:t>
      </w:r>
      <w:r w:rsidRPr="00FA7F06">
        <w:rPr>
          <w:rFonts w:asciiTheme="minorHAnsi" w:hAnsiTheme="minorHAnsi"/>
          <w:sz w:val="16"/>
          <w:szCs w:val="16"/>
        </w:rPr>
        <w:br/>
        <w:t xml:space="preserve">za  pomocą  stalowej  okrągłej  płyty  o średnicy D=300 mm. Nacisk na płytę wywierany jest za pośrednictwem zmiany ciśnienia oleju  w  pompie  hydraulicznej  poprzez  przemieszczanie  tłoczyska  wywołany  ruchem dźwignika. Dźwignik oparty jest o przeciwwagę (najczęściej samochód ciężarowy, ciężki walec  drogowy)  o  odpowiedniej  masie.  Pomiar  modułu  odkształcenia  należy przeprowadzić gdy temperatura badanej warstwy jest większa od 0 o C. </w:t>
      </w:r>
    </w:p>
    <w:p w14:paraId="3B94819F"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4.2.  Przygotowanie zestawu badawczego </w:t>
      </w:r>
    </w:p>
    <w:p w14:paraId="4B3D7E8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 celu przygotowania aparatury do wykonania badania należy przeprowadzić następujące czynności: </w:t>
      </w:r>
    </w:p>
    <w:p w14:paraId="112C3C71"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ustawić  płytę  na  wyrównanej  powierzchni  badanej  warstwy  (w  przypadku  nierównej powierzchni należy miejsce przeznaczone do badań wyrównać cienką warstwą drobnego suchego piasku), </w:t>
      </w:r>
    </w:p>
    <w:p w14:paraId="6917796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dociskając rękoma, wykonać kilkakrotny obrót płyty, </w:t>
      </w:r>
    </w:p>
    <w:p w14:paraId="4498CFF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ustawić statyw tak, aby punkty podparcia były w jak największej odległości od płyty i jak najdalej od kół pojazdu stanowiącego przeciwwagę, </w:t>
      </w:r>
    </w:p>
    <w:p w14:paraId="356EFA0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zamontować dźwignik oraz przedłużacz, </w:t>
      </w:r>
    </w:p>
    <w:p w14:paraId="7D7A49A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czujniki zamocować w uchwytach opierając je na stelażu. </w:t>
      </w:r>
    </w:p>
    <w:p w14:paraId="5767D86A"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4.3.  Oznaczenie dla podbudowy pomocniczej i zasadniczej </w:t>
      </w:r>
    </w:p>
    <w:p w14:paraId="45E6516B"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4.3.1. Oznaczenie pierwotnego modułu odkształcenia E 1  </w:t>
      </w:r>
    </w:p>
    <w:p w14:paraId="2FCE59D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lastRenderedPageBreak/>
        <w:t xml:space="preserve">W  celu  określenia  wartości  pierwotnego  modułu  odkształcenia  E 1   należy  ustawić  aparaturę badawczą na stanowisku, a następnie wykonać następujące czynności: </w:t>
      </w:r>
    </w:p>
    <w:p w14:paraId="1A58D955"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ruchem  dźwigni  pompy  tłoczącej  doprowadzić  ciśnienie  w  układzie  hydraulicznym  do osiągnięcia nacisku na badaną warstwę do wartości 0,02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(obciążenie wstępne), </w:t>
      </w:r>
    </w:p>
    <w:p w14:paraId="5D965803"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ustawić wskazania na czujnikach pomiarowych na poziomie 0,00 mm, </w:t>
      </w:r>
    </w:p>
    <w:p w14:paraId="6BBB458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ruchem  dźwigni  pompy  tłoczącej  doprowadzić  ciśnienie  w  układzie  hydraulicznym  do osiągnięcia nacisku na badaną warstwę do wartości 0,05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0A672F1A"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utrzymywać  stałą  wartość  zadanego  ciśnienia  poprzez  powolne  ruchy  dźwigni  pompy (regulację ciśnienia należy prowadzić w zależności od zaistniałej potrzeby), </w:t>
      </w:r>
    </w:p>
    <w:p w14:paraId="3386B10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co  2  min  wykonać  odczyty  wskazań  przemieszczeń  płyty  obciążającej  przy  stałym zadanym ciśnieniu, </w:t>
      </w:r>
    </w:p>
    <w:p w14:paraId="5141C59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po  stwierdzeniu,  że  kolejne  dwa  odczyty  wartości  przemieszczeń  wykonane  w odstępach  2  min  nie  różnią  się  od  siebie  więcej  niż  0,05  mm  należy  przejść  do następnego stopnia obciążenia, większego od poprzedniego o 0,05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6346E5B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każdy odczyt wskazań przemieszczeń płyty obciążającej przy zadanym stopniu obciążenia należy zanotować w karcie badania, </w:t>
      </w:r>
    </w:p>
    <w:p w14:paraId="31E8450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końcowe obciążenia badanej warstwy należy doprowadzić do 0,45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36ABD376"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przeprowadzić  odciążenie  badanej  warstwy  stopniami  po  0,1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do  0,00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z równoczesnym zapisywaniem kolejnych wskazań czujników co 2 min i z odczekaniem 5 min przed ostatnim odczytem. </w:t>
      </w:r>
    </w:p>
    <w:p w14:paraId="78DC342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4.3.2.  Oznaczenie wtórnego modułu odkształcenia E 2  </w:t>
      </w:r>
    </w:p>
    <w:p w14:paraId="32C89CC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Oznaczenie wartości wtórnego modułu odkształcenia E 2  należy wykonać po całkowitym odciążeniu badanej warstwy: </w:t>
      </w:r>
    </w:p>
    <w:p w14:paraId="55340A9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pozostawić  bez  zmian  wskazania  czujników  określających  przemieszczenie  płyty obciążającej, </w:t>
      </w:r>
    </w:p>
    <w:p w14:paraId="4887EDF8"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ruchem  dźwigni  pompy  tłoczącej  doprowadzić  ciśnienie  w  układzie  hydraulicznym  do osiągnięcia nacisku na badaną warstwę</w:t>
      </w:r>
      <w:r w:rsidRPr="00FA7F06">
        <w:rPr>
          <w:rFonts w:asciiTheme="minorHAnsi" w:hAnsiTheme="minorHAnsi"/>
          <w:sz w:val="16"/>
          <w:szCs w:val="16"/>
        </w:rPr>
        <w:br/>
        <w:t xml:space="preserve">do wartości 0,05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21C12122"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  prowadzić dalsze badanie zgodnie z punktem 4.3.1 </w:t>
      </w:r>
    </w:p>
    <w:p w14:paraId="0920C742"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  Wyniki badań </w:t>
      </w:r>
    </w:p>
    <w:p w14:paraId="4988E167"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5.1.  Określenie wartości modułów odkształcenia </w:t>
      </w:r>
    </w:p>
    <w:p w14:paraId="233C0FA0"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Wartość pierwotnego modułu odkształcenia E 1  i wtórnego modułu odkształcenia E 2  obliczyć należy zgodnie z zależnością (1.1) przyjmując dla podbudowy pomocniczej i zasadniczej: </w:t>
      </w:r>
    </w:p>
    <w:p w14:paraId="5230337B" w14:textId="77777777" w:rsidR="00105AB9" w:rsidRPr="00FA7F06" w:rsidRDefault="00105AB9" w:rsidP="00105AB9">
      <w:pPr>
        <w:pStyle w:val="Pro-Inwest"/>
        <w:jc w:val="both"/>
        <w:rPr>
          <w:rFonts w:asciiTheme="minorHAnsi" w:hAnsiTheme="minorHAnsi"/>
          <w:sz w:val="16"/>
          <w:szCs w:val="16"/>
        </w:rPr>
      </w:pPr>
      <w:proofErr w:type="spellStart"/>
      <w:r w:rsidRPr="00FA7F06">
        <w:rPr>
          <w:rFonts w:asciiTheme="minorHAnsi" w:hAnsiTheme="minorHAnsi"/>
          <w:sz w:val="16"/>
          <w:szCs w:val="16"/>
        </w:rPr>
        <w:t>Δp</w:t>
      </w:r>
      <w:proofErr w:type="spellEnd"/>
      <w:r w:rsidRPr="00FA7F06">
        <w:rPr>
          <w:rFonts w:asciiTheme="minorHAnsi" w:hAnsiTheme="minorHAnsi"/>
          <w:sz w:val="16"/>
          <w:szCs w:val="16"/>
        </w:rPr>
        <w:t>= p 2 -p 1  - przyrost obciążenia w zakresie 0,25^0.35,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1E33E508" w14:textId="77777777" w:rsidR="00105AB9" w:rsidRPr="00FA7F06" w:rsidRDefault="00105AB9" w:rsidP="00105AB9">
      <w:pPr>
        <w:pStyle w:val="Pro-Inwest"/>
        <w:jc w:val="both"/>
        <w:rPr>
          <w:rFonts w:asciiTheme="minorHAnsi" w:hAnsiTheme="minorHAnsi"/>
          <w:sz w:val="16"/>
          <w:szCs w:val="16"/>
        </w:rPr>
      </w:pPr>
      <w:proofErr w:type="spellStart"/>
      <w:r w:rsidRPr="00FA7F06">
        <w:rPr>
          <w:rFonts w:asciiTheme="minorHAnsi" w:hAnsiTheme="minorHAnsi"/>
          <w:sz w:val="16"/>
          <w:szCs w:val="16"/>
        </w:rPr>
        <w:t>Δs</w:t>
      </w:r>
      <w:proofErr w:type="spellEnd"/>
      <w:r w:rsidRPr="00FA7F06">
        <w:rPr>
          <w:rFonts w:asciiTheme="minorHAnsi" w:hAnsiTheme="minorHAnsi"/>
          <w:sz w:val="16"/>
          <w:szCs w:val="16"/>
        </w:rPr>
        <w:t xml:space="preserve"> - przemieszczenie odpowiadające przyjętemu zakresowi obciążeń </w:t>
      </w:r>
    </w:p>
    <w:p w14:paraId="47E6143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w:t>
      </w:r>
      <w:proofErr w:type="spellStart"/>
      <w:r w:rsidRPr="00FA7F06">
        <w:rPr>
          <w:rFonts w:asciiTheme="minorHAnsi" w:hAnsiTheme="minorHAnsi"/>
          <w:sz w:val="16"/>
          <w:szCs w:val="16"/>
        </w:rPr>
        <w:t>Δs</w:t>
      </w:r>
      <w:proofErr w:type="spellEnd"/>
      <w:r w:rsidRPr="00FA7F06">
        <w:rPr>
          <w:rFonts w:asciiTheme="minorHAnsi" w:hAnsiTheme="minorHAnsi"/>
          <w:sz w:val="16"/>
          <w:szCs w:val="16"/>
        </w:rPr>
        <w:t xml:space="preserve">=s 0 , 35  - s 0,25 ), [mm], przy końcowym obciążeniu 0,45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60A321B4" w14:textId="77777777" w:rsidR="00105AB9" w:rsidRPr="00FA7F06" w:rsidRDefault="00105AB9" w:rsidP="00105AB9">
      <w:pPr>
        <w:pStyle w:val="Pro-Inwest"/>
        <w:jc w:val="both"/>
        <w:rPr>
          <w:rFonts w:asciiTheme="minorHAnsi" w:hAnsiTheme="minorHAnsi"/>
          <w:b/>
          <w:bCs/>
          <w:sz w:val="16"/>
          <w:szCs w:val="16"/>
        </w:rPr>
      </w:pPr>
      <w:r w:rsidRPr="00FA7F06">
        <w:rPr>
          <w:rFonts w:asciiTheme="minorHAnsi" w:hAnsiTheme="minorHAnsi"/>
          <w:b/>
          <w:bCs/>
          <w:sz w:val="16"/>
          <w:szCs w:val="16"/>
        </w:rPr>
        <w:t xml:space="preserve">5.2.  Obliczenie wartości wskaźnika odkształcenia </w:t>
      </w:r>
    </w:p>
    <w:p w14:paraId="6D50E369"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Wartość wskaźnika odkształcenia oblicza się wg wzoru (1.2): </w:t>
      </w:r>
    </w:p>
    <w:p w14:paraId="533117FF" w14:textId="77777777" w:rsidR="00105AB9" w:rsidRPr="00FA7F06" w:rsidRDefault="00105AB9" w:rsidP="00105AB9">
      <w:pPr>
        <w:pStyle w:val="Pro-Inwest"/>
        <w:jc w:val="center"/>
        <w:rPr>
          <w:rFonts w:asciiTheme="minorHAnsi" w:hAnsiTheme="minorHAnsi"/>
          <w:b/>
          <w:bCs/>
          <w:sz w:val="16"/>
          <w:szCs w:val="16"/>
        </w:rPr>
      </w:pPr>
      <w:r w:rsidRPr="00FA7F06">
        <w:rPr>
          <w:rFonts w:asciiTheme="minorHAnsi" w:hAnsiTheme="minorHAnsi"/>
          <w:b/>
          <w:bCs/>
          <w:sz w:val="16"/>
          <w:szCs w:val="16"/>
        </w:rPr>
        <w:t>I o =E 2 /E 1                    (1.2)</w:t>
      </w:r>
    </w:p>
    <w:p w14:paraId="1D727E5C"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gdzie: I o  - wskaźnik odkształcenia - liczba niemianowana  </w:t>
      </w:r>
    </w:p>
    <w:p w14:paraId="4C665867"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E 2  - wtórny moduł odkształcenia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0D5A3E1D"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E 1  - pierwotny moduł odkształcenia [</w:t>
      </w:r>
      <w:proofErr w:type="spellStart"/>
      <w:r w:rsidRPr="00FA7F06">
        <w:rPr>
          <w:rFonts w:asciiTheme="minorHAnsi" w:hAnsiTheme="minorHAnsi"/>
          <w:sz w:val="16"/>
          <w:szCs w:val="16"/>
        </w:rPr>
        <w:t>MPa</w:t>
      </w:r>
      <w:proofErr w:type="spellEnd"/>
      <w:r w:rsidRPr="00FA7F06">
        <w:rPr>
          <w:rFonts w:asciiTheme="minorHAnsi" w:hAnsiTheme="minorHAnsi"/>
          <w:sz w:val="16"/>
          <w:szCs w:val="16"/>
        </w:rPr>
        <w:t xml:space="preserve">] </w:t>
      </w:r>
    </w:p>
    <w:p w14:paraId="5A0D9814" w14:textId="77777777" w:rsidR="00105AB9" w:rsidRPr="00FA7F06" w:rsidRDefault="00105AB9" w:rsidP="00105AB9">
      <w:pPr>
        <w:pStyle w:val="Pro-Inwest"/>
        <w:jc w:val="both"/>
        <w:rPr>
          <w:rFonts w:asciiTheme="minorHAnsi" w:hAnsiTheme="minorHAnsi"/>
          <w:sz w:val="16"/>
          <w:szCs w:val="16"/>
        </w:rPr>
      </w:pPr>
      <w:r w:rsidRPr="00FA7F06">
        <w:rPr>
          <w:rFonts w:asciiTheme="minorHAnsi" w:hAnsiTheme="minorHAnsi"/>
          <w:sz w:val="16"/>
          <w:szCs w:val="16"/>
        </w:rPr>
        <w:t xml:space="preserve">Wynik badania należy podać z dokładnością do 1 cyfry znaczącej po przecinku. </w:t>
      </w:r>
    </w:p>
    <w:p w14:paraId="56902449" w14:textId="77777777" w:rsidR="00105AB9" w:rsidRPr="00FA7F06" w:rsidRDefault="00105AB9" w:rsidP="00105AB9">
      <w:pPr>
        <w:pStyle w:val="Pro-Inwest"/>
        <w:jc w:val="both"/>
        <w:rPr>
          <w:rFonts w:asciiTheme="minorHAnsi" w:hAnsiTheme="minorHAnsi"/>
          <w:b/>
          <w:sz w:val="16"/>
          <w:szCs w:val="16"/>
        </w:rPr>
      </w:pPr>
    </w:p>
    <w:p w14:paraId="72CCE95F" w14:textId="77777777" w:rsidR="00105AB9" w:rsidRPr="00FA7F06" w:rsidRDefault="00105AB9" w:rsidP="00105AB9">
      <w:pPr>
        <w:pStyle w:val="Pro-Inwest"/>
        <w:jc w:val="both"/>
        <w:rPr>
          <w:rFonts w:asciiTheme="minorHAnsi" w:hAnsiTheme="minorHAnsi"/>
          <w:sz w:val="16"/>
          <w:szCs w:val="16"/>
        </w:rPr>
      </w:pPr>
    </w:p>
    <w:p w14:paraId="3A21CE15" w14:textId="77777777" w:rsidR="00105AB9" w:rsidRPr="00FA7F06" w:rsidRDefault="00105AB9" w:rsidP="00105AB9">
      <w:pPr>
        <w:pStyle w:val="Pro-Inwest"/>
        <w:jc w:val="both"/>
        <w:rPr>
          <w:rFonts w:asciiTheme="minorHAnsi" w:hAnsiTheme="minorHAnsi"/>
          <w:sz w:val="16"/>
          <w:szCs w:val="16"/>
        </w:rPr>
      </w:pPr>
    </w:p>
    <w:p w14:paraId="3DEBDD1C" w14:textId="77777777" w:rsidR="00105AB9" w:rsidRPr="00FA7F06" w:rsidRDefault="00105AB9" w:rsidP="00105AB9">
      <w:pPr>
        <w:pStyle w:val="Pro-Inwest"/>
        <w:rPr>
          <w:rFonts w:asciiTheme="minorHAnsi" w:hAnsiTheme="minorHAnsi"/>
          <w:b/>
          <w:sz w:val="18"/>
          <w:szCs w:val="18"/>
        </w:rPr>
      </w:pPr>
    </w:p>
    <w:p w14:paraId="1C8E6114" w14:textId="77777777" w:rsidR="00105AB9" w:rsidRPr="00FA7F06" w:rsidRDefault="00105AB9" w:rsidP="00105AB9">
      <w:pPr>
        <w:pStyle w:val="Pro-Inwest"/>
        <w:rPr>
          <w:rFonts w:asciiTheme="minorHAnsi" w:hAnsiTheme="minorHAnsi"/>
          <w:b/>
          <w:sz w:val="18"/>
          <w:szCs w:val="18"/>
        </w:rPr>
      </w:pPr>
    </w:p>
    <w:p w14:paraId="1D2EF0F1" w14:textId="77777777" w:rsidR="00105AB9" w:rsidRPr="00FA7F06" w:rsidRDefault="00105AB9" w:rsidP="00105AB9">
      <w:pPr>
        <w:pStyle w:val="Pro-Inwest"/>
        <w:rPr>
          <w:rFonts w:asciiTheme="minorHAnsi" w:hAnsiTheme="minorHAnsi"/>
          <w:b/>
          <w:sz w:val="18"/>
          <w:szCs w:val="18"/>
        </w:rPr>
      </w:pPr>
    </w:p>
    <w:p w14:paraId="2CDE1BA1" w14:textId="77777777" w:rsidR="00105AB9" w:rsidRPr="00FA7F06" w:rsidRDefault="00105AB9" w:rsidP="00105AB9">
      <w:pPr>
        <w:pStyle w:val="Pro-Inwest"/>
        <w:rPr>
          <w:rFonts w:asciiTheme="minorHAnsi" w:hAnsiTheme="minorHAnsi"/>
          <w:b/>
          <w:sz w:val="18"/>
          <w:szCs w:val="18"/>
        </w:rPr>
      </w:pPr>
    </w:p>
    <w:p w14:paraId="5FD6AD4D" w14:textId="77777777" w:rsidR="00105AB9" w:rsidRPr="00FA7F06" w:rsidRDefault="00105AB9" w:rsidP="00105AB9">
      <w:pPr>
        <w:pStyle w:val="Pro-Inwest"/>
        <w:rPr>
          <w:rFonts w:asciiTheme="minorHAnsi" w:hAnsiTheme="minorHAnsi"/>
          <w:b/>
          <w:sz w:val="18"/>
          <w:szCs w:val="18"/>
        </w:rPr>
      </w:pPr>
    </w:p>
    <w:p w14:paraId="5DDAE24C" w14:textId="77777777" w:rsidR="00105AB9" w:rsidRPr="00FA7F06" w:rsidRDefault="00105AB9" w:rsidP="00C6562E">
      <w:pPr>
        <w:pStyle w:val="Pro-Inwest"/>
        <w:rPr>
          <w:rFonts w:asciiTheme="minorHAnsi" w:hAnsiTheme="minorHAnsi"/>
          <w:b/>
          <w:sz w:val="18"/>
          <w:szCs w:val="18"/>
        </w:rPr>
      </w:pPr>
    </w:p>
    <w:p w14:paraId="7533B6FD" w14:textId="77777777" w:rsidR="00105AB9" w:rsidRPr="00FA7F06" w:rsidRDefault="00105AB9" w:rsidP="00C6562E">
      <w:pPr>
        <w:pStyle w:val="Pro-Inwest"/>
        <w:rPr>
          <w:rFonts w:asciiTheme="minorHAnsi" w:hAnsiTheme="minorHAnsi"/>
          <w:b/>
          <w:sz w:val="18"/>
          <w:szCs w:val="18"/>
        </w:rPr>
      </w:pPr>
    </w:p>
    <w:p w14:paraId="428CE9D2" w14:textId="77777777" w:rsidR="00C6562E" w:rsidRPr="00FA7F06" w:rsidRDefault="00C6562E" w:rsidP="00C6562E">
      <w:pPr>
        <w:pStyle w:val="Pro-Inwest"/>
        <w:rPr>
          <w:rFonts w:asciiTheme="minorHAnsi" w:hAnsiTheme="minorHAnsi"/>
          <w:b/>
          <w:sz w:val="18"/>
          <w:szCs w:val="18"/>
        </w:rPr>
      </w:pPr>
    </w:p>
    <w:p w14:paraId="32F30118" w14:textId="77777777" w:rsidR="00C6562E" w:rsidRPr="00FA7F06" w:rsidRDefault="00C6562E" w:rsidP="00C6562E">
      <w:pPr>
        <w:pStyle w:val="Pro-Inwest"/>
        <w:rPr>
          <w:rFonts w:asciiTheme="minorHAnsi" w:hAnsiTheme="minorHAnsi"/>
          <w:b/>
          <w:sz w:val="18"/>
          <w:szCs w:val="18"/>
        </w:rPr>
      </w:pPr>
    </w:p>
    <w:p w14:paraId="2F7DCD76" w14:textId="77777777" w:rsidR="00C6562E" w:rsidRPr="00FA7F06" w:rsidRDefault="00C6562E" w:rsidP="00FD75D1">
      <w:pPr>
        <w:pStyle w:val="Pro-Inwest"/>
        <w:rPr>
          <w:rFonts w:asciiTheme="minorHAnsi" w:hAnsiTheme="minorHAnsi"/>
          <w:b/>
          <w:sz w:val="18"/>
          <w:szCs w:val="18"/>
        </w:rPr>
      </w:pPr>
    </w:p>
    <w:p w14:paraId="083FF63F" w14:textId="77777777" w:rsidR="009E4FD9" w:rsidRPr="00FA7F06" w:rsidRDefault="009E4FD9" w:rsidP="00FD75D1">
      <w:pPr>
        <w:pStyle w:val="Pro-Inwest"/>
        <w:rPr>
          <w:rFonts w:asciiTheme="minorHAnsi" w:hAnsiTheme="minorHAnsi"/>
          <w:b/>
          <w:sz w:val="18"/>
          <w:szCs w:val="18"/>
        </w:rPr>
      </w:pPr>
    </w:p>
    <w:p w14:paraId="18D68237" w14:textId="77777777" w:rsidR="009E4FD9" w:rsidRPr="00FA7F06" w:rsidRDefault="009E4FD9" w:rsidP="00FD75D1">
      <w:pPr>
        <w:pStyle w:val="Pro-Inwest"/>
        <w:rPr>
          <w:rFonts w:asciiTheme="minorHAnsi" w:hAnsiTheme="minorHAnsi"/>
          <w:b/>
          <w:sz w:val="18"/>
          <w:szCs w:val="18"/>
        </w:rPr>
      </w:pPr>
    </w:p>
    <w:p w14:paraId="784E3BB6" w14:textId="77777777" w:rsidR="00C6562E" w:rsidRPr="00FA7F06" w:rsidRDefault="00C6562E" w:rsidP="00FD75D1">
      <w:pPr>
        <w:pStyle w:val="Pro-Inwest"/>
        <w:rPr>
          <w:rFonts w:asciiTheme="minorHAnsi" w:hAnsiTheme="minorHAnsi"/>
          <w:b/>
          <w:sz w:val="18"/>
          <w:szCs w:val="18"/>
        </w:rPr>
      </w:pPr>
    </w:p>
    <w:p w14:paraId="05B2523A" w14:textId="77777777" w:rsidR="004322DF" w:rsidRPr="00021789" w:rsidRDefault="004322DF" w:rsidP="000D2800">
      <w:pPr>
        <w:pStyle w:val="Pro-Inwest"/>
        <w:spacing w:line="240" w:lineRule="auto"/>
        <w:jc w:val="both"/>
        <w:rPr>
          <w:rFonts w:asciiTheme="minorHAnsi" w:hAnsiTheme="minorHAnsi"/>
          <w:b/>
          <w:color w:val="FF0000"/>
          <w:sz w:val="16"/>
          <w:szCs w:val="16"/>
        </w:rPr>
      </w:pPr>
    </w:p>
    <w:p w14:paraId="05A76A8F" w14:textId="77777777" w:rsidR="00105AB9" w:rsidRPr="00021789" w:rsidRDefault="00105AB9" w:rsidP="000D2800">
      <w:pPr>
        <w:pStyle w:val="Pro-Inwest"/>
        <w:spacing w:line="240" w:lineRule="auto"/>
        <w:jc w:val="both"/>
        <w:rPr>
          <w:rFonts w:asciiTheme="minorHAnsi" w:hAnsiTheme="minorHAnsi"/>
          <w:b/>
          <w:color w:val="FF0000"/>
          <w:sz w:val="16"/>
          <w:szCs w:val="16"/>
        </w:rPr>
      </w:pPr>
    </w:p>
    <w:p w14:paraId="268DA4BD" w14:textId="77777777" w:rsidR="00105AB9" w:rsidRPr="00021789" w:rsidRDefault="00105AB9" w:rsidP="000D2800">
      <w:pPr>
        <w:pStyle w:val="Pro-Inwest"/>
        <w:spacing w:line="240" w:lineRule="auto"/>
        <w:jc w:val="both"/>
        <w:rPr>
          <w:rFonts w:asciiTheme="minorHAnsi" w:hAnsiTheme="minorHAnsi"/>
          <w:b/>
          <w:color w:val="FF0000"/>
          <w:sz w:val="16"/>
          <w:szCs w:val="16"/>
        </w:rPr>
      </w:pPr>
    </w:p>
    <w:p w14:paraId="45380198" w14:textId="77777777" w:rsidR="00105AB9" w:rsidRPr="00021789" w:rsidRDefault="00105AB9" w:rsidP="000D2800">
      <w:pPr>
        <w:pStyle w:val="Pro-Inwest"/>
        <w:spacing w:line="240" w:lineRule="auto"/>
        <w:jc w:val="both"/>
        <w:rPr>
          <w:rFonts w:asciiTheme="minorHAnsi" w:hAnsiTheme="minorHAnsi"/>
          <w:b/>
          <w:color w:val="FF0000"/>
          <w:sz w:val="16"/>
          <w:szCs w:val="16"/>
        </w:rPr>
      </w:pPr>
    </w:p>
    <w:p w14:paraId="31883807" w14:textId="77777777" w:rsidR="00105AB9" w:rsidRPr="00021789" w:rsidRDefault="00105AB9" w:rsidP="000D2800">
      <w:pPr>
        <w:pStyle w:val="Pro-Inwest"/>
        <w:spacing w:line="240" w:lineRule="auto"/>
        <w:jc w:val="both"/>
        <w:rPr>
          <w:rFonts w:asciiTheme="minorHAnsi" w:hAnsiTheme="minorHAnsi"/>
          <w:b/>
          <w:color w:val="FF0000"/>
          <w:sz w:val="16"/>
          <w:szCs w:val="16"/>
        </w:rPr>
      </w:pPr>
    </w:p>
    <w:p w14:paraId="3B19B879" w14:textId="77777777" w:rsidR="00105AB9" w:rsidRPr="00021789" w:rsidRDefault="00105AB9" w:rsidP="000D2800">
      <w:pPr>
        <w:pStyle w:val="Pro-Inwest"/>
        <w:spacing w:line="240" w:lineRule="auto"/>
        <w:jc w:val="both"/>
        <w:rPr>
          <w:rFonts w:asciiTheme="minorHAnsi" w:hAnsiTheme="minorHAnsi"/>
          <w:b/>
          <w:color w:val="FF0000"/>
          <w:sz w:val="16"/>
          <w:szCs w:val="16"/>
        </w:rPr>
      </w:pPr>
    </w:p>
    <w:p w14:paraId="3C4D588C" w14:textId="77777777" w:rsidR="00105AB9" w:rsidRPr="00021789" w:rsidRDefault="00105AB9" w:rsidP="000D2800">
      <w:pPr>
        <w:pStyle w:val="Pro-Inwest"/>
        <w:spacing w:line="240" w:lineRule="auto"/>
        <w:jc w:val="both"/>
        <w:rPr>
          <w:rFonts w:asciiTheme="minorHAnsi" w:hAnsiTheme="minorHAnsi"/>
          <w:b/>
          <w:color w:val="FF0000"/>
          <w:sz w:val="16"/>
          <w:szCs w:val="16"/>
        </w:rPr>
      </w:pPr>
    </w:p>
    <w:p w14:paraId="15B2EB2D" w14:textId="77777777" w:rsidR="00105AB9" w:rsidRPr="00021789" w:rsidRDefault="00105AB9" w:rsidP="000D2800">
      <w:pPr>
        <w:pStyle w:val="Pro-Inwest"/>
        <w:spacing w:line="240" w:lineRule="auto"/>
        <w:jc w:val="both"/>
        <w:rPr>
          <w:rFonts w:asciiTheme="minorHAnsi" w:hAnsiTheme="minorHAnsi"/>
          <w:b/>
          <w:color w:val="FF0000"/>
          <w:sz w:val="16"/>
          <w:szCs w:val="16"/>
        </w:rPr>
      </w:pPr>
    </w:p>
    <w:p w14:paraId="4DF5928B" w14:textId="77777777" w:rsidR="00105AB9" w:rsidRPr="00021789" w:rsidRDefault="00105AB9" w:rsidP="000D2800">
      <w:pPr>
        <w:pStyle w:val="Pro-Inwest"/>
        <w:spacing w:line="240" w:lineRule="auto"/>
        <w:jc w:val="both"/>
        <w:rPr>
          <w:rFonts w:asciiTheme="minorHAnsi" w:hAnsiTheme="minorHAnsi"/>
          <w:b/>
          <w:color w:val="FF0000"/>
          <w:sz w:val="16"/>
          <w:szCs w:val="16"/>
        </w:rPr>
      </w:pPr>
    </w:p>
    <w:p w14:paraId="668A0F80" w14:textId="77777777" w:rsidR="00105AB9" w:rsidRPr="00021789" w:rsidRDefault="00105AB9" w:rsidP="000D2800">
      <w:pPr>
        <w:pStyle w:val="Pro-Inwest"/>
        <w:spacing w:line="240" w:lineRule="auto"/>
        <w:jc w:val="both"/>
        <w:rPr>
          <w:rFonts w:asciiTheme="minorHAnsi" w:hAnsiTheme="minorHAnsi"/>
          <w:b/>
          <w:color w:val="FF0000"/>
          <w:sz w:val="16"/>
          <w:szCs w:val="16"/>
        </w:rPr>
      </w:pPr>
    </w:p>
    <w:p w14:paraId="582EC139" w14:textId="77777777" w:rsidR="00105AB9" w:rsidRPr="00021789" w:rsidRDefault="00105AB9" w:rsidP="000D2800">
      <w:pPr>
        <w:pStyle w:val="Pro-Inwest"/>
        <w:spacing w:line="240" w:lineRule="auto"/>
        <w:jc w:val="both"/>
        <w:rPr>
          <w:rFonts w:asciiTheme="minorHAnsi" w:hAnsiTheme="minorHAnsi"/>
          <w:b/>
          <w:color w:val="FF0000"/>
          <w:sz w:val="16"/>
          <w:szCs w:val="16"/>
        </w:rPr>
      </w:pPr>
    </w:p>
    <w:p w14:paraId="31FDC571" w14:textId="77777777" w:rsidR="002673C5" w:rsidRPr="00FA7F06" w:rsidRDefault="00513649" w:rsidP="002673C5">
      <w:pPr>
        <w:pStyle w:val="Pro-Inwest"/>
        <w:spacing w:line="240" w:lineRule="auto"/>
        <w:jc w:val="both"/>
        <w:rPr>
          <w:rFonts w:asciiTheme="minorHAnsi" w:hAnsiTheme="minorHAnsi"/>
          <w:b/>
          <w:sz w:val="18"/>
          <w:szCs w:val="18"/>
        </w:rPr>
      </w:pPr>
      <w:r w:rsidRPr="00FA7F06">
        <w:rPr>
          <w:rFonts w:asciiTheme="minorHAnsi" w:hAnsiTheme="minorHAnsi"/>
          <w:b/>
          <w:sz w:val="18"/>
          <w:szCs w:val="18"/>
        </w:rPr>
        <w:lastRenderedPageBreak/>
        <w:t>D.05.00.00 NAWIERZCHNIE</w:t>
      </w:r>
    </w:p>
    <w:p w14:paraId="23E39632" w14:textId="77777777" w:rsidR="003A7D17" w:rsidRPr="00FA7F06" w:rsidRDefault="003A7D17" w:rsidP="001341E4">
      <w:pPr>
        <w:pStyle w:val="Pro-Inwest"/>
        <w:jc w:val="both"/>
        <w:rPr>
          <w:rFonts w:asciiTheme="minorHAnsi" w:hAnsiTheme="minorHAnsi"/>
          <w:b/>
          <w:sz w:val="18"/>
          <w:szCs w:val="18"/>
        </w:rPr>
      </w:pPr>
      <w:bookmarkStart w:id="1" w:name="_Toc248942659"/>
      <w:bookmarkStart w:id="2" w:name="_Toc248942633"/>
    </w:p>
    <w:p w14:paraId="4B578EE2" w14:textId="56C509CD" w:rsidR="00D01058" w:rsidRPr="00FA7F06" w:rsidRDefault="00D01058" w:rsidP="00D01058">
      <w:pPr>
        <w:pStyle w:val="Pro-Inwest"/>
        <w:jc w:val="both"/>
        <w:rPr>
          <w:rFonts w:asciiTheme="minorHAnsi" w:hAnsiTheme="minorHAnsi"/>
          <w:b/>
          <w:sz w:val="18"/>
          <w:szCs w:val="18"/>
        </w:rPr>
      </w:pPr>
      <w:r w:rsidRPr="00FA7F06">
        <w:rPr>
          <w:rFonts w:asciiTheme="minorHAnsi" w:hAnsiTheme="minorHAnsi"/>
          <w:b/>
          <w:sz w:val="18"/>
          <w:szCs w:val="18"/>
        </w:rPr>
        <w:t>D</w:t>
      </w:r>
      <w:r w:rsidR="00FA7F06" w:rsidRPr="00FA7F06">
        <w:rPr>
          <w:rFonts w:asciiTheme="minorHAnsi" w:hAnsiTheme="minorHAnsi"/>
          <w:b/>
          <w:sz w:val="18"/>
          <w:szCs w:val="18"/>
        </w:rPr>
        <w:t>.</w:t>
      </w:r>
      <w:r w:rsidRPr="00FA7F06">
        <w:rPr>
          <w:rFonts w:asciiTheme="minorHAnsi" w:hAnsiTheme="minorHAnsi"/>
          <w:b/>
          <w:sz w:val="18"/>
          <w:szCs w:val="18"/>
        </w:rPr>
        <w:t>05.02.01 NAWIERZCHNIA MINERALNA Z UŻYCIEM NATURALNEGO ŚRODKA WIĄŻĄCEGO. NAWIERZCHNIA PRZEPUSZCZALNA</w:t>
      </w:r>
    </w:p>
    <w:p w14:paraId="7911553E" w14:textId="77777777" w:rsidR="00D01058" w:rsidRPr="00FA7F06" w:rsidRDefault="00D01058" w:rsidP="00D01058">
      <w:pPr>
        <w:pStyle w:val="Pro-Inwest"/>
        <w:spacing w:line="240" w:lineRule="auto"/>
        <w:jc w:val="both"/>
        <w:rPr>
          <w:rFonts w:asciiTheme="minorHAnsi" w:hAnsiTheme="minorHAnsi"/>
          <w:b/>
          <w:sz w:val="16"/>
          <w:szCs w:val="16"/>
        </w:rPr>
      </w:pPr>
    </w:p>
    <w:p w14:paraId="29002BA7"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1. WSTĘP</w:t>
      </w:r>
    </w:p>
    <w:p w14:paraId="06977086"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 xml:space="preserve">1.1. Przedmiot </w:t>
      </w:r>
      <w:proofErr w:type="spellStart"/>
      <w:r w:rsidRPr="00FA7F06">
        <w:rPr>
          <w:rFonts w:asciiTheme="minorHAnsi" w:hAnsiTheme="minorHAnsi"/>
          <w:b/>
          <w:bCs/>
          <w:sz w:val="16"/>
          <w:szCs w:val="16"/>
        </w:rPr>
        <w:t>STWiORB</w:t>
      </w:r>
      <w:proofErr w:type="spellEnd"/>
    </w:p>
    <w:p w14:paraId="7AC489C3" w14:textId="296B1A09"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Przedmiotem niniejszej Specyfikacji Technicznej Wykonania i Odbioru Robót Budowlanych (</w:t>
      </w:r>
      <w:proofErr w:type="spellStart"/>
      <w:r w:rsidRPr="00FA7F06">
        <w:rPr>
          <w:rFonts w:asciiTheme="minorHAnsi" w:hAnsiTheme="minorHAnsi"/>
          <w:sz w:val="16"/>
          <w:szCs w:val="16"/>
        </w:rPr>
        <w:t>STWiORB</w:t>
      </w:r>
      <w:proofErr w:type="spellEnd"/>
      <w:r w:rsidRPr="00FA7F06">
        <w:rPr>
          <w:rFonts w:asciiTheme="minorHAnsi" w:hAnsiTheme="minorHAnsi"/>
          <w:sz w:val="16"/>
          <w:szCs w:val="16"/>
        </w:rPr>
        <w:t>) są wymagania dotyczące wykonywania i odbioru robót związanych z wykonywaniem nawierzchni mineralnej.</w:t>
      </w:r>
    </w:p>
    <w:p w14:paraId="60E5E9CF"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 xml:space="preserve">1.2. Zakres stosowania </w:t>
      </w:r>
      <w:proofErr w:type="spellStart"/>
      <w:r w:rsidRPr="00FA7F06">
        <w:rPr>
          <w:rFonts w:asciiTheme="minorHAnsi" w:hAnsiTheme="minorHAnsi"/>
          <w:b/>
          <w:bCs/>
          <w:sz w:val="16"/>
          <w:szCs w:val="16"/>
        </w:rPr>
        <w:t>STWiORB</w:t>
      </w:r>
      <w:proofErr w:type="spellEnd"/>
    </w:p>
    <w:p w14:paraId="6F47A0A9"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Specyfikacja Techniczna Wykonania i Odbioru Robót Budowlanych jest stosowana jako dokument przetargowy i kontraktowy przy realizacji robót drogowych.</w:t>
      </w:r>
    </w:p>
    <w:p w14:paraId="29EB53E7"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 xml:space="preserve">1.3. Zakres robót objętych </w:t>
      </w:r>
      <w:proofErr w:type="spellStart"/>
      <w:r w:rsidRPr="00FA7F06">
        <w:rPr>
          <w:rFonts w:asciiTheme="minorHAnsi" w:hAnsiTheme="minorHAnsi"/>
          <w:b/>
          <w:bCs/>
          <w:sz w:val="16"/>
          <w:szCs w:val="16"/>
        </w:rPr>
        <w:t>STWiORB</w:t>
      </w:r>
      <w:proofErr w:type="spellEnd"/>
    </w:p>
    <w:p w14:paraId="43FE9CF5"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Niniejsza Specyfikacja Techniczna Wykonania i Odbioru Robót Budowlanych obejmuje zakres robót dotyczących wykonania warstwy nawierzchni mineralnych (zgodnie z dokumentacją projektową) oraz napraw i utrzymania w okresie gwarancyjnym</w:t>
      </w:r>
    </w:p>
    <w:p w14:paraId="1A187FD2" w14:textId="4A53FC91" w:rsidR="00D01058" w:rsidRPr="00FA7F06" w:rsidRDefault="00AF6417" w:rsidP="00D01058">
      <w:pPr>
        <w:pStyle w:val="Pro-Inwest"/>
        <w:numPr>
          <w:ilvl w:val="0"/>
          <w:numId w:val="223"/>
        </w:numPr>
        <w:jc w:val="both"/>
        <w:rPr>
          <w:rFonts w:asciiTheme="minorHAnsi" w:hAnsiTheme="minorHAnsi"/>
          <w:sz w:val="16"/>
          <w:szCs w:val="16"/>
        </w:rPr>
      </w:pPr>
      <w:r w:rsidRPr="00FA7F06">
        <w:rPr>
          <w:rFonts w:asciiTheme="minorHAnsi" w:hAnsiTheme="minorHAnsi"/>
          <w:sz w:val="16"/>
          <w:szCs w:val="16"/>
        </w:rPr>
        <w:t>Warstwa z kruszywa granitowego, piasku, żwirów naturalnych łamanych stabilizowanych mechanicznie 0/8mm gr. 3cm</w:t>
      </w:r>
      <w:r w:rsidR="00D01058" w:rsidRPr="00FA7F06">
        <w:rPr>
          <w:rFonts w:asciiTheme="minorHAnsi" w:hAnsiTheme="minorHAnsi"/>
          <w:sz w:val="16"/>
          <w:szCs w:val="16"/>
        </w:rPr>
        <w:t>;</w:t>
      </w:r>
    </w:p>
    <w:p w14:paraId="38EC6086" w14:textId="43AA4C94" w:rsidR="00D01058" w:rsidRPr="00FA7F06" w:rsidRDefault="00AF6417" w:rsidP="00D01058">
      <w:pPr>
        <w:pStyle w:val="Pro-Inwest"/>
        <w:numPr>
          <w:ilvl w:val="0"/>
          <w:numId w:val="223"/>
        </w:numPr>
        <w:jc w:val="both"/>
        <w:rPr>
          <w:rFonts w:asciiTheme="minorHAnsi" w:hAnsiTheme="minorHAnsi"/>
          <w:sz w:val="16"/>
          <w:szCs w:val="16"/>
        </w:rPr>
      </w:pPr>
      <w:r w:rsidRPr="00FA7F06">
        <w:rPr>
          <w:rFonts w:asciiTheme="minorHAnsi" w:hAnsiTheme="minorHAnsi"/>
          <w:sz w:val="16"/>
          <w:szCs w:val="16"/>
        </w:rPr>
        <w:t>Warstwa dynamiczna na bazie żwirów naturalnych, piasku i łamanych kruszyw skalnych stabilizowanych mechanicznie  gr. 5cm</w:t>
      </w:r>
      <w:r w:rsidR="00D01058" w:rsidRPr="00FA7F06">
        <w:rPr>
          <w:rFonts w:asciiTheme="minorHAnsi" w:hAnsiTheme="minorHAnsi"/>
          <w:sz w:val="16"/>
          <w:szCs w:val="16"/>
        </w:rPr>
        <w:t>.</w:t>
      </w:r>
    </w:p>
    <w:p w14:paraId="5F3FC839"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1.4. Ogólne wymagania dotyczące robót</w:t>
      </w:r>
    </w:p>
    <w:p w14:paraId="2CF120DA"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Wykonawca jest odpowiedzialny za jakość wykonania robót, zgodność z Dokumentacją Projektową oraz Specyfikacją Techniczną a także wykonywanie zaleceń Inspektora Nadzoru.</w:t>
      </w:r>
    </w:p>
    <w:p w14:paraId="3986257C"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1.5  Właściwości nawierzchni mineralnej</w:t>
      </w:r>
    </w:p>
    <w:p w14:paraId="6A58DB2A"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Nawierzchnia mineralna jest półtwardym podłożem, elastycznym i stabilnym, które w doskonały sposób przepuszcza wodę oraz powietrze, a przy tym jest nietoksyczne i  trwałe. Układa się je do samego pnia drzewa lub krzewu. Zachowanie elastyczności tej nawierzchni sprawia, że rozrost korzeni nie powoduje zniekształceń oraz pęknięć. Nawierzchnia mineralna jest łatwo rozbieralna, w celu ewentualnego wbudowania przyłączeń energetycznych, wodnych, gazowych i innych. Polega to na mechanicznym lub ręcznym zdjęciu poszczególnych warstw nawierzchni i podbudowy a po wbudowaniu przyłącza ponowne ich ułożenie z nawodnieniem i zagęszczeniem do pierwotnego stanu.</w:t>
      </w:r>
    </w:p>
    <w:p w14:paraId="6DDCC148"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1.6. Zużycie materiałów</w:t>
      </w:r>
    </w:p>
    <w:p w14:paraId="48EFDDFE"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Przyjmuje się ciężar właściwy materiału do wykonania warstwy wierzchniej nawierzchni  około 2 ton/m3, co przy grubości warstwy 3 cm po zagęszczeniu, daje ok. 75 kg materiału na 1 m2 nawierzchni.</w:t>
      </w:r>
    </w:p>
    <w:p w14:paraId="35243669"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Dla warstwy dynamicznej, o tym samym ciężarze właściwym, o grubości 5 cm. po zagęszczeniu daje 110 kg na 1 m2 warstwy.</w:t>
      </w:r>
    </w:p>
    <w:p w14:paraId="49482B84" w14:textId="77777777" w:rsidR="00D01058" w:rsidRPr="00FA7F06" w:rsidRDefault="00D01058" w:rsidP="00D01058">
      <w:pPr>
        <w:pStyle w:val="Pro-Inwest"/>
        <w:jc w:val="both"/>
        <w:rPr>
          <w:rFonts w:asciiTheme="minorHAnsi" w:hAnsiTheme="minorHAnsi"/>
          <w:sz w:val="16"/>
          <w:szCs w:val="16"/>
        </w:rPr>
      </w:pPr>
    </w:p>
    <w:p w14:paraId="70BA4AD4"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2. MATERIAŁY</w:t>
      </w:r>
    </w:p>
    <w:p w14:paraId="35D5AC17" w14:textId="77777777" w:rsidR="00D01058" w:rsidRPr="00FA7F06" w:rsidRDefault="00D01058" w:rsidP="00D01058">
      <w:pPr>
        <w:pStyle w:val="Pro-Inwest"/>
        <w:numPr>
          <w:ilvl w:val="1"/>
          <w:numId w:val="225"/>
        </w:numPr>
        <w:jc w:val="both"/>
        <w:rPr>
          <w:rFonts w:asciiTheme="minorHAnsi" w:hAnsiTheme="minorHAnsi"/>
          <w:b/>
          <w:bCs/>
          <w:sz w:val="16"/>
          <w:szCs w:val="16"/>
        </w:rPr>
      </w:pPr>
      <w:r w:rsidRPr="00FA7F06">
        <w:rPr>
          <w:rFonts w:asciiTheme="minorHAnsi" w:hAnsiTheme="minorHAnsi"/>
          <w:b/>
          <w:bCs/>
          <w:sz w:val="16"/>
          <w:szCs w:val="16"/>
        </w:rPr>
        <w:t>Wymagania ogólne dotyczące materiałów</w:t>
      </w:r>
    </w:p>
    <w:p w14:paraId="6137B89C"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Materiałami stosowanymi przy wykonywaniu robót według niniejszej Specyfikacji Technicznej są:</w:t>
      </w:r>
    </w:p>
    <w:p w14:paraId="31B212BD" w14:textId="77777777" w:rsidR="00D01058" w:rsidRPr="00FA7F06" w:rsidRDefault="00D01058" w:rsidP="00D01058">
      <w:pPr>
        <w:pStyle w:val="Pro-Inwest"/>
        <w:numPr>
          <w:ilvl w:val="0"/>
          <w:numId w:val="224"/>
        </w:numPr>
        <w:jc w:val="both"/>
        <w:rPr>
          <w:rFonts w:asciiTheme="minorHAnsi" w:hAnsiTheme="minorHAnsi"/>
          <w:sz w:val="16"/>
          <w:szCs w:val="16"/>
        </w:rPr>
      </w:pPr>
      <w:r w:rsidRPr="00FA7F06">
        <w:rPr>
          <w:rFonts w:asciiTheme="minorHAnsi" w:hAnsiTheme="minorHAnsi"/>
          <w:sz w:val="16"/>
          <w:szCs w:val="16"/>
        </w:rPr>
        <w:t>Mieszanka grysowo – żwirowa,</w:t>
      </w:r>
    </w:p>
    <w:p w14:paraId="17859CE0" w14:textId="77777777" w:rsidR="00D01058" w:rsidRPr="00FA7F06" w:rsidRDefault="00D01058" w:rsidP="00D01058">
      <w:pPr>
        <w:pStyle w:val="Pro-Inwest"/>
        <w:numPr>
          <w:ilvl w:val="0"/>
          <w:numId w:val="224"/>
        </w:numPr>
        <w:jc w:val="both"/>
        <w:rPr>
          <w:rFonts w:asciiTheme="minorHAnsi" w:hAnsiTheme="minorHAnsi"/>
          <w:sz w:val="16"/>
          <w:szCs w:val="16"/>
        </w:rPr>
      </w:pPr>
      <w:r w:rsidRPr="00FA7F06">
        <w:rPr>
          <w:rFonts w:asciiTheme="minorHAnsi" w:hAnsiTheme="minorHAnsi"/>
          <w:sz w:val="16"/>
          <w:szCs w:val="16"/>
        </w:rPr>
        <w:t>Naturalne spoiwo (Stabilizator) służące do wiązania składnika mineralnego wg. technologii producenta,</w:t>
      </w:r>
    </w:p>
    <w:p w14:paraId="7BE00A66" w14:textId="77777777" w:rsidR="00D01058" w:rsidRPr="00FA7F06" w:rsidRDefault="00D01058" w:rsidP="00D01058">
      <w:pPr>
        <w:pStyle w:val="Pro-Inwest"/>
        <w:numPr>
          <w:ilvl w:val="0"/>
          <w:numId w:val="224"/>
        </w:numPr>
        <w:jc w:val="both"/>
        <w:rPr>
          <w:rFonts w:asciiTheme="minorHAnsi" w:hAnsiTheme="minorHAnsi"/>
          <w:sz w:val="16"/>
          <w:szCs w:val="16"/>
        </w:rPr>
      </w:pPr>
      <w:r w:rsidRPr="00FA7F06">
        <w:rPr>
          <w:rFonts w:asciiTheme="minorHAnsi" w:hAnsiTheme="minorHAnsi"/>
          <w:sz w:val="16"/>
          <w:szCs w:val="16"/>
        </w:rPr>
        <w:t>Mieszanka grysowa producenta,</w:t>
      </w:r>
    </w:p>
    <w:p w14:paraId="5CFBE0C4" w14:textId="77777777" w:rsidR="00D01058" w:rsidRPr="00FA7F06" w:rsidRDefault="00D01058" w:rsidP="00D01058">
      <w:pPr>
        <w:pStyle w:val="Pro-Inwest"/>
        <w:numPr>
          <w:ilvl w:val="0"/>
          <w:numId w:val="224"/>
        </w:numPr>
        <w:jc w:val="both"/>
        <w:rPr>
          <w:rFonts w:asciiTheme="minorHAnsi" w:hAnsiTheme="minorHAnsi"/>
          <w:sz w:val="16"/>
          <w:szCs w:val="16"/>
        </w:rPr>
      </w:pPr>
      <w:r w:rsidRPr="00FA7F06">
        <w:rPr>
          <w:rFonts w:asciiTheme="minorHAnsi" w:hAnsiTheme="minorHAnsi"/>
          <w:sz w:val="16"/>
          <w:szCs w:val="16"/>
        </w:rPr>
        <w:t>Piasek gruby,</w:t>
      </w:r>
    </w:p>
    <w:p w14:paraId="45EAA6D4" w14:textId="77777777" w:rsidR="00D01058" w:rsidRPr="00FA7F06" w:rsidRDefault="00D01058" w:rsidP="00D01058">
      <w:pPr>
        <w:pStyle w:val="Pro-Inwest"/>
        <w:numPr>
          <w:ilvl w:val="0"/>
          <w:numId w:val="224"/>
        </w:numPr>
        <w:jc w:val="both"/>
        <w:rPr>
          <w:rFonts w:asciiTheme="minorHAnsi" w:hAnsiTheme="minorHAnsi"/>
          <w:sz w:val="16"/>
          <w:szCs w:val="16"/>
        </w:rPr>
      </w:pPr>
      <w:r w:rsidRPr="00FA7F06">
        <w:rPr>
          <w:rFonts w:asciiTheme="minorHAnsi" w:hAnsiTheme="minorHAnsi"/>
          <w:sz w:val="16"/>
          <w:szCs w:val="16"/>
        </w:rPr>
        <w:t>Woda.</w:t>
      </w:r>
    </w:p>
    <w:p w14:paraId="560EF4DF" w14:textId="77777777" w:rsidR="00D01058" w:rsidRPr="00FA7F06" w:rsidRDefault="00D01058" w:rsidP="00D01058">
      <w:pPr>
        <w:pStyle w:val="Pro-Inwest"/>
        <w:numPr>
          <w:ilvl w:val="1"/>
          <w:numId w:val="225"/>
        </w:numPr>
        <w:jc w:val="both"/>
        <w:rPr>
          <w:rFonts w:asciiTheme="minorHAnsi" w:hAnsiTheme="minorHAnsi"/>
          <w:b/>
          <w:bCs/>
          <w:sz w:val="16"/>
          <w:szCs w:val="16"/>
        </w:rPr>
      </w:pPr>
      <w:r w:rsidRPr="00FA7F06">
        <w:rPr>
          <w:rFonts w:asciiTheme="minorHAnsi" w:hAnsiTheme="minorHAnsi"/>
          <w:b/>
          <w:bCs/>
          <w:sz w:val="16"/>
          <w:szCs w:val="16"/>
        </w:rPr>
        <w:t xml:space="preserve">Mieszanka grysowo-żwirowa </w:t>
      </w:r>
    </w:p>
    <w:p w14:paraId="16D4F165"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Mieszanka grysów kamiennych i mieszanek piaskowo – żwirowych w odpowiedniej proporcji wg. technologii producenta o uziarnieniu 0-5 mm, 0-8 mm, 0-11mm.</w:t>
      </w:r>
    </w:p>
    <w:p w14:paraId="023D7621"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Wady niedopuszczalne:  występowanie zanieczyszczeń obcych, nieprawidłowe frakcje</w:t>
      </w:r>
    </w:p>
    <w:p w14:paraId="0AE97994"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Transport: luzem, z zabezpieczeniem przed pyleniem i wysypywaniem.</w:t>
      </w:r>
    </w:p>
    <w:p w14:paraId="39E9CEFA" w14:textId="77777777" w:rsidR="00D01058" w:rsidRPr="00FA7F06" w:rsidRDefault="00D01058" w:rsidP="00D01058">
      <w:pPr>
        <w:pStyle w:val="Pro-Inwest"/>
        <w:numPr>
          <w:ilvl w:val="1"/>
          <w:numId w:val="225"/>
        </w:numPr>
        <w:jc w:val="both"/>
        <w:rPr>
          <w:rFonts w:asciiTheme="minorHAnsi" w:hAnsiTheme="minorHAnsi"/>
          <w:b/>
          <w:bCs/>
          <w:sz w:val="16"/>
          <w:szCs w:val="16"/>
        </w:rPr>
      </w:pPr>
      <w:r w:rsidRPr="00FA7F06">
        <w:rPr>
          <w:rFonts w:asciiTheme="minorHAnsi" w:hAnsiTheme="minorHAnsi"/>
          <w:b/>
          <w:bCs/>
          <w:sz w:val="16"/>
          <w:szCs w:val="16"/>
        </w:rPr>
        <w:t>Naturalne spoiwo (stabilizator)</w:t>
      </w:r>
    </w:p>
    <w:p w14:paraId="59B61DBB"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Środek pochodzenia roślinnego wiążący kruszywo mineralne wg. technologii producenta.</w:t>
      </w:r>
    </w:p>
    <w:p w14:paraId="3A9F8672"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Wady niedopuszczalne:  zawilgocenie, zanieczyszczenie</w:t>
      </w:r>
    </w:p>
    <w:p w14:paraId="14F59264"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Transport:  w opakowaniach producenta – worki z tworzywa sztucznego 18,16 kg</w:t>
      </w:r>
    </w:p>
    <w:p w14:paraId="2BFDCB0A" w14:textId="77777777" w:rsidR="00D01058" w:rsidRPr="00FA7F06" w:rsidRDefault="00D01058" w:rsidP="00D01058">
      <w:pPr>
        <w:pStyle w:val="Pro-Inwest"/>
        <w:numPr>
          <w:ilvl w:val="1"/>
          <w:numId w:val="225"/>
        </w:numPr>
        <w:jc w:val="both"/>
        <w:rPr>
          <w:rFonts w:asciiTheme="minorHAnsi" w:hAnsiTheme="minorHAnsi"/>
          <w:b/>
          <w:bCs/>
          <w:sz w:val="16"/>
          <w:szCs w:val="16"/>
        </w:rPr>
      </w:pPr>
      <w:r w:rsidRPr="00FA7F06">
        <w:rPr>
          <w:rFonts w:asciiTheme="minorHAnsi" w:hAnsiTheme="minorHAnsi"/>
          <w:b/>
          <w:bCs/>
          <w:sz w:val="16"/>
          <w:szCs w:val="16"/>
        </w:rPr>
        <w:t xml:space="preserve">Mieszanka grysowa </w:t>
      </w:r>
    </w:p>
    <w:p w14:paraId="426307C3"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Mieszanka mineralna ze skał twardych łamanych lub żwirów łamanych o frakcji 0-16 mm o odpowiedniej krzywej przesiewu wg. technologii producenta.</w:t>
      </w:r>
    </w:p>
    <w:p w14:paraId="6C2DA877"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Wady niedopuszczalne: zanieczyszczenie ciałami obcymi, nieprawidłowe frakcje i proporcje</w:t>
      </w:r>
    </w:p>
    <w:p w14:paraId="2EA4DB43"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Transport:  luzem, z zabezpieczeniem przed pyleniem i wysypywaniem</w:t>
      </w:r>
    </w:p>
    <w:p w14:paraId="057C60E6" w14:textId="77777777" w:rsidR="00D01058" w:rsidRPr="00FA7F06" w:rsidRDefault="00D01058" w:rsidP="00D01058">
      <w:pPr>
        <w:pStyle w:val="Pro-Inwest"/>
        <w:numPr>
          <w:ilvl w:val="1"/>
          <w:numId w:val="225"/>
        </w:numPr>
        <w:jc w:val="both"/>
        <w:rPr>
          <w:rFonts w:asciiTheme="minorHAnsi" w:hAnsiTheme="minorHAnsi"/>
          <w:b/>
          <w:bCs/>
          <w:sz w:val="16"/>
          <w:szCs w:val="16"/>
        </w:rPr>
      </w:pPr>
      <w:r w:rsidRPr="00FA7F06">
        <w:rPr>
          <w:rFonts w:asciiTheme="minorHAnsi" w:hAnsiTheme="minorHAnsi"/>
          <w:b/>
          <w:bCs/>
          <w:sz w:val="16"/>
          <w:szCs w:val="16"/>
        </w:rPr>
        <w:t>Woda</w:t>
      </w:r>
    </w:p>
    <w:p w14:paraId="0F9E1CF1"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Zaleca się stosowanie wody wodociągowej pitnej. Stosowanie jej nie wymaga przeprowadzania badań. Woda powinna odpowiadać PN-88/B-32250</w:t>
      </w:r>
    </w:p>
    <w:p w14:paraId="4BF4996B" w14:textId="77777777" w:rsidR="00D01058" w:rsidRPr="00021789" w:rsidRDefault="00D01058" w:rsidP="00D01058">
      <w:pPr>
        <w:pStyle w:val="Pro-Inwest"/>
        <w:jc w:val="both"/>
        <w:rPr>
          <w:rFonts w:asciiTheme="minorHAnsi" w:hAnsiTheme="minorHAnsi"/>
          <w:color w:val="FF0000"/>
          <w:sz w:val="16"/>
          <w:szCs w:val="16"/>
        </w:rPr>
      </w:pPr>
    </w:p>
    <w:p w14:paraId="01AE820E"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3. SPRZĘT</w:t>
      </w:r>
    </w:p>
    <w:p w14:paraId="1EC000F2"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3.1  Wymagania dotyczące sprzętu</w:t>
      </w:r>
    </w:p>
    <w:p w14:paraId="46F0FDB0"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Roboty mogą być wykonywane ręcznie lub przy użyciu dowolnego sprzętu mechanicznego zaakceptowanego przez inspektora nadzoru. Wykonawca jest odpowiedzialny za wybraną technologię robót i sprzęt. W obrębie systemu korzeniowego roboty wykonywać tylko ręcznie.</w:t>
      </w:r>
    </w:p>
    <w:p w14:paraId="26411524"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Do zagęszczania warstwy wierzchniej, wymagane jest użycie lekkiego  walca stalowego, statycznego o wadze około 1 tony.</w:t>
      </w:r>
    </w:p>
    <w:p w14:paraId="650F7E04"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lastRenderedPageBreak/>
        <w:t>4.  TRANSPORT</w:t>
      </w:r>
    </w:p>
    <w:p w14:paraId="1E625C96"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4.1. Wymagania dotyczące transportu</w:t>
      </w:r>
    </w:p>
    <w:p w14:paraId="3E86A702"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Materiały do budowy dróg przewozi się wszystkimi środkami transportowymi dopuszczonymi do wykonywania zamierzonych robót. Materiały rozmieszczać równomiernie na całej powierzchni ładunkowej i zabezpieczać przed przesuwaniem i wysypywaniem. Produkty</w:t>
      </w:r>
      <w:r w:rsidRPr="00FA7F06">
        <w:rPr>
          <w:rFonts w:asciiTheme="minorHAnsi" w:hAnsiTheme="minorHAnsi"/>
          <w:sz w:val="16"/>
          <w:szCs w:val="16"/>
        </w:rPr>
        <w:br/>
        <w:t>w workach wrażliwe na wilgoć przewozić krytymi środkami transportu.</w:t>
      </w:r>
    </w:p>
    <w:p w14:paraId="4EC1BA43" w14:textId="77777777" w:rsidR="00D01058" w:rsidRPr="00FA7F06" w:rsidRDefault="00D01058" w:rsidP="00D01058">
      <w:pPr>
        <w:pStyle w:val="Pro-Inwest"/>
        <w:jc w:val="both"/>
        <w:rPr>
          <w:rFonts w:asciiTheme="minorHAnsi" w:hAnsiTheme="minorHAnsi"/>
          <w:sz w:val="16"/>
          <w:szCs w:val="16"/>
        </w:rPr>
      </w:pPr>
    </w:p>
    <w:p w14:paraId="79138191"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5.  WYKONYWANIE ROBÓT</w:t>
      </w:r>
    </w:p>
    <w:p w14:paraId="7C5E80B9"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5.1 Projekt organizacji i harmonogram robót</w:t>
      </w:r>
    </w:p>
    <w:p w14:paraId="507D2C85"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Wykonawca przedstawi inspektorowi nadzoru do akceptacji projekt organizacji i harmonogram robót uwzględniający wszystkie warunki</w:t>
      </w:r>
      <w:r w:rsidRPr="00FA7F06">
        <w:rPr>
          <w:rFonts w:asciiTheme="minorHAnsi" w:hAnsiTheme="minorHAnsi"/>
          <w:sz w:val="16"/>
          <w:szCs w:val="16"/>
        </w:rPr>
        <w:br/>
        <w:t>w jakich będą wykonywane roboty drogowe. Wykonawca jest obowiązany dostarczyć na teren inwestycji tyle materiału, ile jest w stanie wykorzystać.</w:t>
      </w:r>
    </w:p>
    <w:p w14:paraId="6D21D922"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Pozostała część materiału powinna być w odpowiedni sposób zabezpieczona. O miejscu i warunkach składowania Wykonawca poinformuje inspektora nadzoru.</w:t>
      </w:r>
    </w:p>
    <w:p w14:paraId="4693DFFE"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5.2 Termin wykonania robót</w:t>
      </w:r>
    </w:p>
    <w:p w14:paraId="3204E9D1"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Termin wykonania robót musi być zsynchronizowany z wykonaniem innych prac budowlanych, przewidzianych zadaniem inwestycyjnym. Przy wykonywaniu warstwy wierzchniej należy uwzględnić konieczność pierwszego zagęszczenia na sucho a przed wtórnym zagęszczeniem nawierzchnię należy nawodnić. Kolejne kilkakrotne zagęszczenia należy wykonywać nawadniając nawierzchnię. Uznaje się, że nawierzchnia może przenosić całkowite obciążenie po kilkukrotnym nawadnianiu i statycznym zagęszczeniu walcem – po całkowitym wyschnięciu.</w:t>
      </w:r>
    </w:p>
    <w:p w14:paraId="018AC8E7"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Prace powinny być wykonywane przy dodatniej temperaturze otoczenia.</w:t>
      </w:r>
    </w:p>
    <w:p w14:paraId="4449EE74"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5.3 Zakres prac</w:t>
      </w:r>
    </w:p>
    <w:p w14:paraId="634DBC3F"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5.3.1. Wykonanie warstwy dynamicznej</w:t>
      </w:r>
    </w:p>
    <w:p w14:paraId="383B959A"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Dostarczenie i wbudowanie warstwy dynamicznej wg. normy DIN 18035-5. Grubość warstwy równa 5 cm w stanie zagęszczonym. Dopasować do krawędzi i zagęścić. Przed wtórnym zagęszczeniem powierzchnię należy nawodnić. Wtórne zagęszczenie musi odbyć się dynamicznie. Wymagany stopień zagęszczenia D Pr = 0,95. Wbudować ze spadkiem poprzecznym 2%</w:t>
      </w:r>
    </w:p>
    <w:p w14:paraId="60E7112E"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Materiał: czysty naturalny materiał budowlany o stałej krzywej przesiewu z grysu kamienia twardego oraz mieszanki piaskowo-żwirowej dopasowanej do tego grysu.</w:t>
      </w:r>
    </w:p>
    <w:p w14:paraId="1B8B028E"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xml:space="preserve">5.3.2. Wykonanie wierzchniej warstwy </w:t>
      </w:r>
    </w:p>
    <w:p w14:paraId="3EEDCA31"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xml:space="preserve">Wymieszać mieszankę grysowo-żwirową z naturalnym spoiwem </w:t>
      </w:r>
      <w:proofErr w:type="spellStart"/>
      <w:r w:rsidRPr="00FA7F06">
        <w:rPr>
          <w:rFonts w:asciiTheme="minorHAnsi" w:hAnsiTheme="minorHAnsi"/>
          <w:sz w:val="16"/>
          <w:szCs w:val="16"/>
        </w:rPr>
        <w:t>Stabilizer</w:t>
      </w:r>
      <w:proofErr w:type="spellEnd"/>
      <w:r w:rsidRPr="00FA7F06">
        <w:rPr>
          <w:rFonts w:asciiTheme="minorHAnsi" w:hAnsiTheme="minorHAnsi"/>
          <w:sz w:val="16"/>
          <w:szCs w:val="16"/>
        </w:rPr>
        <w:t xml:space="preserve"> w proporcji 6 kg spoiwa na 1 tonę mieszanki. Mieszanie wykonać mechanicznie za pomocą betonomieszarek stacjonarnych lub samochodowych na sucho.</w:t>
      </w:r>
    </w:p>
    <w:p w14:paraId="43729404"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Mieszać tylko takie ilości materiału, aby umożliwić jego w miarę szybkie  wbudowanie.</w:t>
      </w:r>
    </w:p>
    <w:p w14:paraId="1DA52B9B"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Zwracać uwagę i nie dopuścić do segregacji materiału w czasie transportu i składowania. Jeśli wystąpi segregacja, materiał powinien być dokładnie wymieszany.</w:t>
      </w:r>
    </w:p>
    <w:p w14:paraId="64869E17"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Wymieszany materiał rozkładać ręcznie z użyciem łaty lub za pomocą układarki mechanicznej z wbudowanym systemem niwelacyjnym. Grubość wbudowania 3-4 cm po zagęszczeniu.</w:t>
      </w:r>
    </w:p>
    <w:p w14:paraId="1B6BCED2"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Zagęszczać mechanicznie. Wtórne i kolejne zagęszczenia wykonać po uprzednim nawodnieniu. Zagęszczanie wyłącznie statyczne walcem – bez użycia wibracji.</w:t>
      </w:r>
    </w:p>
    <w:p w14:paraId="11EA0870"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Stopień zagęszczenia D Pr = 0,95 . Spadek wg. wskazań projektanta. Zalecany 2%</w:t>
      </w:r>
    </w:p>
    <w:p w14:paraId="5A52625D"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Wykonać kontrolę jakości nawierzchni i sprawdzenie spadków.</w:t>
      </w:r>
    </w:p>
    <w:p w14:paraId="25947409" w14:textId="77777777" w:rsidR="00D01058" w:rsidRPr="00FA7F06" w:rsidRDefault="00D01058" w:rsidP="00D01058">
      <w:pPr>
        <w:pStyle w:val="Pro-Inwest"/>
        <w:jc w:val="both"/>
        <w:rPr>
          <w:rFonts w:asciiTheme="minorHAnsi" w:hAnsiTheme="minorHAnsi"/>
          <w:sz w:val="16"/>
          <w:szCs w:val="16"/>
        </w:rPr>
      </w:pPr>
    </w:p>
    <w:p w14:paraId="4B344679"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Wady niedopuszczalne w trakcie wykonania prac budowlanych:</w:t>
      </w:r>
    </w:p>
    <w:p w14:paraId="2F807B8E" w14:textId="77777777" w:rsidR="00D01058" w:rsidRPr="00FA7F06" w:rsidRDefault="00D01058" w:rsidP="00D01058">
      <w:pPr>
        <w:pStyle w:val="Pro-Inwest"/>
        <w:numPr>
          <w:ilvl w:val="0"/>
          <w:numId w:val="226"/>
        </w:numPr>
        <w:jc w:val="both"/>
        <w:rPr>
          <w:rFonts w:asciiTheme="minorHAnsi" w:hAnsiTheme="minorHAnsi"/>
          <w:sz w:val="16"/>
          <w:szCs w:val="16"/>
        </w:rPr>
      </w:pPr>
      <w:r w:rsidRPr="00FA7F06">
        <w:rPr>
          <w:rFonts w:asciiTheme="minorHAnsi" w:hAnsiTheme="minorHAnsi"/>
          <w:sz w:val="16"/>
          <w:szCs w:val="16"/>
        </w:rPr>
        <w:t>Niezgodność wykonania prac budowlanych z dokumentacją i technologią,</w:t>
      </w:r>
    </w:p>
    <w:p w14:paraId="6F10CA21" w14:textId="77777777" w:rsidR="00D01058" w:rsidRPr="00FA7F06" w:rsidRDefault="00D01058" w:rsidP="00D01058">
      <w:pPr>
        <w:pStyle w:val="Pro-Inwest"/>
        <w:numPr>
          <w:ilvl w:val="0"/>
          <w:numId w:val="226"/>
        </w:numPr>
        <w:jc w:val="both"/>
        <w:rPr>
          <w:rFonts w:asciiTheme="minorHAnsi" w:hAnsiTheme="minorHAnsi"/>
          <w:sz w:val="16"/>
          <w:szCs w:val="16"/>
        </w:rPr>
      </w:pPr>
      <w:r w:rsidRPr="00FA7F06">
        <w:rPr>
          <w:rFonts w:asciiTheme="minorHAnsi" w:hAnsiTheme="minorHAnsi"/>
          <w:sz w:val="16"/>
          <w:szCs w:val="16"/>
        </w:rPr>
        <w:t>Niezgodne z projektem trasowanie dróg,</w:t>
      </w:r>
    </w:p>
    <w:p w14:paraId="72274221" w14:textId="77777777" w:rsidR="00D01058" w:rsidRPr="00FA7F06" w:rsidRDefault="00D01058" w:rsidP="00D01058">
      <w:pPr>
        <w:pStyle w:val="Pro-Inwest"/>
        <w:numPr>
          <w:ilvl w:val="0"/>
          <w:numId w:val="226"/>
        </w:numPr>
        <w:jc w:val="both"/>
        <w:rPr>
          <w:rFonts w:asciiTheme="minorHAnsi" w:hAnsiTheme="minorHAnsi"/>
          <w:sz w:val="16"/>
          <w:szCs w:val="16"/>
        </w:rPr>
      </w:pPr>
      <w:r w:rsidRPr="00FA7F06">
        <w:rPr>
          <w:rFonts w:asciiTheme="minorHAnsi" w:hAnsiTheme="minorHAnsi"/>
          <w:sz w:val="16"/>
          <w:szCs w:val="16"/>
        </w:rPr>
        <w:t>Nieodpowiednie zagęszczenie warstw.</w:t>
      </w:r>
    </w:p>
    <w:p w14:paraId="6720ECCA" w14:textId="77777777" w:rsidR="00D01058" w:rsidRPr="00FA7F06" w:rsidRDefault="00D01058" w:rsidP="00D01058">
      <w:pPr>
        <w:pStyle w:val="Pro-Inwest"/>
        <w:numPr>
          <w:ilvl w:val="0"/>
          <w:numId w:val="226"/>
        </w:numPr>
        <w:jc w:val="both"/>
        <w:rPr>
          <w:rFonts w:asciiTheme="minorHAnsi" w:hAnsiTheme="minorHAnsi"/>
          <w:sz w:val="16"/>
          <w:szCs w:val="16"/>
        </w:rPr>
      </w:pPr>
      <w:r w:rsidRPr="00FA7F06">
        <w:rPr>
          <w:rFonts w:asciiTheme="minorHAnsi" w:hAnsiTheme="minorHAnsi"/>
          <w:sz w:val="16"/>
          <w:szCs w:val="16"/>
        </w:rPr>
        <w:t>Nierówności nawierzchni,</w:t>
      </w:r>
    </w:p>
    <w:p w14:paraId="7528E483" w14:textId="77777777" w:rsidR="00D01058" w:rsidRPr="00FA7F06" w:rsidRDefault="00D01058" w:rsidP="00D01058">
      <w:pPr>
        <w:pStyle w:val="Pro-Inwest"/>
        <w:numPr>
          <w:ilvl w:val="0"/>
          <w:numId w:val="226"/>
        </w:numPr>
        <w:jc w:val="both"/>
        <w:rPr>
          <w:rFonts w:asciiTheme="minorHAnsi" w:hAnsiTheme="minorHAnsi"/>
          <w:sz w:val="16"/>
          <w:szCs w:val="16"/>
        </w:rPr>
      </w:pPr>
      <w:r w:rsidRPr="00FA7F06">
        <w:rPr>
          <w:rFonts w:asciiTheme="minorHAnsi" w:hAnsiTheme="minorHAnsi"/>
          <w:sz w:val="16"/>
          <w:szCs w:val="16"/>
        </w:rPr>
        <w:t>Nieodpowiednie wyprofilowanie spadków nawierzchni,</w:t>
      </w:r>
    </w:p>
    <w:p w14:paraId="3CD35B58" w14:textId="77777777" w:rsidR="00D01058" w:rsidRPr="00FA7F06" w:rsidRDefault="00D01058" w:rsidP="00D01058">
      <w:pPr>
        <w:pStyle w:val="Pro-Inwest"/>
        <w:numPr>
          <w:ilvl w:val="0"/>
          <w:numId w:val="226"/>
        </w:numPr>
        <w:jc w:val="both"/>
        <w:rPr>
          <w:rFonts w:asciiTheme="minorHAnsi" w:hAnsiTheme="minorHAnsi"/>
          <w:sz w:val="16"/>
          <w:szCs w:val="16"/>
        </w:rPr>
      </w:pPr>
      <w:r w:rsidRPr="00FA7F06">
        <w:rPr>
          <w:rFonts w:asciiTheme="minorHAnsi" w:hAnsiTheme="minorHAnsi"/>
          <w:sz w:val="16"/>
          <w:szCs w:val="16"/>
        </w:rPr>
        <w:t>Nieuprzątnięcie terenu po budowie.</w:t>
      </w:r>
    </w:p>
    <w:p w14:paraId="13640C39" w14:textId="77777777" w:rsidR="00D01058" w:rsidRPr="00FA7F06" w:rsidRDefault="00D01058" w:rsidP="00D01058">
      <w:pPr>
        <w:pStyle w:val="Pro-Inwest"/>
        <w:jc w:val="both"/>
        <w:rPr>
          <w:rFonts w:asciiTheme="minorHAnsi" w:hAnsiTheme="minorHAnsi"/>
          <w:b/>
          <w:bCs/>
          <w:sz w:val="16"/>
          <w:szCs w:val="16"/>
        </w:rPr>
      </w:pPr>
    </w:p>
    <w:p w14:paraId="0035A49A"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5.4. Kontrola jakości wykonania prac budowlanych</w:t>
      </w:r>
    </w:p>
    <w:p w14:paraId="24F85CC6"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Kontrola powinna dotyczyć prawidłowego wykonania poszczególnych etapów prac budowlanych z dokumentacją projektową i Specyfikacją Techniczną Wykonania i Odbioru Robót Budowlanych. Kontrola polega na ocenie jakości wykonanych robót i powinna dotyczyć:</w:t>
      </w:r>
    </w:p>
    <w:p w14:paraId="670BCD94"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badania właściwości materiałów,</w:t>
      </w:r>
    </w:p>
    <w:p w14:paraId="4ADA9117"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sprawdzenia prawidłowości zagęszczenia poszczególnych warstw,</w:t>
      </w:r>
    </w:p>
    <w:p w14:paraId="3DFCEF87"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badania cech geometrycznych wykonywanej warstwy,</w:t>
      </w:r>
    </w:p>
    <w:p w14:paraId="2B7DF585"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sprawdzenia wyglądu zewnętrznego wykonywanej warstwy,</w:t>
      </w:r>
    </w:p>
    <w:p w14:paraId="1A40C33D"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pomiaru grubości warstwy,</w:t>
      </w:r>
    </w:p>
    <w:p w14:paraId="418EBF6C"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pomiaru szerokości warstwy ( taśmą mierniczą min. 1 raz co każde 10 m),</w:t>
      </w:r>
    </w:p>
    <w:p w14:paraId="1C5257EC"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pomiaru równości podłużnej (</w:t>
      </w:r>
      <w:proofErr w:type="spellStart"/>
      <w:r w:rsidRPr="00FA7F06">
        <w:rPr>
          <w:rFonts w:asciiTheme="minorHAnsi" w:hAnsiTheme="minorHAnsi"/>
          <w:sz w:val="16"/>
          <w:szCs w:val="16"/>
        </w:rPr>
        <w:t>planografem</w:t>
      </w:r>
      <w:proofErr w:type="spellEnd"/>
      <w:r w:rsidRPr="00FA7F06">
        <w:rPr>
          <w:rFonts w:asciiTheme="minorHAnsi" w:hAnsiTheme="minorHAnsi"/>
          <w:sz w:val="16"/>
          <w:szCs w:val="16"/>
        </w:rPr>
        <w:t xml:space="preserve"> i taśmą mierniczą )</w:t>
      </w:r>
    </w:p>
    <w:p w14:paraId="1E03A95E"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5.5. Ocena wyników</w:t>
      </w:r>
    </w:p>
    <w:p w14:paraId="0D852A35"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Jakość wykonanych robót należy uznać za zgodne z zasadami, jeżeli nie stwierdzono wad niedopuszczalnych wg. zasad opisanych wyżej.</w:t>
      </w:r>
    </w:p>
    <w:p w14:paraId="48B0E96D"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5.6. Pielęgnacja</w:t>
      </w:r>
    </w:p>
    <w:p w14:paraId="45F7E0F3"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Pielęgnacja wykańczająca określona jest normą DIN 18035-5</w:t>
      </w:r>
    </w:p>
    <w:p w14:paraId="517DA8C3"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Generalnie, wystarczają następujące czynności do uzyskania stanu gotowości do odbioru:</w:t>
      </w:r>
    </w:p>
    <w:p w14:paraId="5CC01C8D"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nawadnianie, tak aby nawierzchnia na zmianę przesiąknięta była wodą a następnie wyschła  na całej powierzchni,</w:t>
      </w:r>
    </w:p>
    <w:p w14:paraId="511433A6"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lastRenderedPageBreak/>
        <w:t>- w fazie wysychania w stanie wilgotności gleby, musi być na zmianę walcowana na krzyż, przy czym należy unikać ścinania i przesuwania się materiału wierzchniego,</w:t>
      </w:r>
    </w:p>
    <w:p w14:paraId="0F0E4CC3"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wyrównanie do uzyskania płaskiej nawierzchni. Należy przy tym unikać przemieszczania się materiału wierzchniego.</w:t>
      </w:r>
    </w:p>
    <w:p w14:paraId="32A38612"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w przypadku uszkodzeń mechanicznych , uszkodzony fragment nawierzchni wyrównać przez ugrabienie lub uzupełnić nowym materiałem a następnie obficie nawodnić i skutecznie zagęścić.</w:t>
      </w:r>
    </w:p>
    <w:p w14:paraId="465B20FA"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xml:space="preserve"> </w:t>
      </w:r>
    </w:p>
    <w:p w14:paraId="310CF8C1"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6.  OBMIAR ROBÓT</w:t>
      </w:r>
    </w:p>
    <w:p w14:paraId="59AFC719"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Obmiar robót określa faktyczny zakres wykonanych robót zgodnie z dokumentacją wykonawczą.</w:t>
      </w:r>
    </w:p>
    <w:p w14:paraId="4775F2C2"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Jednostkami obmiarowymi robót jest liczba m2 powierzchni.</w:t>
      </w:r>
    </w:p>
    <w:p w14:paraId="12EECCCE" w14:textId="77777777" w:rsidR="00D01058" w:rsidRPr="00FA7F06" w:rsidRDefault="00D01058" w:rsidP="00D01058">
      <w:pPr>
        <w:pStyle w:val="Pro-Inwest"/>
        <w:jc w:val="both"/>
        <w:rPr>
          <w:rFonts w:asciiTheme="minorHAnsi" w:hAnsiTheme="minorHAnsi"/>
          <w:sz w:val="16"/>
          <w:szCs w:val="16"/>
        </w:rPr>
      </w:pPr>
    </w:p>
    <w:p w14:paraId="6E33A385"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7.   ODBIÓR ROBÓT</w:t>
      </w:r>
    </w:p>
    <w:p w14:paraId="4E15175B"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Badania przy odbiorze polegają na sprawdzeniu technicznych dokumentów kontrolnych i przeprowadzeniu pomiarów dla sprawdzenia wymogów podanych wyżej.</w:t>
      </w:r>
    </w:p>
    <w:p w14:paraId="1A2DE995" w14:textId="77777777" w:rsidR="00D01058" w:rsidRPr="00FA7F06" w:rsidRDefault="00D01058" w:rsidP="00D01058">
      <w:pPr>
        <w:pStyle w:val="Pro-Inwest"/>
        <w:jc w:val="both"/>
        <w:rPr>
          <w:rFonts w:asciiTheme="minorHAnsi" w:hAnsiTheme="minorHAnsi"/>
          <w:sz w:val="16"/>
          <w:szCs w:val="16"/>
        </w:rPr>
      </w:pPr>
    </w:p>
    <w:p w14:paraId="6E66C5B4"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8.   PODSTAWA PŁATNOŚCI</w:t>
      </w:r>
    </w:p>
    <w:p w14:paraId="77BB7CA7"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Jednostką obmiarowi jest powierzchnia. Obmiaru robót na budowie dokonuje Wykonawca w obecności Inspektora Nadzoru.</w:t>
      </w:r>
    </w:p>
    <w:p w14:paraId="6EAA1305" w14:textId="77777777" w:rsidR="00D01058" w:rsidRPr="00FA7F06" w:rsidRDefault="00D01058" w:rsidP="00D01058">
      <w:pPr>
        <w:pStyle w:val="Pro-Inwest"/>
        <w:jc w:val="both"/>
        <w:rPr>
          <w:rFonts w:asciiTheme="minorHAnsi" w:hAnsiTheme="minorHAnsi"/>
          <w:sz w:val="16"/>
          <w:szCs w:val="16"/>
        </w:rPr>
      </w:pPr>
    </w:p>
    <w:p w14:paraId="0DA88681"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9.   PRZEPISY ZWIĄZANE</w:t>
      </w:r>
    </w:p>
    <w:p w14:paraId="153CB4B2"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 xml:space="preserve">      </w:t>
      </w:r>
    </w:p>
    <w:p w14:paraId="54ECBC1F"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PN-EN 933 – 1</w:t>
      </w:r>
      <w:r w:rsidRPr="00FA7F06">
        <w:rPr>
          <w:rFonts w:asciiTheme="minorHAnsi" w:hAnsiTheme="minorHAnsi"/>
          <w:sz w:val="16"/>
          <w:szCs w:val="16"/>
        </w:rPr>
        <w:tab/>
        <w:t>Badanie uziarnienia, Badanie zawartości pyłów</w:t>
      </w:r>
    </w:p>
    <w:p w14:paraId="18F9D897"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PN-EN 933 – 3</w:t>
      </w:r>
      <w:r w:rsidRPr="00FA7F06">
        <w:rPr>
          <w:rFonts w:asciiTheme="minorHAnsi" w:hAnsiTheme="minorHAnsi"/>
          <w:sz w:val="16"/>
          <w:szCs w:val="16"/>
        </w:rPr>
        <w:tab/>
        <w:t>Oznaczanie kształtu ziaren</w:t>
      </w:r>
    </w:p>
    <w:p w14:paraId="43F6DED7"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PN-EN 1744 – 1</w:t>
      </w:r>
      <w:r w:rsidRPr="00FA7F06">
        <w:rPr>
          <w:rFonts w:asciiTheme="minorHAnsi" w:hAnsiTheme="minorHAnsi"/>
          <w:sz w:val="16"/>
          <w:szCs w:val="16"/>
        </w:rPr>
        <w:tab/>
        <w:t>Oznaczanie zawartości zanieczyszczeń organicznych</w:t>
      </w:r>
    </w:p>
    <w:p w14:paraId="70CFAA9B"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PN-S-06102</w:t>
      </w:r>
      <w:r w:rsidRPr="00FA7F06">
        <w:rPr>
          <w:rFonts w:asciiTheme="minorHAnsi" w:hAnsiTheme="minorHAnsi"/>
          <w:sz w:val="16"/>
          <w:szCs w:val="16"/>
        </w:rPr>
        <w:tab/>
        <w:t>Podbudowy z kruszyw stabilizowanych mechanicznie</w:t>
      </w:r>
    </w:p>
    <w:p w14:paraId="69D0E79B"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PN-B 11111</w:t>
      </w:r>
      <w:r w:rsidRPr="00FA7F06">
        <w:rPr>
          <w:rFonts w:asciiTheme="minorHAnsi" w:hAnsiTheme="minorHAnsi"/>
          <w:sz w:val="16"/>
          <w:szCs w:val="16"/>
        </w:rPr>
        <w:tab/>
        <w:t>Kruszywa mineralne</w:t>
      </w:r>
    </w:p>
    <w:p w14:paraId="0E520359"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BN-77/8931-/2</w:t>
      </w:r>
      <w:r w:rsidRPr="00FA7F06">
        <w:rPr>
          <w:rFonts w:asciiTheme="minorHAnsi" w:hAnsiTheme="minorHAnsi"/>
          <w:sz w:val="16"/>
          <w:szCs w:val="16"/>
        </w:rPr>
        <w:tab/>
        <w:t>Oznaczanie wskaźnika zagęszczania gruntu</w:t>
      </w:r>
    </w:p>
    <w:p w14:paraId="7B571F3B"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Atest higieniczny PZH nr. HK/B/1516/01/2011</w:t>
      </w:r>
    </w:p>
    <w:p w14:paraId="58561996"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Inne normy odpowiednie dla stosowanych materiałów i robót.</w:t>
      </w:r>
    </w:p>
    <w:p w14:paraId="7A2072C5" w14:textId="77777777" w:rsidR="00D01058" w:rsidRPr="00FA7F06" w:rsidRDefault="00D01058" w:rsidP="00D01058">
      <w:pPr>
        <w:pStyle w:val="Pro-Inwest"/>
        <w:jc w:val="both"/>
        <w:rPr>
          <w:rFonts w:asciiTheme="minorHAnsi" w:hAnsiTheme="minorHAnsi"/>
          <w:sz w:val="16"/>
          <w:szCs w:val="16"/>
        </w:rPr>
      </w:pPr>
    </w:p>
    <w:p w14:paraId="49DFE341" w14:textId="77777777" w:rsidR="00D01058" w:rsidRPr="00FA7F06" w:rsidRDefault="00D01058" w:rsidP="00D01058">
      <w:pPr>
        <w:pStyle w:val="Pro-Inwest"/>
        <w:jc w:val="both"/>
        <w:rPr>
          <w:rFonts w:asciiTheme="minorHAnsi" w:hAnsiTheme="minorHAnsi"/>
          <w:b/>
          <w:bCs/>
          <w:sz w:val="16"/>
          <w:szCs w:val="16"/>
        </w:rPr>
      </w:pPr>
      <w:r w:rsidRPr="00FA7F06">
        <w:rPr>
          <w:rFonts w:asciiTheme="minorHAnsi" w:hAnsiTheme="minorHAnsi"/>
          <w:b/>
          <w:bCs/>
          <w:sz w:val="16"/>
          <w:szCs w:val="16"/>
        </w:rPr>
        <w:t>9.1 Inne przepisy</w:t>
      </w:r>
    </w:p>
    <w:p w14:paraId="2D1E1FD6" w14:textId="77777777" w:rsidR="00D01058" w:rsidRPr="00FA7F06" w:rsidRDefault="00D01058" w:rsidP="00D01058">
      <w:pPr>
        <w:pStyle w:val="Pro-Inwest"/>
        <w:jc w:val="both"/>
        <w:rPr>
          <w:rFonts w:asciiTheme="minorHAnsi" w:hAnsiTheme="minorHAnsi"/>
          <w:sz w:val="16"/>
          <w:szCs w:val="16"/>
        </w:rPr>
      </w:pPr>
      <w:r w:rsidRPr="00FA7F06">
        <w:rPr>
          <w:rFonts w:asciiTheme="minorHAnsi" w:hAnsiTheme="minorHAnsi"/>
          <w:sz w:val="16"/>
          <w:szCs w:val="16"/>
        </w:rPr>
        <w:t>Ustawa z dnia 7 lipca 1994 r. Prawo budowlane ( tekst jednolity: Dz.U.03.207.2016 z późniejszymi zmianami.</w:t>
      </w:r>
    </w:p>
    <w:p w14:paraId="77B82BCE" w14:textId="77777777" w:rsidR="00D01058" w:rsidRPr="00FA7F06" w:rsidRDefault="00D01058" w:rsidP="00D01058">
      <w:pPr>
        <w:pStyle w:val="Pro-Inwest"/>
        <w:spacing w:line="240" w:lineRule="auto"/>
        <w:jc w:val="both"/>
        <w:rPr>
          <w:rFonts w:asciiTheme="minorHAnsi" w:hAnsiTheme="minorHAnsi"/>
          <w:b/>
          <w:sz w:val="16"/>
          <w:szCs w:val="16"/>
        </w:rPr>
      </w:pPr>
    </w:p>
    <w:p w14:paraId="6F758095" w14:textId="77777777" w:rsidR="00D01058" w:rsidRPr="00FA7F06" w:rsidRDefault="00D01058" w:rsidP="00D01058">
      <w:pPr>
        <w:pStyle w:val="Pro-Inwest"/>
        <w:spacing w:line="240" w:lineRule="auto"/>
        <w:jc w:val="both"/>
        <w:rPr>
          <w:rFonts w:asciiTheme="minorHAnsi" w:hAnsiTheme="minorHAnsi"/>
          <w:b/>
          <w:sz w:val="16"/>
          <w:szCs w:val="16"/>
        </w:rPr>
      </w:pPr>
    </w:p>
    <w:p w14:paraId="09D2D2FC" w14:textId="77777777" w:rsidR="00D01058" w:rsidRPr="00FA7F06" w:rsidRDefault="00D01058" w:rsidP="00D01058">
      <w:pPr>
        <w:pStyle w:val="Pro-Inwest"/>
        <w:spacing w:line="240" w:lineRule="auto"/>
        <w:jc w:val="both"/>
        <w:rPr>
          <w:rFonts w:asciiTheme="minorHAnsi" w:hAnsiTheme="minorHAnsi"/>
          <w:b/>
          <w:sz w:val="16"/>
          <w:szCs w:val="16"/>
        </w:rPr>
      </w:pPr>
    </w:p>
    <w:p w14:paraId="1085DD5A" w14:textId="77777777" w:rsidR="003A7D17" w:rsidRPr="00FA7F06" w:rsidRDefault="003A7D17" w:rsidP="001341E4">
      <w:pPr>
        <w:pStyle w:val="Pro-Inwest"/>
        <w:jc w:val="both"/>
        <w:rPr>
          <w:rFonts w:asciiTheme="minorHAnsi" w:hAnsiTheme="minorHAnsi"/>
          <w:b/>
          <w:sz w:val="18"/>
          <w:szCs w:val="18"/>
        </w:rPr>
      </w:pPr>
    </w:p>
    <w:p w14:paraId="68DCD86B" w14:textId="77777777" w:rsidR="00D01058" w:rsidRPr="00FA7F06" w:rsidRDefault="00D01058" w:rsidP="001341E4">
      <w:pPr>
        <w:pStyle w:val="Pro-Inwest"/>
        <w:jc w:val="both"/>
        <w:rPr>
          <w:rFonts w:asciiTheme="minorHAnsi" w:hAnsiTheme="minorHAnsi"/>
          <w:b/>
          <w:sz w:val="18"/>
          <w:szCs w:val="18"/>
        </w:rPr>
      </w:pPr>
    </w:p>
    <w:p w14:paraId="494EAFEC" w14:textId="77777777" w:rsidR="00D01058" w:rsidRPr="00021789" w:rsidRDefault="00D01058" w:rsidP="001341E4">
      <w:pPr>
        <w:pStyle w:val="Pro-Inwest"/>
        <w:jc w:val="both"/>
        <w:rPr>
          <w:rFonts w:asciiTheme="minorHAnsi" w:hAnsiTheme="minorHAnsi"/>
          <w:b/>
          <w:color w:val="FF0000"/>
          <w:sz w:val="18"/>
          <w:szCs w:val="18"/>
        </w:rPr>
      </w:pPr>
    </w:p>
    <w:p w14:paraId="5DB69973" w14:textId="77777777" w:rsidR="00D01058" w:rsidRPr="00021789" w:rsidRDefault="00D01058" w:rsidP="001341E4">
      <w:pPr>
        <w:pStyle w:val="Pro-Inwest"/>
        <w:jc w:val="both"/>
        <w:rPr>
          <w:rFonts w:asciiTheme="minorHAnsi" w:hAnsiTheme="minorHAnsi"/>
          <w:b/>
          <w:color w:val="FF0000"/>
          <w:sz w:val="18"/>
          <w:szCs w:val="18"/>
        </w:rPr>
      </w:pPr>
    </w:p>
    <w:p w14:paraId="76D97D30" w14:textId="77777777" w:rsidR="00D01058" w:rsidRPr="00021789" w:rsidRDefault="00D01058" w:rsidP="001341E4">
      <w:pPr>
        <w:pStyle w:val="Pro-Inwest"/>
        <w:jc w:val="both"/>
        <w:rPr>
          <w:rFonts w:asciiTheme="minorHAnsi" w:hAnsiTheme="minorHAnsi"/>
          <w:b/>
          <w:color w:val="FF0000"/>
          <w:sz w:val="18"/>
          <w:szCs w:val="18"/>
        </w:rPr>
      </w:pPr>
    </w:p>
    <w:p w14:paraId="147466D9" w14:textId="77777777" w:rsidR="00D01058" w:rsidRPr="00021789" w:rsidRDefault="00D01058" w:rsidP="001341E4">
      <w:pPr>
        <w:pStyle w:val="Pro-Inwest"/>
        <w:jc w:val="both"/>
        <w:rPr>
          <w:rFonts w:asciiTheme="minorHAnsi" w:hAnsiTheme="minorHAnsi"/>
          <w:b/>
          <w:color w:val="FF0000"/>
          <w:sz w:val="18"/>
          <w:szCs w:val="18"/>
        </w:rPr>
      </w:pPr>
    </w:p>
    <w:p w14:paraId="49E1325D" w14:textId="77777777" w:rsidR="00D01058" w:rsidRPr="00021789" w:rsidRDefault="00D01058" w:rsidP="001341E4">
      <w:pPr>
        <w:pStyle w:val="Pro-Inwest"/>
        <w:jc w:val="both"/>
        <w:rPr>
          <w:rFonts w:asciiTheme="minorHAnsi" w:hAnsiTheme="minorHAnsi"/>
          <w:b/>
          <w:color w:val="FF0000"/>
          <w:sz w:val="18"/>
          <w:szCs w:val="18"/>
        </w:rPr>
      </w:pPr>
    </w:p>
    <w:p w14:paraId="7D79096D" w14:textId="77777777" w:rsidR="00D01058" w:rsidRPr="00021789" w:rsidRDefault="00D01058" w:rsidP="001341E4">
      <w:pPr>
        <w:pStyle w:val="Pro-Inwest"/>
        <w:jc w:val="both"/>
        <w:rPr>
          <w:rFonts w:asciiTheme="minorHAnsi" w:hAnsiTheme="minorHAnsi"/>
          <w:b/>
          <w:color w:val="FF0000"/>
          <w:sz w:val="18"/>
          <w:szCs w:val="18"/>
        </w:rPr>
      </w:pPr>
    </w:p>
    <w:p w14:paraId="64E52A64" w14:textId="77777777" w:rsidR="00D01058" w:rsidRPr="00021789" w:rsidRDefault="00D01058" w:rsidP="001341E4">
      <w:pPr>
        <w:pStyle w:val="Pro-Inwest"/>
        <w:jc w:val="both"/>
        <w:rPr>
          <w:rFonts w:asciiTheme="minorHAnsi" w:hAnsiTheme="minorHAnsi"/>
          <w:b/>
          <w:color w:val="FF0000"/>
          <w:sz w:val="18"/>
          <w:szCs w:val="18"/>
        </w:rPr>
      </w:pPr>
    </w:p>
    <w:p w14:paraId="543D1748" w14:textId="77777777" w:rsidR="00D01058" w:rsidRPr="00021789" w:rsidRDefault="00D01058" w:rsidP="001341E4">
      <w:pPr>
        <w:pStyle w:val="Pro-Inwest"/>
        <w:jc w:val="both"/>
        <w:rPr>
          <w:rFonts w:asciiTheme="minorHAnsi" w:hAnsiTheme="minorHAnsi"/>
          <w:b/>
          <w:color w:val="FF0000"/>
          <w:sz w:val="18"/>
          <w:szCs w:val="18"/>
        </w:rPr>
      </w:pPr>
    </w:p>
    <w:p w14:paraId="5FB602B9" w14:textId="77777777" w:rsidR="00D01058" w:rsidRPr="00021789" w:rsidRDefault="00D01058" w:rsidP="001341E4">
      <w:pPr>
        <w:pStyle w:val="Pro-Inwest"/>
        <w:jc w:val="both"/>
        <w:rPr>
          <w:rFonts w:asciiTheme="minorHAnsi" w:hAnsiTheme="minorHAnsi"/>
          <w:b/>
          <w:color w:val="FF0000"/>
          <w:sz w:val="18"/>
          <w:szCs w:val="18"/>
        </w:rPr>
      </w:pPr>
    </w:p>
    <w:p w14:paraId="068602EB" w14:textId="77777777" w:rsidR="00D01058" w:rsidRPr="00021789" w:rsidRDefault="00D01058" w:rsidP="001341E4">
      <w:pPr>
        <w:pStyle w:val="Pro-Inwest"/>
        <w:jc w:val="both"/>
        <w:rPr>
          <w:rFonts w:asciiTheme="minorHAnsi" w:hAnsiTheme="minorHAnsi"/>
          <w:b/>
          <w:color w:val="FF0000"/>
          <w:sz w:val="18"/>
          <w:szCs w:val="18"/>
        </w:rPr>
      </w:pPr>
    </w:p>
    <w:p w14:paraId="23455E8D" w14:textId="77777777" w:rsidR="00D01058" w:rsidRPr="00021789" w:rsidRDefault="00D01058" w:rsidP="001341E4">
      <w:pPr>
        <w:pStyle w:val="Pro-Inwest"/>
        <w:jc w:val="both"/>
        <w:rPr>
          <w:rFonts w:asciiTheme="minorHAnsi" w:hAnsiTheme="minorHAnsi"/>
          <w:b/>
          <w:color w:val="FF0000"/>
          <w:sz w:val="18"/>
          <w:szCs w:val="18"/>
        </w:rPr>
      </w:pPr>
    </w:p>
    <w:p w14:paraId="09726C6A" w14:textId="77777777" w:rsidR="00D01058" w:rsidRPr="00021789" w:rsidRDefault="00D01058" w:rsidP="001341E4">
      <w:pPr>
        <w:pStyle w:val="Pro-Inwest"/>
        <w:jc w:val="both"/>
        <w:rPr>
          <w:rFonts w:asciiTheme="minorHAnsi" w:hAnsiTheme="minorHAnsi"/>
          <w:b/>
          <w:color w:val="FF0000"/>
          <w:sz w:val="18"/>
          <w:szCs w:val="18"/>
        </w:rPr>
      </w:pPr>
    </w:p>
    <w:p w14:paraId="2A796B67" w14:textId="77777777" w:rsidR="00D01058" w:rsidRPr="00021789" w:rsidRDefault="00D01058" w:rsidP="001341E4">
      <w:pPr>
        <w:pStyle w:val="Pro-Inwest"/>
        <w:jc w:val="both"/>
        <w:rPr>
          <w:rFonts w:asciiTheme="minorHAnsi" w:hAnsiTheme="minorHAnsi"/>
          <w:b/>
          <w:color w:val="FF0000"/>
          <w:sz w:val="18"/>
          <w:szCs w:val="18"/>
        </w:rPr>
      </w:pPr>
    </w:p>
    <w:p w14:paraId="7750F71F" w14:textId="77777777" w:rsidR="00D01058" w:rsidRPr="00021789" w:rsidRDefault="00D01058" w:rsidP="001341E4">
      <w:pPr>
        <w:pStyle w:val="Pro-Inwest"/>
        <w:jc w:val="both"/>
        <w:rPr>
          <w:rFonts w:asciiTheme="minorHAnsi" w:hAnsiTheme="minorHAnsi"/>
          <w:b/>
          <w:color w:val="FF0000"/>
          <w:sz w:val="18"/>
          <w:szCs w:val="18"/>
        </w:rPr>
      </w:pPr>
    </w:p>
    <w:p w14:paraId="4DCFDCF2" w14:textId="77777777" w:rsidR="00D01058" w:rsidRPr="00021789" w:rsidRDefault="00D01058" w:rsidP="001341E4">
      <w:pPr>
        <w:pStyle w:val="Pro-Inwest"/>
        <w:jc w:val="both"/>
        <w:rPr>
          <w:rFonts w:asciiTheme="minorHAnsi" w:hAnsiTheme="minorHAnsi"/>
          <w:b/>
          <w:color w:val="FF0000"/>
          <w:sz w:val="18"/>
          <w:szCs w:val="18"/>
        </w:rPr>
      </w:pPr>
    </w:p>
    <w:p w14:paraId="76511568" w14:textId="77777777" w:rsidR="00D01058" w:rsidRPr="00021789" w:rsidRDefault="00D01058" w:rsidP="001341E4">
      <w:pPr>
        <w:pStyle w:val="Pro-Inwest"/>
        <w:jc w:val="both"/>
        <w:rPr>
          <w:rFonts w:asciiTheme="minorHAnsi" w:hAnsiTheme="minorHAnsi"/>
          <w:b/>
          <w:color w:val="FF0000"/>
          <w:sz w:val="18"/>
          <w:szCs w:val="18"/>
        </w:rPr>
      </w:pPr>
    </w:p>
    <w:p w14:paraId="1CBE1740" w14:textId="77777777" w:rsidR="00D01058" w:rsidRPr="00021789" w:rsidRDefault="00D01058" w:rsidP="001341E4">
      <w:pPr>
        <w:pStyle w:val="Pro-Inwest"/>
        <w:jc w:val="both"/>
        <w:rPr>
          <w:rFonts w:asciiTheme="minorHAnsi" w:hAnsiTheme="minorHAnsi"/>
          <w:b/>
          <w:color w:val="FF0000"/>
          <w:sz w:val="18"/>
          <w:szCs w:val="18"/>
        </w:rPr>
      </w:pPr>
    </w:p>
    <w:p w14:paraId="52A9800B" w14:textId="77777777" w:rsidR="00D01058" w:rsidRPr="00021789" w:rsidRDefault="00D01058" w:rsidP="001341E4">
      <w:pPr>
        <w:pStyle w:val="Pro-Inwest"/>
        <w:jc w:val="both"/>
        <w:rPr>
          <w:rFonts w:asciiTheme="minorHAnsi" w:hAnsiTheme="minorHAnsi"/>
          <w:b/>
          <w:color w:val="FF0000"/>
          <w:sz w:val="18"/>
          <w:szCs w:val="18"/>
        </w:rPr>
      </w:pPr>
    </w:p>
    <w:p w14:paraId="7760987F" w14:textId="77777777" w:rsidR="00AF6417" w:rsidRPr="00021789" w:rsidRDefault="00AF6417" w:rsidP="001341E4">
      <w:pPr>
        <w:pStyle w:val="Pro-Inwest"/>
        <w:jc w:val="both"/>
        <w:rPr>
          <w:rFonts w:asciiTheme="minorHAnsi" w:hAnsiTheme="minorHAnsi"/>
          <w:b/>
          <w:color w:val="FF0000"/>
          <w:sz w:val="18"/>
          <w:szCs w:val="18"/>
        </w:rPr>
      </w:pPr>
    </w:p>
    <w:p w14:paraId="21CF1BAF" w14:textId="77777777" w:rsidR="00D01058" w:rsidRDefault="00D01058" w:rsidP="001341E4">
      <w:pPr>
        <w:pStyle w:val="Pro-Inwest"/>
        <w:jc w:val="both"/>
        <w:rPr>
          <w:rFonts w:asciiTheme="minorHAnsi" w:hAnsiTheme="minorHAnsi"/>
          <w:b/>
          <w:color w:val="FF0000"/>
          <w:sz w:val="18"/>
          <w:szCs w:val="18"/>
        </w:rPr>
      </w:pPr>
    </w:p>
    <w:p w14:paraId="1E364158" w14:textId="77777777" w:rsidR="00FA7F06" w:rsidRDefault="00FA7F06" w:rsidP="001341E4">
      <w:pPr>
        <w:pStyle w:val="Pro-Inwest"/>
        <w:jc w:val="both"/>
        <w:rPr>
          <w:rFonts w:asciiTheme="minorHAnsi" w:hAnsiTheme="minorHAnsi"/>
          <w:b/>
          <w:color w:val="FF0000"/>
          <w:sz w:val="18"/>
          <w:szCs w:val="18"/>
        </w:rPr>
      </w:pPr>
    </w:p>
    <w:p w14:paraId="148D7BE5" w14:textId="77777777" w:rsidR="00FA7F06" w:rsidRDefault="00FA7F06" w:rsidP="001341E4">
      <w:pPr>
        <w:pStyle w:val="Pro-Inwest"/>
        <w:jc w:val="both"/>
        <w:rPr>
          <w:rFonts w:asciiTheme="minorHAnsi" w:hAnsiTheme="minorHAnsi"/>
          <w:b/>
          <w:color w:val="FF0000"/>
          <w:sz w:val="18"/>
          <w:szCs w:val="18"/>
        </w:rPr>
      </w:pPr>
    </w:p>
    <w:p w14:paraId="5258718D" w14:textId="77777777" w:rsidR="00FA7F06" w:rsidRDefault="00FA7F06" w:rsidP="001341E4">
      <w:pPr>
        <w:pStyle w:val="Pro-Inwest"/>
        <w:jc w:val="both"/>
        <w:rPr>
          <w:rFonts w:asciiTheme="minorHAnsi" w:hAnsiTheme="minorHAnsi"/>
          <w:b/>
          <w:color w:val="FF0000"/>
          <w:sz w:val="18"/>
          <w:szCs w:val="18"/>
        </w:rPr>
      </w:pPr>
    </w:p>
    <w:p w14:paraId="435EE14C" w14:textId="77777777" w:rsidR="00FA7F06" w:rsidRDefault="00FA7F06" w:rsidP="001341E4">
      <w:pPr>
        <w:pStyle w:val="Pro-Inwest"/>
        <w:jc w:val="both"/>
        <w:rPr>
          <w:rFonts w:asciiTheme="minorHAnsi" w:hAnsiTheme="minorHAnsi"/>
          <w:b/>
          <w:color w:val="FF0000"/>
          <w:sz w:val="18"/>
          <w:szCs w:val="18"/>
        </w:rPr>
      </w:pPr>
    </w:p>
    <w:p w14:paraId="59AA8113" w14:textId="77777777" w:rsidR="00FA7F06" w:rsidRPr="00021789" w:rsidRDefault="00FA7F06" w:rsidP="001341E4">
      <w:pPr>
        <w:pStyle w:val="Pro-Inwest"/>
        <w:jc w:val="both"/>
        <w:rPr>
          <w:rFonts w:asciiTheme="minorHAnsi" w:hAnsiTheme="minorHAnsi"/>
          <w:b/>
          <w:color w:val="FF0000"/>
          <w:sz w:val="18"/>
          <w:szCs w:val="18"/>
        </w:rPr>
      </w:pPr>
    </w:p>
    <w:p w14:paraId="47422227" w14:textId="77777777" w:rsidR="00C11DEF" w:rsidRPr="00FA7F06" w:rsidRDefault="00C11DEF" w:rsidP="00C11DEF">
      <w:pPr>
        <w:pStyle w:val="Pro-Inwest"/>
        <w:jc w:val="both"/>
        <w:rPr>
          <w:rFonts w:asciiTheme="minorHAnsi" w:hAnsiTheme="minorHAnsi"/>
          <w:b/>
          <w:sz w:val="16"/>
          <w:szCs w:val="16"/>
        </w:rPr>
      </w:pPr>
      <w:r w:rsidRPr="00FA7F06">
        <w:rPr>
          <w:rFonts w:asciiTheme="minorHAnsi" w:hAnsiTheme="minorHAnsi"/>
          <w:b/>
          <w:sz w:val="16"/>
          <w:szCs w:val="16"/>
        </w:rPr>
        <w:lastRenderedPageBreak/>
        <w:t>D.05.03.01 NAWIERZCHNIA Z KOSTKI KAMIENNEJ</w:t>
      </w:r>
    </w:p>
    <w:p w14:paraId="4F24FE5F" w14:textId="77777777" w:rsidR="00C11DEF" w:rsidRPr="00FA7F06" w:rsidRDefault="00C11DEF" w:rsidP="00C11DEF">
      <w:pPr>
        <w:spacing w:after="0"/>
        <w:jc w:val="both"/>
        <w:rPr>
          <w:b/>
          <w:sz w:val="16"/>
          <w:szCs w:val="16"/>
        </w:rPr>
      </w:pPr>
    </w:p>
    <w:p w14:paraId="593F51EF" w14:textId="77777777" w:rsidR="00C11DEF" w:rsidRPr="00FA7F06" w:rsidRDefault="00C11DEF" w:rsidP="00C11DEF">
      <w:pPr>
        <w:spacing w:after="0"/>
        <w:jc w:val="both"/>
        <w:rPr>
          <w:b/>
          <w:sz w:val="16"/>
          <w:szCs w:val="16"/>
        </w:rPr>
      </w:pPr>
      <w:r w:rsidRPr="00FA7F06">
        <w:rPr>
          <w:b/>
          <w:sz w:val="16"/>
          <w:szCs w:val="16"/>
        </w:rPr>
        <w:t>1. WSTĘP</w:t>
      </w:r>
    </w:p>
    <w:p w14:paraId="6D372C57" w14:textId="77777777" w:rsidR="00C11DEF" w:rsidRPr="00FA7F06" w:rsidRDefault="00C11DEF" w:rsidP="00C11DEF">
      <w:pPr>
        <w:spacing w:after="0"/>
        <w:jc w:val="both"/>
        <w:rPr>
          <w:b/>
          <w:sz w:val="16"/>
          <w:szCs w:val="16"/>
        </w:rPr>
      </w:pPr>
      <w:r w:rsidRPr="00FA7F06">
        <w:rPr>
          <w:b/>
          <w:sz w:val="16"/>
          <w:szCs w:val="16"/>
        </w:rPr>
        <w:t xml:space="preserve">1.1. Przedmiot </w:t>
      </w:r>
      <w:proofErr w:type="spellStart"/>
      <w:r w:rsidRPr="00FA7F06">
        <w:rPr>
          <w:b/>
          <w:sz w:val="16"/>
          <w:szCs w:val="16"/>
        </w:rPr>
        <w:t>STWiORB</w:t>
      </w:r>
      <w:proofErr w:type="spellEnd"/>
    </w:p>
    <w:p w14:paraId="78AD02BC" w14:textId="77777777" w:rsidR="00C11DEF" w:rsidRPr="00FA7F06" w:rsidRDefault="00C11DEF" w:rsidP="00C11DEF">
      <w:pPr>
        <w:spacing w:after="0"/>
        <w:jc w:val="both"/>
        <w:rPr>
          <w:sz w:val="16"/>
          <w:szCs w:val="16"/>
        </w:rPr>
      </w:pPr>
      <w:r w:rsidRPr="00FA7F06">
        <w:rPr>
          <w:sz w:val="16"/>
          <w:szCs w:val="16"/>
        </w:rPr>
        <w:t>Przedmiotem niniejszej specyfikacji technicznej wykonania i odbioru robót budowlanych (</w:t>
      </w:r>
      <w:proofErr w:type="spellStart"/>
      <w:r w:rsidRPr="00FA7F06">
        <w:rPr>
          <w:sz w:val="16"/>
          <w:szCs w:val="16"/>
        </w:rPr>
        <w:t>STWiORB</w:t>
      </w:r>
      <w:proofErr w:type="spellEnd"/>
      <w:r w:rsidRPr="00FA7F06">
        <w:rPr>
          <w:sz w:val="16"/>
          <w:szCs w:val="16"/>
        </w:rPr>
        <w:t>) są wymagania dotyczące wykonania</w:t>
      </w:r>
      <w:r w:rsidRPr="00FA7F06">
        <w:rPr>
          <w:sz w:val="16"/>
          <w:szCs w:val="16"/>
        </w:rPr>
        <w:br/>
        <w:t>i odbioru robót związanych z wykonywaniem nawierzchni z kostki kamiennej.</w:t>
      </w:r>
    </w:p>
    <w:p w14:paraId="204ECD53" w14:textId="77777777" w:rsidR="00C11DEF" w:rsidRPr="00FA7F06" w:rsidRDefault="00C11DEF" w:rsidP="00C11DEF">
      <w:pPr>
        <w:spacing w:after="0"/>
        <w:jc w:val="both"/>
        <w:rPr>
          <w:b/>
          <w:sz w:val="16"/>
          <w:szCs w:val="16"/>
        </w:rPr>
      </w:pPr>
      <w:r w:rsidRPr="00FA7F06">
        <w:rPr>
          <w:b/>
          <w:sz w:val="16"/>
          <w:szCs w:val="16"/>
        </w:rPr>
        <w:t xml:space="preserve">1.2. Zakres stosowania </w:t>
      </w:r>
      <w:proofErr w:type="spellStart"/>
      <w:r w:rsidRPr="00FA7F06">
        <w:rPr>
          <w:b/>
          <w:sz w:val="16"/>
          <w:szCs w:val="16"/>
        </w:rPr>
        <w:t>STWiORB</w:t>
      </w:r>
      <w:proofErr w:type="spellEnd"/>
    </w:p>
    <w:p w14:paraId="0A27B9B4" w14:textId="77777777" w:rsidR="00C11DEF" w:rsidRPr="00FA7F06" w:rsidRDefault="00C11DEF" w:rsidP="00C11DEF">
      <w:pPr>
        <w:spacing w:after="0"/>
        <w:jc w:val="both"/>
        <w:rPr>
          <w:sz w:val="16"/>
          <w:szCs w:val="16"/>
        </w:rPr>
      </w:pPr>
      <w:r w:rsidRPr="00FA7F06">
        <w:rPr>
          <w:sz w:val="16"/>
          <w:szCs w:val="16"/>
        </w:rPr>
        <w:t>Specyfikacja techniczna wykonania i odbioru robót budowlanych (</w:t>
      </w:r>
      <w:proofErr w:type="spellStart"/>
      <w:r w:rsidRPr="00FA7F06">
        <w:rPr>
          <w:sz w:val="16"/>
          <w:szCs w:val="16"/>
        </w:rPr>
        <w:t>STWiORB</w:t>
      </w:r>
      <w:proofErr w:type="spellEnd"/>
      <w:r w:rsidRPr="00FA7F06">
        <w:rPr>
          <w:sz w:val="16"/>
          <w:szCs w:val="16"/>
        </w:rPr>
        <w:t>) stanowi dokument przetargowy i kontraktowy przy zlecaniu</w:t>
      </w:r>
      <w:r w:rsidRPr="00FA7F06">
        <w:rPr>
          <w:sz w:val="16"/>
          <w:szCs w:val="16"/>
        </w:rPr>
        <w:br/>
        <w:t>i realizacji robót drogowych.</w:t>
      </w:r>
    </w:p>
    <w:p w14:paraId="310BEBFC" w14:textId="77777777" w:rsidR="00C11DEF" w:rsidRPr="00FA7F06" w:rsidRDefault="00C11DEF" w:rsidP="00C11DEF">
      <w:pPr>
        <w:spacing w:after="0"/>
        <w:jc w:val="both"/>
        <w:rPr>
          <w:b/>
          <w:sz w:val="16"/>
          <w:szCs w:val="16"/>
        </w:rPr>
      </w:pPr>
      <w:r w:rsidRPr="00FA7F06">
        <w:rPr>
          <w:b/>
          <w:sz w:val="16"/>
          <w:szCs w:val="16"/>
        </w:rPr>
        <w:t xml:space="preserve">1.3. Zakres robót objętych </w:t>
      </w:r>
      <w:proofErr w:type="spellStart"/>
      <w:r w:rsidRPr="00FA7F06">
        <w:rPr>
          <w:b/>
          <w:sz w:val="16"/>
          <w:szCs w:val="16"/>
        </w:rPr>
        <w:t>STWiORB</w:t>
      </w:r>
      <w:proofErr w:type="spellEnd"/>
    </w:p>
    <w:p w14:paraId="3168E1DD" w14:textId="77777777" w:rsidR="00C11DEF" w:rsidRPr="00FA7F06" w:rsidRDefault="00C11DEF" w:rsidP="00C11DEF">
      <w:pPr>
        <w:spacing w:after="0"/>
        <w:jc w:val="both"/>
        <w:rPr>
          <w:sz w:val="16"/>
          <w:szCs w:val="16"/>
        </w:rPr>
      </w:pPr>
      <w:r w:rsidRPr="00FA7F06">
        <w:rPr>
          <w:sz w:val="16"/>
          <w:szCs w:val="16"/>
        </w:rPr>
        <w:t>Ustalenia zawarte w niniejszej specyfikacji dotyczą zasad prowadzenia robót związanych z wykonywaniem nawierzchni kostkowych.</w:t>
      </w:r>
    </w:p>
    <w:p w14:paraId="1FADA16C" w14:textId="77777777" w:rsidR="00C11DEF" w:rsidRPr="00FA7F06" w:rsidRDefault="00C11DEF" w:rsidP="00C11DEF">
      <w:pPr>
        <w:spacing w:after="0"/>
        <w:jc w:val="both"/>
        <w:rPr>
          <w:b/>
          <w:sz w:val="16"/>
          <w:szCs w:val="16"/>
        </w:rPr>
      </w:pPr>
      <w:r w:rsidRPr="00FA7F06">
        <w:rPr>
          <w:b/>
          <w:sz w:val="16"/>
          <w:szCs w:val="16"/>
        </w:rPr>
        <w:t>1.4. Określenia podstawowe</w:t>
      </w:r>
    </w:p>
    <w:p w14:paraId="6316604F" w14:textId="77777777" w:rsidR="00C11DEF" w:rsidRPr="00FA7F06" w:rsidRDefault="00C11DEF" w:rsidP="00C11DEF">
      <w:pPr>
        <w:spacing w:after="0"/>
        <w:jc w:val="both"/>
        <w:rPr>
          <w:sz w:val="16"/>
          <w:szCs w:val="16"/>
        </w:rPr>
      </w:pPr>
      <w:r w:rsidRPr="00FA7F06">
        <w:rPr>
          <w:sz w:val="16"/>
          <w:szCs w:val="16"/>
        </w:rPr>
        <w:t>1.4.1. Nawierzchnia twarda ulepszona - nawierzchnia bezpylna i dostatecznie równa, przystosowana do szybkiego ruchu samochodowego.</w:t>
      </w:r>
    </w:p>
    <w:p w14:paraId="6C7999C1" w14:textId="77777777" w:rsidR="00C11DEF" w:rsidRPr="00FA7F06" w:rsidRDefault="00C11DEF" w:rsidP="00C11DEF">
      <w:pPr>
        <w:spacing w:after="0"/>
        <w:jc w:val="both"/>
        <w:rPr>
          <w:sz w:val="16"/>
          <w:szCs w:val="16"/>
        </w:rPr>
      </w:pPr>
      <w:r w:rsidRPr="00FA7F06">
        <w:rPr>
          <w:sz w:val="16"/>
          <w:szCs w:val="16"/>
        </w:rPr>
        <w:t>1.4.2. Nawierzchnia kostkowa - nawierzchnia, której warstwa ścieralna jest wykonana z kostek kamiennych.</w:t>
      </w:r>
    </w:p>
    <w:p w14:paraId="100C5FE7" w14:textId="77777777" w:rsidR="00C11DEF" w:rsidRPr="00FA7F06" w:rsidRDefault="00C11DEF" w:rsidP="00C11DEF">
      <w:pPr>
        <w:spacing w:after="0"/>
        <w:jc w:val="both"/>
        <w:rPr>
          <w:sz w:val="16"/>
          <w:szCs w:val="16"/>
        </w:rPr>
      </w:pPr>
      <w:r w:rsidRPr="00FA7F06">
        <w:rPr>
          <w:sz w:val="16"/>
          <w:szCs w:val="16"/>
        </w:rPr>
        <w:t xml:space="preserve">1.4.3. Pozostałe określenia podstawowe są zgodne z obowiązującymi, odpowiednimi polskimi normami i z definicjami podanymi w </w:t>
      </w:r>
      <w:proofErr w:type="spellStart"/>
      <w:r w:rsidRPr="00FA7F06">
        <w:rPr>
          <w:sz w:val="16"/>
          <w:szCs w:val="16"/>
        </w:rPr>
        <w:t>STWiORB</w:t>
      </w:r>
      <w:proofErr w:type="spellEnd"/>
      <w:r w:rsidRPr="00FA7F06">
        <w:rPr>
          <w:sz w:val="16"/>
          <w:szCs w:val="16"/>
        </w:rPr>
        <w:t xml:space="preserve"> D-M-00.00.00 „Wymagania ogólne” pkt 1.4.</w:t>
      </w:r>
    </w:p>
    <w:p w14:paraId="45C7CBDA" w14:textId="77777777" w:rsidR="00C11DEF" w:rsidRPr="00FA7F06" w:rsidRDefault="00C11DEF" w:rsidP="00C11DEF">
      <w:pPr>
        <w:spacing w:after="0"/>
        <w:jc w:val="both"/>
        <w:rPr>
          <w:sz w:val="16"/>
          <w:szCs w:val="16"/>
        </w:rPr>
      </w:pPr>
      <w:r w:rsidRPr="00FA7F06">
        <w:rPr>
          <w:b/>
          <w:sz w:val="16"/>
          <w:szCs w:val="16"/>
        </w:rPr>
        <w:t>1.5. Ogólne wymagania dotyczące robót</w:t>
      </w:r>
      <w:r w:rsidRPr="00FA7F06">
        <w:rPr>
          <w:sz w:val="16"/>
          <w:szCs w:val="16"/>
        </w:rPr>
        <w:t xml:space="preserve"> </w:t>
      </w:r>
    </w:p>
    <w:p w14:paraId="1CE4471C" w14:textId="77777777" w:rsidR="00C11DEF" w:rsidRPr="00FA7F06" w:rsidRDefault="00C11DEF" w:rsidP="00C11DEF">
      <w:pPr>
        <w:spacing w:after="0"/>
        <w:jc w:val="both"/>
        <w:rPr>
          <w:sz w:val="16"/>
          <w:szCs w:val="16"/>
        </w:rPr>
      </w:pPr>
      <w:r w:rsidRPr="00FA7F06">
        <w:rPr>
          <w:sz w:val="16"/>
          <w:szCs w:val="16"/>
        </w:rPr>
        <w:t xml:space="preserve">Ogólne wymagania dotyczące robót podano w </w:t>
      </w:r>
      <w:proofErr w:type="spellStart"/>
      <w:r w:rsidRPr="00FA7F06">
        <w:rPr>
          <w:sz w:val="16"/>
          <w:szCs w:val="16"/>
        </w:rPr>
        <w:t>STWiORB</w:t>
      </w:r>
      <w:proofErr w:type="spellEnd"/>
      <w:r w:rsidRPr="00FA7F06">
        <w:rPr>
          <w:sz w:val="16"/>
          <w:szCs w:val="16"/>
        </w:rPr>
        <w:t xml:space="preserve"> D-M-00.00.00 „Wymagania ogólne” pkt 1.5.</w:t>
      </w:r>
    </w:p>
    <w:p w14:paraId="7C88B9A3" w14:textId="77777777" w:rsidR="00C11DEF" w:rsidRPr="00FA7F06" w:rsidRDefault="00C11DEF" w:rsidP="00C11DEF">
      <w:pPr>
        <w:spacing w:after="0"/>
        <w:jc w:val="both"/>
        <w:rPr>
          <w:sz w:val="16"/>
          <w:szCs w:val="16"/>
        </w:rPr>
      </w:pPr>
    </w:p>
    <w:p w14:paraId="24469276" w14:textId="77777777" w:rsidR="00C11DEF" w:rsidRPr="00FA7F06" w:rsidRDefault="00C11DEF" w:rsidP="00C11DEF">
      <w:pPr>
        <w:spacing w:after="0"/>
        <w:jc w:val="both"/>
        <w:rPr>
          <w:b/>
          <w:sz w:val="16"/>
          <w:szCs w:val="16"/>
        </w:rPr>
      </w:pPr>
      <w:r w:rsidRPr="00FA7F06">
        <w:rPr>
          <w:b/>
          <w:sz w:val="16"/>
          <w:szCs w:val="16"/>
        </w:rPr>
        <w:t>2. MATERIAŁY</w:t>
      </w:r>
    </w:p>
    <w:p w14:paraId="426D703D" w14:textId="77777777" w:rsidR="00C11DEF" w:rsidRPr="00FA7F06" w:rsidRDefault="00C11DEF" w:rsidP="00C11DEF">
      <w:pPr>
        <w:spacing w:after="0"/>
        <w:jc w:val="both"/>
        <w:rPr>
          <w:b/>
          <w:sz w:val="16"/>
          <w:szCs w:val="16"/>
        </w:rPr>
      </w:pPr>
      <w:r w:rsidRPr="00FA7F06">
        <w:rPr>
          <w:b/>
          <w:sz w:val="16"/>
          <w:szCs w:val="16"/>
        </w:rPr>
        <w:t>2.1. Ogólne wymagania dotyczące materiałów</w:t>
      </w:r>
    </w:p>
    <w:p w14:paraId="7B77B6EA" w14:textId="77777777" w:rsidR="00C11DEF" w:rsidRPr="00FA7F06" w:rsidRDefault="00C11DEF" w:rsidP="00C11DEF">
      <w:pPr>
        <w:spacing w:after="0"/>
        <w:jc w:val="both"/>
        <w:rPr>
          <w:sz w:val="16"/>
          <w:szCs w:val="16"/>
        </w:rPr>
      </w:pPr>
      <w:r w:rsidRPr="00FA7F06">
        <w:rPr>
          <w:sz w:val="16"/>
          <w:szCs w:val="16"/>
        </w:rPr>
        <w:t xml:space="preserve">Ogólne wymagania dotyczące materiałów, ich pozyskiwania i składowania, podano w </w:t>
      </w:r>
      <w:proofErr w:type="spellStart"/>
      <w:r w:rsidRPr="00FA7F06">
        <w:rPr>
          <w:sz w:val="16"/>
          <w:szCs w:val="16"/>
        </w:rPr>
        <w:t>STWiORB</w:t>
      </w:r>
      <w:proofErr w:type="spellEnd"/>
      <w:r w:rsidRPr="00FA7F06">
        <w:rPr>
          <w:sz w:val="16"/>
          <w:szCs w:val="16"/>
        </w:rPr>
        <w:t xml:space="preserve"> D-M-00.00.00 „Wymagania ogólne” pkt 2.</w:t>
      </w:r>
    </w:p>
    <w:p w14:paraId="3AB11848" w14:textId="77777777" w:rsidR="00C11DEF" w:rsidRPr="00FA7F06" w:rsidRDefault="00C11DEF" w:rsidP="00C11DEF">
      <w:pPr>
        <w:spacing w:after="0"/>
        <w:jc w:val="both"/>
        <w:rPr>
          <w:b/>
          <w:sz w:val="16"/>
          <w:szCs w:val="16"/>
        </w:rPr>
      </w:pPr>
      <w:r w:rsidRPr="00FA7F06">
        <w:rPr>
          <w:b/>
          <w:sz w:val="16"/>
          <w:szCs w:val="16"/>
        </w:rPr>
        <w:t>2.2. Kamienna kostka drogowa</w:t>
      </w:r>
    </w:p>
    <w:p w14:paraId="36FD63F0" w14:textId="77777777" w:rsidR="00C11DEF" w:rsidRPr="00FA7F06" w:rsidRDefault="00C11DEF" w:rsidP="00C11DEF">
      <w:pPr>
        <w:spacing w:after="0"/>
        <w:jc w:val="both"/>
        <w:rPr>
          <w:sz w:val="16"/>
          <w:szCs w:val="16"/>
        </w:rPr>
      </w:pPr>
      <w:r w:rsidRPr="00FA7F06">
        <w:rPr>
          <w:sz w:val="16"/>
          <w:szCs w:val="16"/>
        </w:rPr>
        <w:t>2.2.1. Klasyfikacja</w:t>
      </w:r>
    </w:p>
    <w:p w14:paraId="31EFC99A" w14:textId="4981529A" w:rsidR="00C11DEF" w:rsidRPr="00FA7F06" w:rsidRDefault="00C11DEF" w:rsidP="00C11DEF">
      <w:pPr>
        <w:spacing w:after="0"/>
        <w:jc w:val="both"/>
        <w:rPr>
          <w:sz w:val="16"/>
          <w:szCs w:val="16"/>
        </w:rPr>
      </w:pPr>
      <w:r w:rsidRPr="00FA7F06">
        <w:rPr>
          <w:sz w:val="16"/>
          <w:szCs w:val="16"/>
        </w:rPr>
        <w:t>Kamienna kostka drogowa wg PN EN 1341:2003.jest stosowana do budowy nawierzchni z kostki kamiennej wg PN-S-06100 [11] oraz do budowy nawierzchni z kostki kamiennej nieregularnej wg PN-S-96026 [12]</w:t>
      </w:r>
    </w:p>
    <w:p w14:paraId="5715E37F" w14:textId="77777777" w:rsidR="00C11DEF" w:rsidRPr="00FA7F06" w:rsidRDefault="00C11DEF" w:rsidP="00C11DEF">
      <w:pPr>
        <w:spacing w:after="0"/>
        <w:jc w:val="both"/>
        <w:rPr>
          <w:sz w:val="16"/>
          <w:szCs w:val="16"/>
        </w:rPr>
      </w:pPr>
      <w:r w:rsidRPr="00FA7F06">
        <w:rPr>
          <w:sz w:val="16"/>
          <w:szCs w:val="16"/>
        </w:rPr>
        <w:t>W zależności od kształtów rozróżnia się trzy typy kostki:</w:t>
      </w:r>
    </w:p>
    <w:p w14:paraId="7DC57512" w14:textId="77777777" w:rsidR="00C11DEF" w:rsidRPr="00FA7F06" w:rsidRDefault="00C11DEF" w:rsidP="00C11DEF">
      <w:pPr>
        <w:spacing w:after="0"/>
        <w:jc w:val="both"/>
        <w:rPr>
          <w:sz w:val="16"/>
          <w:szCs w:val="16"/>
        </w:rPr>
      </w:pPr>
      <w:r w:rsidRPr="00FA7F06">
        <w:rPr>
          <w:sz w:val="16"/>
          <w:szCs w:val="16"/>
        </w:rPr>
        <w:t>-regularną,</w:t>
      </w:r>
    </w:p>
    <w:p w14:paraId="1B292FFF" w14:textId="77777777" w:rsidR="00C11DEF" w:rsidRPr="00FA7F06" w:rsidRDefault="00C11DEF" w:rsidP="00C11DEF">
      <w:pPr>
        <w:spacing w:after="0"/>
        <w:jc w:val="both"/>
        <w:rPr>
          <w:sz w:val="16"/>
          <w:szCs w:val="16"/>
        </w:rPr>
      </w:pPr>
      <w:r w:rsidRPr="00FA7F06">
        <w:rPr>
          <w:sz w:val="16"/>
          <w:szCs w:val="16"/>
        </w:rPr>
        <w:t>-rzędową,</w:t>
      </w:r>
    </w:p>
    <w:p w14:paraId="1623183D" w14:textId="77777777" w:rsidR="00C11DEF" w:rsidRPr="00FA7F06" w:rsidRDefault="00C11DEF" w:rsidP="00C11DEF">
      <w:pPr>
        <w:spacing w:after="0"/>
        <w:jc w:val="both"/>
        <w:rPr>
          <w:sz w:val="16"/>
          <w:szCs w:val="16"/>
        </w:rPr>
      </w:pPr>
      <w:r w:rsidRPr="00FA7F06">
        <w:rPr>
          <w:sz w:val="16"/>
          <w:szCs w:val="16"/>
        </w:rPr>
        <w:t>-nieregularną.</w:t>
      </w:r>
    </w:p>
    <w:p w14:paraId="5B65A464" w14:textId="77777777" w:rsidR="00C11DEF" w:rsidRPr="00FA7F06" w:rsidRDefault="00C11DEF" w:rsidP="00C11DEF">
      <w:pPr>
        <w:spacing w:after="0"/>
        <w:jc w:val="both"/>
        <w:rPr>
          <w:sz w:val="16"/>
          <w:szCs w:val="16"/>
        </w:rPr>
      </w:pPr>
      <w:r w:rsidRPr="00FA7F06">
        <w:rPr>
          <w:sz w:val="16"/>
          <w:szCs w:val="16"/>
        </w:rPr>
        <w:t>Rozróżnia się dwa rodzaje kostki regularnej: normalną i łącznikową.</w:t>
      </w:r>
    </w:p>
    <w:p w14:paraId="65606E10" w14:textId="77777777" w:rsidR="00C11DEF" w:rsidRPr="00FA7F06" w:rsidRDefault="00C11DEF" w:rsidP="00C11DEF">
      <w:pPr>
        <w:spacing w:after="0"/>
        <w:jc w:val="both"/>
        <w:rPr>
          <w:sz w:val="16"/>
          <w:szCs w:val="16"/>
        </w:rPr>
      </w:pPr>
      <w:r w:rsidRPr="00FA7F06">
        <w:rPr>
          <w:sz w:val="16"/>
          <w:szCs w:val="16"/>
        </w:rPr>
        <w:t>W zależności od jakości surowca skalnego użytego do wyrobu kostki rozróżnia się dwie klasy kostki: I, II.</w:t>
      </w:r>
    </w:p>
    <w:p w14:paraId="3F6B3E91" w14:textId="77777777" w:rsidR="00C11DEF" w:rsidRPr="00FA7F06" w:rsidRDefault="00C11DEF" w:rsidP="00C11DEF">
      <w:pPr>
        <w:spacing w:after="0"/>
        <w:jc w:val="both"/>
        <w:rPr>
          <w:sz w:val="16"/>
          <w:szCs w:val="16"/>
        </w:rPr>
      </w:pPr>
      <w:r w:rsidRPr="00FA7F06">
        <w:rPr>
          <w:sz w:val="16"/>
          <w:szCs w:val="16"/>
        </w:rPr>
        <w:t>W zależności od dokładności wykonania rozróżnia się trzy gatunki kostki: 1, 2, 3.</w:t>
      </w:r>
    </w:p>
    <w:p w14:paraId="104C29F4" w14:textId="77777777" w:rsidR="00C11DEF" w:rsidRPr="00FA7F06" w:rsidRDefault="00C11DEF" w:rsidP="00C11DEF">
      <w:pPr>
        <w:spacing w:after="0"/>
        <w:jc w:val="both"/>
        <w:rPr>
          <w:sz w:val="16"/>
          <w:szCs w:val="16"/>
        </w:rPr>
      </w:pPr>
      <w:r w:rsidRPr="00FA7F06">
        <w:rPr>
          <w:sz w:val="16"/>
          <w:szCs w:val="16"/>
        </w:rPr>
        <w:t>W zależności od wymiaru zasadniczego - wysokości kostki, rozróżnia się następujące wielkości (cm):</w:t>
      </w:r>
    </w:p>
    <w:p w14:paraId="54F230FC" w14:textId="77777777" w:rsidR="00C11DEF" w:rsidRPr="00FA7F06" w:rsidRDefault="00C11DEF" w:rsidP="00C11DEF">
      <w:pPr>
        <w:spacing w:after="0"/>
        <w:jc w:val="both"/>
        <w:rPr>
          <w:sz w:val="16"/>
          <w:szCs w:val="16"/>
        </w:rPr>
      </w:pPr>
      <w:r w:rsidRPr="00FA7F06">
        <w:rPr>
          <w:sz w:val="16"/>
          <w:szCs w:val="16"/>
        </w:rPr>
        <w:t>-kostka regularna i rzędowa - 12, 14, 16 i 18,</w:t>
      </w:r>
    </w:p>
    <w:p w14:paraId="6A4E07FD" w14:textId="77777777" w:rsidR="00C11DEF" w:rsidRPr="00FA7F06" w:rsidRDefault="00C11DEF" w:rsidP="00C11DEF">
      <w:pPr>
        <w:spacing w:after="0"/>
        <w:jc w:val="both"/>
        <w:rPr>
          <w:sz w:val="16"/>
          <w:szCs w:val="16"/>
        </w:rPr>
      </w:pPr>
      <w:r w:rsidRPr="00FA7F06">
        <w:rPr>
          <w:sz w:val="16"/>
          <w:szCs w:val="16"/>
        </w:rPr>
        <w:t>-kostka nieregularna - 5, 6, 8 i 10.</w:t>
      </w:r>
    </w:p>
    <w:p w14:paraId="4E9569F3" w14:textId="77777777" w:rsidR="00C11DEF" w:rsidRPr="00FA7F06" w:rsidRDefault="00C11DEF" w:rsidP="00C11DEF">
      <w:pPr>
        <w:spacing w:after="0"/>
        <w:jc w:val="both"/>
        <w:rPr>
          <w:sz w:val="16"/>
          <w:szCs w:val="16"/>
        </w:rPr>
      </w:pPr>
      <w:r w:rsidRPr="00FA7F06">
        <w:rPr>
          <w:sz w:val="16"/>
          <w:szCs w:val="16"/>
        </w:rPr>
        <w:t>2.2.2. Wymagania</w:t>
      </w:r>
    </w:p>
    <w:p w14:paraId="550E5E7A" w14:textId="77777777" w:rsidR="00C11DEF" w:rsidRPr="00FA7F06" w:rsidRDefault="00C11DEF" w:rsidP="00C11DEF">
      <w:pPr>
        <w:spacing w:after="0"/>
        <w:jc w:val="both"/>
        <w:rPr>
          <w:sz w:val="16"/>
          <w:szCs w:val="16"/>
        </w:rPr>
      </w:pPr>
      <w:r w:rsidRPr="00FA7F06">
        <w:rPr>
          <w:sz w:val="16"/>
          <w:szCs w:val="16"/>
        </w:rPr>
        <w:t>Surowcem do wyrobu kostki kamiennej są skały magmowe, osadowe i przeobrażone. Wymagane cechy fizyczne i wytrzymałościowe przedstawia tablica 1.</w:t>
      </w:r>
    </w:p>
    <w:p w14:paraId="234B47F0" w14:textId="77777777" w:rsidR="00C11DEF" w:rsidRPr="00FA7F06" w:rsidRDefault="00C11DEF" w:rsidP="00C11DEF">
      <w:pPr>
        <w:spacing w:after="0"/>
        <w:jc w:val="both"/>
        <w:rPr>
          <w:sz w:val="16"/>
          <w:szCs w:val="16"/>
        </w:rPr>
      </w:pPr>
      <w:r w:rsidRPr="00FA7F06">
        <w:rPr>
          <w:sz w:val="16"/>
          <w:szCs w:val="16"/>
        </w:rPr>
        <w:t>Tablica 1. Wymagane cechy fizyczne i wytrzymałościowe dla kostki kamiennej</w:t>
      </w:r>
    </w:p>
    <w:p w14:paraId="029AB3F3" w14:textId="77777777" w:rsidR="00C11DEF" w:rsidRPr="00FA7F06" w:rsidRDefault="00C11DEF" w:rsidP="00C11DEF">
      <w:pPr>
        <w:spacing w:after="0"/>
        <w:jc w:val="both"/>
        <w:rPr>
          <w:sz w:val="16"/>
          <w:szCs w:val="16"/>
        </w:rPr>
      </w:pPr>
    </w:p>
    <w:p w14:paraId="6AD2CF18" w14:textId="25743012" w:rsidR="00C11DEF" w:rsidRPr="00FA7F06" w:rsidRDefault="00C11DEF" w:rsidP="00C11DEF">
      <w:pPr>
        <w:spacing w:after="0"/>
        <w:jc w:val="both"/>
        <w:rPr>
          <w:sz w:val="16"/>
          <w:szCs w:val="16"/>
        </w:rPr>
      </w:pPr>
      <w:r w:rsidRPr="00FA7F06">
        <w:rPr>
          <w:noProof/>
          <w:sz w:val="16"/>
          <w:szCs w:val="16"/>
        </w:rPr>
        <w:drawing>
          <wp:inline distT="0" distB="0" distL="0" distR="0" wp14:anchorId="7564E539" wp14:editId="7FFC64EA">
            <wp:extent cx="5760720" cy="2068830"/>
            <wp:effectExtent l="0" t="0" r="0" b="0"/>
            <wp:docPr id="19947939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793935" name=""/>
                    <pic:cNvPicPr/>
                  </pic:nvPicPr>
                  <pic:blipFill>
                    <a:blip r:embed="rId50"/>
                    <a:stretch>
                      <a:fillRect/>
                    </a:stretch>
                  </pic:blipFill>
                  <pic:spPr>
                    <a:xfrm>
                      <a:off x="0" y="0"/>
                      <a:ext cx="5760720" cy="2068830"/>
                    </a:xfrm>
                    <a:prstGeom prst="rect">
                      <a:avLst/>
                    </a:prstGeom>
                  </pic:spPr>
                </pic:pic>
              </a:graphicData>
            </a:graphic>
          </wp:inline>
        </w:drawing>
      </w:r>
    </w:p>
    <w:p w14:paraId="59AED373" w14:textId="77777777" w:rsidR="00C11DEF" w:rsidRPr="00FA7F06" w:rsidRDefault="00C11DEF" w:rsidP="00C11DEF">
      <w:pPr>
        <w:spacing w:after="0"/>
        <w:jc w:val="both"/>
        <w:rPr>
          <w:sz w:val="16"/>
          <w:szCs w:val="16"/>
        </w:rPr>
      </w:pPr>
    </w:p>
    <w:p w14:paraId="0D155A1C" w14:textId="77777777" w:rsidR="00C11DEF" w:rsidRPr="00FA7F06" w:rsidRDefault="00C11DEF" w:rsidP="00C11DEF">
      <w:pPr>
        <w:spacing w:after="0"/>
        <w:jc w:val="both"/>
        <w:rPr>
          <w:sz w:val="16"/>
          <w:szCs w:val="16"/>
        </w:rPr>
      </w:pPr>
    </w:p>
    <w:p w14:paraId="56405F4D" w14:textId="77777777" w:rsidR="00C11DEF" w:rsidRPr="00FA7F06" w:rsidRDefault="00C11DEF" w:rsidP="00C11DEF">
      <w:pPr>
        <w:spacing w:after="0"/>
        <w:jc w:val="both"/>
        <w:rPr>
          <w:sz w:val="16"/>
          <w:szCs w:val="16"/>
        </w:rPr>
      </w:pPr>
    </w:p>
    <w:p w14:paraId="03F62902" w14:textId="77777777" w:rsidR="00C11DEF" w:rsidRPr="00FA7F06" w:rsidRDefault="00C11DEF" w:rsidP="00C11DEF">
      <w:pPr>
        <w:spacing w:after="0"/>
        <w:jc w:val="both"/>
        <w:rPr>
          <w:sz w:val="16"/>
          <w:szCs w:val="16"/>
        </w:rPr>
      </w:pPr>
      <w:r w:rsidRPr="00FA7F06">
        <w:rPr>
          <w:sz w:val="16"/>
          <w:szCs w:val="16"/>
        </w:rPr>
        <w:t>2.2.3. Kształt i wymiary kostki regularnej</w:t>
      </w:r>
    </w:p>
    <w:p w14:paraId="158FF273" w14:textId="77777777" w:rsidR="00C11DEF" w:rsidRPr="00FA7F06" w:rsidRDefault="00C11DEF" w:rsidP="00C11DEF">
      <w:pPr>
        <w:spacing w:after="0"/>
        <w:jc w:val="both"/>
        <w:rPr>
          <w:sz w:val="16"/>
          <w:szCs w:val="16"/>
        </w:rPr>
      </w:pPr>
      <w:r w:rsidRPr="00FA7F06">
        <w:rPr>
          <w:sz w:val="16"/>
          <w:szCs w:val="16"/>
        </w:rPr>
        <w:t>Kostka regularna normalna powinna mieć kształt sześcianu.</w:t>
      </w:r>
    </w:p>
    <w:p w14:paraId="4E54F5B2" w14:textId="77777777" w:rsidR="00C11DEF" w:rsidRPr="00FA7F06" w:rsidRDefault="00C11DEF" w:rsidP="00C11DEF">
      <w:pPr>
        <w:spacing w:after="0"/>
        <w:jc w:val="both"/>
        <w:rPr>
          <w:sz w:val="16"/>
          <w:szCs w:val="16"/>
        </w:rPr>
      </w:pPr>
      <w:r w:rsidRPr="00FA7F06">
        <w:rPr>
          <w:sz w:val="16"/>
          <w:szCs w:val="16"/>
        </w:rPr>
        <w:t>Kostka regularna łącznikowa powinna mieć kształt prostopadłościanu.</w:t>
      </w:r>
    </w:p>
    <w:p w14:paraId="2C629F2F" w14:textId="77777777" w:rsidR="00C11DEF" w:rsidRPr="00FA7F06" w:rsidRDefault="00C11DEF" w:rsidP="00C11DEF">
      <w:pPr>
        <w:spacing w:after="0"/>
        <w:jc w:val="both"/>
        <w:rPr>
          <w:sz w:val="16"/>
          <w:szCs w:val="16"/>
        </w:rPr>
      </w:pPr>
      <w:r w:rsidRPr="00FA7F06">
        <w:rPr>
          <w:sz w:val="16"/>
          <w:szCs w:val="16"/>
        </w:rPr>
        <w:t>Kształt kostki regularnej normalnej i łącznikowej przedstawia rysunek 1.</w:t>
      </w:r>
    </w:p>
    <w:p w14:paraId="5E8188AB" w14:textId="77777777" w:rsidR="00C11DEF" w:rsidRPr="00FA7F06" w:rsidRDefault="00C11DEF" w:rsidP="00C11DEF">
      <w:pPr>
        <w:spacing w:after="0"/>
        <w:jc w:val="both"/>
        <w:rPr>
          <w:sz w:val="16"/>
          <w:szCs w:val="16"/>
        </w:rPr>
      </w:pPr>
    </w:p>
    <w:p w14:paraId="2A64E39C" w14:textId="77777777" w:rsidR="00C11DEF" w:rsidRPr="00FA7F06" w:rsidRDefault="00C11DEF" w:rsidP="00C11DEF">
      <w:pPr>
        <w:spacing w:after="0"/>
        <w:jc w:val="both"/>
        <w:rPr>
          <w:sz w:val="16"/>
          <w:szCs w:val="16"/>
        </w:rPr>
      </w:pPr>
      <w:r w:rsidRPr="00FA7F06">
        <w:rPr>
          <w:sz w:val="16"/>
          <w:szCs w:val="16"/>
        </w:rPr>
        <w:lastRenderedPageBreak/>
        <w:t xml:space="preserve">A - normalna </w:t>
      </w:r>
      <w:r w:rsidRPr="00FA7F06">
        <w:rPr>
          <w:sz w:val="16"/>
          <w:szCs w:val="16"/>
        </w:rPr>
        <w:tab/>
      </w:r>
      <w:r w:rsidRPr="00FA7F06">
        <w:rPr>
          <w:sz w:val="16"/>
          <w:szCs w:val="16"/>
        </w:rPr>
        <w:tab/>
      </w:r>
      <w:r w:rsidRPr="00FA7F06">
        <w:rPr>
          <w:sz w:val="16"/>
          <w:szCs w:val="16"/>
        </w:rPr>
        <w:tab/>
      </w:r>
      <w:r w:rsidRPr="00FA7F06">
        <w:rPr>
          <w:sz w:val="16"/>
          <w:szCs w:val="16"/>
        </w:rPr>
        <w:tab/>
        <w:t>B – łącznikowa</w:t>
      </w:r>
    </w:p>
    <w:p w14:paraId="7B7CA931" w14:textId="77777777" w:rsidR="00C11DEF" w:rsidRPr="00FA7F06" w:rsidRDefault="00C11DEF" w:rsidP="00C11DEF">
      <w:pPr>
        <w:spacing w:after="0"/>
        <w:jc w:val="both"/>
        <w:rPr>
          <w:sz w:val="16"/>
          <w:szCs w:val="16"/>
        </w:rPr>
      </w:pPr>
      <w:r w:rsidRPr="00FA7F06">
        <w:rPr>
          <w:noProof/>
          <w:sz w:val="16"/>
          <w:szCs w:val="16"/>
          <w:lang w:eastAsia="pl-PL"/>
        </w:rPr>
        <w:drawing>
          <wp:inline distT="0" distB="0" distL="0" distR="0" wp14:anchorId="3989FB01" wp14:editId="7D6F296E">
            <wp:extent cx="1695450" cy="1581150"/>
            <wp:effectExtent l="0" t="0" r="0" b="0"/>
            <wp:docPr id="940034166" name="Obraz 940034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1695450" cy="1581150"/>
                    </a:xfrm>
                    <a:prstGeom prst="rect">
                      <a:avLst/>
                    </a:prstGeom>
                  </pic:spPr>
                </pic:pic>
              </a:graphicData>
            </a:graphic>
          </wp:inline>
        </w:drawing>
      </w:r>
      <w:r w:rsidRPr="00FA7F06">
        <w:rPr>
          <w:noProof/>
          <w:lang w:eastAsia="pl-PL"/>
        </w:rPr>
        <w:t xml:space="preserve"> </w:t>
      </w:r>
      <w:r w:rsidRPr="00FA7F06">
        <w:rPr>
          <w:noProof/>
          <w:sz w:val="16"/>
          <w:szCs w:val="16"/>
          <w:lang w:eastAsia="pl-PL"/>
        </w:rPr>
        <w:drawing>
          <wp:inline distT="0" distB="0" distL="0" distR="0" wp14:anchorId="2C955986" wp14:editId="78982731">
            <wp:extent cx="2219325" cy="1552575"/>
            <wp:effectExtent l="0" t="0" r="9525" b="9525"/>
            <wp:docPr id="1045810607" name="Obraz 1045810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219325" cy="1552575"/>
                    </a:xfrm>
                    <a:prstGeom prst="rect">
                      <a:avLst/>
                    </a:prstGeom>
                  </pic:spPr>
                </pic:pic>
              </a:graphicData>
            </a:graphic>
          </wp:inline>
        </w:drawing>
      </w:r>
    </w:p>
    <w:p w14:paraId="7873AE9D" w14:textId="77777777" w:rsidR="00C11DEF" w:rsidRPr="00FA7F06" w:rsidRDefault="00C11DEF" w:rsidP="00C11DEF">
      <w:pPr>
        <w:spacing w:after="0"/>
        <w:jc w:val="both"/>
        <w:rPr>
          <w:sz w:val="16"/>
          <w:szCs w:val="16"/>
        </w:rPr>
      </w:pPr>
      <w:r w:rsidRPr="00FA7F06">
        <w:rPr>
          <w:sz w:val="16"/>
          <w:szCs w:val="16"/>
        </w:rPr>
        <w:t>Rysunek 1. Kształt kostki regularnej normalnej i łącznikowej</w:t>
      </w:r>
    </w:p>
    <w:p w14:paraId="08FEB9F2" w14:textId="77777777" w:rsidR="00C11DEF" w:rsidRPr="00FA7F06" w:rsidRDefault="00C11DEF" w:rsidP="00C11DEF">
      <w:pPr>
        <w:spacing w:after="0"/>
        <w:jc w:val="both"/>
        <w:rPr>
          <w:sz w:val="16"/>
          <w:szCs w:val="16"/>
        </w:rPr>
      </w:pPr>
      <w:r w:rsidRPr="00FA7F06">
        <w:rPr>
          <w:sz w:val="16"/>
          <w:szCs w:val="16"/>
        </w:rPr>
        <w:t>Wymagania dotyczące wymiarów kostki regularnej normalnej i łącznikowej przedstawia tablica 2.</w:t>
      </w:r>
    </w:p>
    <w:p w14:paraId="2F302499" w14:textId="77777777" w:rsidR="00C11DEF" w:rsidRPr="00FA7F06" w:rsidRDefault="00C11DEF" w:rsidP="00C11DEF">
      <w:pPr>
        <w:spacing w:after="0"/>
        <w:jc w:val="both"/>
        <w:rPr>
          <w:sz w:val="16"/>
          <w:szCs w:val="16"/>
        </w:rPr>
      </w:pPr>
      <w:r w:rsidRPr="00FA7F06">
        <w:rPr>
          <w:sz w:val="16"/>
          <w:szCs w:val="16"/>
        </w:rPr>
        <w:t>Tablica 2. Wymiary kostki regularnej normalnej i łącznikowej oraz dopuszczalne odchyłki</w:t>
      </w:r>
    </w:p>
    <w:tbl>
      <w:tblPr>
        <w:tblW w:w="7635" w:type="dxa"/>
        <w:tblCellSpacing w:w="7"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2875"/>
        <w:gridCol w:w="447"/>
        <w:gridCol w:w="447"/>
        <w:gridCol w:w="447"/>
        <w:gridCol w:w="431"/>
        <w:gridCol w:w="547"/>
        <w:gridCol w:w="591"/>
        <w:gridCol w:w="704"/>
        <w:gridCol w:w="1146"/>
      </w:tblGrid>
      <w:tr w:rsidR="00FA7F06" w:rsidRPr="00FA7F06" w14:paraId="2B1E8E19" w14:textId="77777777" w:rsidTr="00CF35EE">
        <w:trPr>
          <w:tblCellSpacing w:w="7" w:type="dxa"/>
        </w:trPr>
        <w:tc>
          <w:tcPr>
            <w:tcW w:w="2670" w:type="dxa"/>
            <w:tcBorders>
              <w:top w:val="outset" w:sz="6" w:space="0" w:color="000000"/>
              <w:left w:val="outset" w:sz="6" w:space="0" w:color="000000"/>
              <w:bottom w:val="outset" w:sz="6" w:space="0" w:color="000000"/>
              <w:right w:val="outset" w:sz="6" w:space="0" w:color="000000"/>
            </w:tcBorders>
            <w:hideMark/>
          </w:tcPr>
          <w:p w14:paraId="64F8D773" w14:textId="77777777" w:rsidR="00C11DEF" w:rsidRPr="00FA7F06" w:rsidRDefault="00C11DEF" w:rsidP="00CF35EE">
            <w:pPr>
              <w:spacing w:after="0"/>
              <w:jc w:val="both"/>
              <w:rPr>
                <w:sz w:val="16"/>
                <w:szCs w:val="16"/>
              </w:rPr>
            </w:pPr>
          </w:p>
          <w:p w14:paraId="396E36C3" w14:textId="77777777" w:rsidR="00C11DEF" w:rsidRPr="00FA7F06" w:rsidRDefault="00C11DEF" w:rsidP="00CF35EE">
            <w:pPr>
              <w:spacing w:after="0"/>
              <w:jc w:val="both"/>
              <w:rPr>
                <w:sz w:val="16"/>
                <w:szCs w:val="16"/>
              </w:rPr>
            </w:pPr>
            <w:r w:rsidRPr="00FA7F06">
              <w:rPr>
                <w:sz w:val="16"/>
                <w:szCs w:val="16"/>
              </w:rPr>
              <w:t>Wyszczególnienie</w:t>
            </w:r>
          </w:p>
        </w:tc>
        <w:tc>
          <w:tcPr>
            <w:tcW w:w="2160" w:type="dxa"/>
            <w:gridSpan w:val="5"/>
            <w:tcBorders>
              <w:top w:val="outset" w:sz="6" w:space="0" w:color="000000"/>
              <w:left w:val="outset" w:sz="6" w:space="0" w:color="000000"/>
              <w:bottom w:val="outset" w:sz="6" w:space="0" w:color="000000"/>
              <w:right w:val="outset" w:sz="6" w:space="0" w:color="000000"/>
            </w:tcBorders>
            <w:hideMark/>
          </w:tcPr>
          <w:p w14:paraId="5437A477" w14:textId="77777777" w:rsidR="00C11DEF" w:rsidRPr="00FA7F06" w:rsidRDefault="00C11DEF" w:rsidP="00CF35EE">
            <w:pPr>
              <w:spacing w:after="0"/>
              <w:jc w:val="both"/>
              <w:rPr>
                <w:sz w:val="16"/>
                <w:szCs w:val="16"/>
              </w:rPr>
            </w:pPr>
            <w:r w:rsidRPr="00FA7F06">
              <w:rPr>
                <w:sz w:val="16"/>
                <w:szCs w:val="16"/>
              </w:rPr>
              <w:t>Wielkość</w:t>
            </w:r>
          </w:p>
          <w:p w14:paraId="75AD49F6" w14:textId="77777777" w:rsidR="00C11DEF" w:rsidRPr="00FA7F06" w:rsidRDefault="00C11DEF" w:rsidP="00CF35EE">
            <w:pPr>
              <w:spacing w:after="0"/>
              <w:jc w:val="both"/>
              <w:rPr>
                <w:sz w:val="16"/>
                <w:szCs w:val="16"/>
              </w:rPr>
            </w:pPr>
            <w:r w:rsidRPr="00FA7F06">
              <w:rPr>
                <w:sz w:val="16"/>
                <w:szCs w:val="16"/>
              </w:rPr>
              <w:t>(cm)</w:t>
            </w:r>
          </w:p>
        </w:tc>
        <w:tc>
          <w:tcPr>
            <w:tcW w:w="2265" w:type="dxa"/>
            <w:gridSpan w:val="3"/>
            <w:tcBorders>
              <w:top w:val="outset" w:sz="6" w:space="0" w:color="000000"/>
              <w:left w:val="outset" w:sz="6" w:space="0" w:color="000000"/>
              <w:bottom w:val="outset" w:sz="6" w:space="0" w:color="000000"/>
              <w:right w:val="outset" w:sz="6" w:space="0" w:color="000000"/>
            </w:tcBorders>
            <w:hideMark/>
          </w:tcPr>
          <w:p w14:paraId="13FB4F51" w14:textId="77777777" w:rsidR="00C11DEF" w:rsidRPr="00FA7F06" w:rsidRDefault="00C11DEF" w:rsidP="00CF35EE">
            <w:pPr>
              <w:spacing w:after="0"/>
              <w:jc w:val="both"/>
              <w:rPr>
                <w:sz w:val="16"/>
                <w:szCs w:val="16"/>
              </w:rPr>
            </w:pPr>
            <w:r w:rsidRPr="00FA7F06">
              <w:rPr>
                <w:sz w:val="16"/>
                <w:szCs w:val="16"/>
              </w:rPr>
              <w:t>Dopuszczalne odchyłki dla gatunku (cm)</w:t>
            </w:r>
          </w:p>
        </w:tc>
      </w:tr>
      <w:tr w:rsidR="00FA7F06" w:rsidRPr="00FA7F06" w14:paraId="6D70F6FB" w14:textId="77777777" w:rsidTr="00CF35EE">
        <w:trPr>
          <w:tblCellSpacing w:w="7" w:type="dxa"/>
        </w:trPr>
        <w:tc>
          <w:tcPr>
            <w:tcW w:w="2670" w:type="dxa"/>
            <w:tcBorders>
              <w:top w:val="outset" w:sz="6" w:space="0" w:color="000000"/>
              <w:left w:val="outset" w:sz="6" w:space="0" w:color="000000"/>
              <w:bottom w:val="outset" w:sz="6" w:space="0" w:color="000000"/>
              <w:right w:val="outset" w:sz="6" w:space="0" w:color="000000"/>
            </w:tcBorders>
            <w:hideMark/>
          </w:tcPr>
          <w:p w14:paraId="4E3E2D59" w14:textId="77777777" w:rsidR="00C11DEF" w:rsidRPr="00FA7F06" w:rsidRDefault="00C11DEF" w:rsidP="00CF35EE">
            <w:pPr>
              <w:spacing w:after="0"/>
              <w:jc w:val="both"/>
              <w:rPr>
                <w:sz w:val="16"/>
                <w:szCs w:val="16"/>
              </w:rPr>
            </w:pPr>
          </w:p>
        </w:tc>
        <w:tc>
          <w:tcPr>
            <w:tcW w:w="405" w:type="dxa"/>
            <w:tcBorders>
              <w:top w:val="outset" w:sz="6" w:space="0" w:color="000000"/>
              <w:left w:val="outset" w:sz="6" w:space="0" w:color="000000"/>
              <w:bottom w:val="outset" w:sz="6" w:space="0" w:color="000000"/>
              <w:right w:val="outset" w:sz="6" w:space="0" w:color="000000"/>
            </w:tcBorders>
            <w:hideMark/>
          </w:tcPr>
          <w:p w14:paraId="425E881F" w14:textId="77777777" w:rsidR="00C11DEF" w:rsidRPr="00FA7F06" w:rsidRDefault="00C11DEF" w:rsidP="00CF35EE">
            <w:pPr>
              <w:spacing w:after="0"/>
              <w:jc w:val="both"/>
              <w:rPr>
                <w:sz w:val="16"/>
                <w:szCs w:val="16"/>
              </w:rPr>
            </w:pPr>
            <w:r w:rsidRPr="00FA7F06">
              <w:rPr>
                <w:sz w:val="16"/>
                <w:szCs w:val="16"/>
              </w:rPr>
              <w:t>12</w:t>
            </w:r>
          </w:p>
        </w:tc>
        <w:tc>
          <w:tcPr>
            <w:tcW w:w="405" w:type="dxa"/>
            <w:tcBorders>
              <w:top w:val="outset" w:sz="6" w:space="0" w:color="000000"/>
              <w:left w:val="outset" w:sz="6" w:space="0" w:color="000000"/>
              <w:bottom w:val="outset" w:sz="6" w:space="0" w:color="000000"/>
              <w:right w:val="outset" w:sz="6" w:space="0" w:color="000000"/>
            </w:tcBorders>
            <w:hideMark/>
          </w:tcPr>
          <w:p w14:paraId="3F98F078" w14:textId="77777777" w:rsidR="00C11DEF" w:rsidRPr="00FA7F06" w:rsidRDefault="00C11DEF" w:rsidP="00CF35EE">
            <w:pPr>
              <w:spacing w:after="0"/>
              <w:jc w:val="both"/>
              <w:rPr>
                <w:sz w:val="16"/>
                <w:szCs w:val="16"/>
              </w:rPr>
            </w:pPr>
            <w:r w:rsidRPr="00FA7F06">
              <w:rPr>
                <w:sz w:val="16"/>
                <w:szCs w:val="16"/>
              </w:rPr>
              <w:t>14</w:t>
            </w:r>
          </w:p>
        </w:tc>
        <w:tc>
          <w:tcPr>
            <w:tcW w:w="405" w:type="dxa"/>
            <w:tcBorders>
              <w:top w:val="outset" w:sz="6" w:space="0" w:color="000000"/>
              <w:left w:val="outset" w:sz="6" w:space="0" w:color="000000"/>
              <w:bottom w:val="outset" w:sz="6" w:space="0" w:color="000000"/>
              <w:right w:val="outset" w:sz="6" w:space="0" w:color="000000"/>
            </w:tcBorders>
            <w:hideMark/>
          </w:tcPr>
          <w:p w14:paraId="694DF1F3" w14:textId="77777777" w:rsidR="00C11DEF" w:rsidRPr="00FA7F06" w:rsidRDefault="00C11DEF" w:rsidP="00CF35EE">
            <w:pPr>
              <w:spacing w:after="0"/>
              <w:jc w:val="both"/>
              <w:rPr>
                <w:sz w:val="16"/>
                <w:szCs w:val="16"/>
              </w:rPr>
            </w:pPr>
            <w:r w:rsidRPr="00FA7F06">
              <w:rPr>
                <w:sz w:val="16"/>
                <w:szCs w:val="16"/>
              </w:rPr>
              <w:t>16</w:t>
            </w:r>
          </w:p>
        </w:tc>
        <w:tc>
          <w:tcPr>
            <w:tcW w:w="390" w:type="dxa"/>
            <w:tcBorders>
              <w:top w:val="outset" w:sz="6" w:space="0" w:color="000000"/>
              <w:left w:val="outset" w:sz="6" w:space="0" w:color="000000"/>
              <w:bottom w:val="outset" w:sz="6" w:space="0" w:color="000000"/>
              <w:right w:val="outset" w:sz="6" w:space="0" w:color="000000"/>
            </w:tcBorders>
            <w:hideMark/>
          </w:tcPr>
          <w:p w14:paraId="6E47E69E" w14:textId="77777777" w:rsidR="00C11DEF" w:rsidRPr="00FA7F06" w:rsidRDefault="00C11DEF" w:rsidP="00CF35EE">
            <w:pPr>
              <w:spacing w:after="0"/>
              <w:jc w:val="both"/>
              <w:rPr>
                <w:sz w:val="16"/>
                <w:szCs w:val="16"/>
              </w:rPr>
            </w:pPr>
            <w:r w:rsidRPr="00FA7F06">
              <w:rPr>
                <w:sz w:val="16"/>
                <w:szCs w:val="16"/>
              </w:rPr>
              <w:t>18</w:t>
            </w:r>
          </w:p>
        </w:tc>
        <w:tc>
          <w:tcPr>
            <w:tcW w:w="585" w:type="dxa"/>
            <w:gridSpan w:val="2"/>
            <w:tcBorders>
              <w:top w:val="outset" w:sz="6" w:space="0" w:color="000000"/>
              <w:left w:val="outset" w:sz="6" w:space="0" w:color="000000"/>
              <w:bottom w:val="outset" w:sz="6" w:space="0" w:color="000000"/>
              <w:right w:val="outset" w:sz="6" w:space="0" w:color="000000"/>
            </w:tcBorders>
            <w:hideMark/>
          </w:tcPr>
          <w:p w14:paraId="57673874" w14:textId="77777777" w:rsidR="00C11DEF" w:rsidRPr="00FA7F06" w:rsidRDefault="00C11DEF" w:rsidP="00CF35EE">
            <w:pPr>
              <w:spacing w:after="0"/>
              <w:jc w:val="both"/>
              <w:rPr>
                <w:sz w:val="16"/>
                <w:szCs w:val="16"/>
              </w:rPr>
            </w:pPr>
            <w:r w:rsidRPr="00FA7F06">
              <w:rPr>
                <w:sz w:val="16"/>
                <w:szCs w:val="16"/>
              </w:rPr>
              <w:t>1</w:t>
            </w:r>
          </w:p>
        </w:tc>
        <w:tc>
          <w:tcPr>
            <w:tcW w:w="645" w:type="dxa"/>
            <w:tcBorders>
              <w:top w:val="outset" w:sz="6" w:space="0" w:color="000000"/>
              <w:left w:val="outset" w:sz="6" w:space="0" w:color="000000"/>
              <w:bottom w:val="outset" w:sz="6" w:space="0" w:color="000000"/>
              <w:right w:val="outset" w:sz="6" w:space="0" w:color="000000"/>
            </w:tcBorders>
            <w:hideMark/>
          </w:tcPr>
          <w:p w14:paraId="2DED9A20" w14:textId="77777777" w:rsidR="00C11DEF" w:rsidRPr="00FA7F06" w:rsidRDefault="00C11DEF" w:rsidP="00CF35EE">
            <w:pPr>
              <w:spacing w:after="0"/>
              <w:jc w:val="both"/>
              <w:rPr>
                <w:sz w:val="16"/>
                <w:szCs w:val="16"/>
              </w:rPr>
            </w:pPr>
            <w:r w:rsidRPr="00FA7F06">
              <w:rPr>
                <w:sz w:val="16"/>
                <w:szCs w:val="16"/>
              </w:rPr>
              <w:t>2</w:t>
            </w:r>
          </w:p>
        </w:tc>
        <w:tc>
          <w:tcPr>
            <w:tcW w:w="735" w:type="dxa"/>
            <w:tcBorders>
              <w:top w:val="outset" w:sz="6" w:space="0" w:color="000000"/>
              <w:left w:val="outset" w:sz="6" w:space="0" w:color="000000"/>
              <w:bottom w:val="outset" w:sz="6" w:space="0" w:color="000000"/>
              <w:right w:val="outset" w:sz="6" w:space="0" w:color="000000"/>
            </w:tcBorders>
            <w:hideMark/>
          </w:tcPr>
          <w:p w14:paraId="0F3E8B41" w14:textId="77777777" w:rsidR="00C11DEF" w:rsidRPr="00FA7F06" w:rsidRDefault="00C11DEF" w:rsidP="00CF35EE">
            <w:pPr>
              <w:spacing w:after="0"/>
              <w:jc w:val="both"/>
              <w:rPr>
                <w:sz w:val="16"/>
                <w:szCs w:val="16"/>
              </w:rPr>
            </w:pPr>
            <w:r w:rsidRPr="00FA7F06">
              <w:rPr>
                <w:sz w:val="16"/>
                <w:szCs w:val="16"/>
              </w:rPr>
              <w:t>3</w:t>
            </w:r>
          </w:p>
        </w:tc>
      </w:tr>
      <w:tr w:rsidR="00FA7F06" w:rsidRPr="00FA7F06" w14:paraId="2730CD4F" w14:textId="77777777" w:rsidTr="00CF35EE">
        <w:trPr>
          <w:tblCellSpacing w:w="7" w:type="dxa"/>
        </w:trPr>
        <w:tc>
          <w:tcPr>
            <w:tcW w:w="2670" w:type="dxa"/>
            <w:tcBorders>
              <w:top w:val="outset" w:sz="6" w:space="0" w:color="000000"/>
              <w:left w:val="outset" w:sz="6" w:space="0" w:color="000000"/>
              <w:bottom w:val="outset" w:sz="6" w:space="0" w:color="000000"/>
              <w:right w:val="outset" w:sz="6" w:space="0" w:color="000000"/>
            </w:tcBorders>
            <w:hideMark/>
          </w:tcPr>
          <w:p w14:paraId="21BFE822" w14:textId="77777777" w:rsidR="00C11DEF" w:rsidRPr="00FA7F06" w:rsidRDefault="00C11DEF" w:rsidP="00CF35EE">
            <w:pPr>
              <w:spacing w:after="0"/>
              <w:jc w:val="both"/>
              <w:rPr>
                <w:sz w:val="16"/>
                <w:szCs w:val="16"/>
              </w:rPr>
            </w:pPr>
            <w:r w:rsidRPr="00FA7F06">
              <w:rPr>
                <w:sz w:val="16"/>
                <w:szCs w:val="16"/>
              </w:rPr>
              <w:t>Wymiar a</w:t>
            </w:r>
          </w:p>
        </w:tc>
        <w:tc>
          <w:tcPr>
            <w:tcW w:w="405" w:type="dxa"/>
            <w:tcBorders>
              <w:top w:val="outset" w:sz="6" w:space="0" w:color="000000"/>
              <w:left w:val="outset" w:sz="6" w:space="0" w:color="000000"/>
              <w:bottom w:val="outset" w:sz="6" w:space="0" w:color="000000"/>
              <w:right w:val="outset" w:sz="6" w:space="0" w:color="000000"/>
            </w:tcBorders>
            <w:hideMark/>
          </w:tcPr>
          <w:p w14:paraId="5A391806" w14:textId="77777777" w:rsidR="00C11DEF" w:rsidRPr="00FA7F06" w:rsidRDefault="00C11DEF" w:rsidP="00CF35EE">
            <w:pPr>
              <w:spacing w:after="0"/>
              <w:jc w:val="both"/>
              <w:rPr>
                <w:sz w:val="16"/>
                <w:szCs w:val="16"/>
              </w:rPr>
            </w:pPr>
            <w:r w:rsidRPr="00FA7F06">
              <w:rPr>
                <w:sz w:val="16"/>
                <w:szCs w:val="16"/>
              </w:rPr>
              <w:t>12</w:t>
            </w:r>
          </w:p>
        </w:tc>
        <w:tc>
          <w:tcPr>
            <w:tcW w:w="405" w:type="dxa"/>
            <w:tcBorders>
              <w:top w:val="outset" w:sz="6" w:space="0" w:color="000000"/>
              <w:left w:val="outset" w:sz="6" w:space="0" w:color="000000"/>
              <w:bottom w:val="outset" w:sz="6" w:space="0" w:color="000000"/>
              <w:right w:val="outset" w:sz="6" w:space="0" w:color="000000"/>
            </w:tcBorders>
            <w:hideMark/>
          </w:tcPr>
          <w:p w14:paraId="5B5B7672" w14:textId="77777777" w:rsidR="00C11DEF" w:rsidRPr="00FA7F06" w:rsidRDefault="00C11DEF" w:rsidP="00CF35EE">
            <w:pPr>
              <w:spacing w:after="0"/>
              <w:jc w:val="both"/>
              <w:rPr>
                <w:sz w:val="16"/>
                <w:szCs w:val="16"/>
              </w:rPr>
            </w:pPr>
            <w:r w:rsidRPr="00FA7F06">
              <w:rPr>
                <w:sz w:val="16"/>
                <w:szCs w:val="16"/>
              </w:rPr>
              <w:t>14</w:t>
            </w:r>
          </w:p>
        </w:tc>
        <w:tc>
          <w:tcPr>
            <w:tcW w:w="405" w:type="dxa"/>
            <w:tcBorders>
              <w:top w:val="outset" w:sz="6" w:space="0" w:color="000000"/>
              <w:left w:val="outset" w:sz="6" w:space="0" w:color="000000"/>
              <w:bottom w:val="outset" w:sz="6" w:space="0" w:color="000000"/>
              <w:right w:val="outset" w:sz="6" w:space="0" w:color="000000"/>
            </w:tcBorders>
            <w:hideMark/>
          </w:tcPr>
          <w:p w14:paraId="5EDBCC34" w14:textId="77777777" w:rsidR="00C11DEF" w:rsidRPr="00FA7F06" w:rsidRDefault="00C11DEF" w:rsidP="00CF35EE">
            <w:pPr>
              <w:spacing w:after="0"/>
              <w:jc w:val="both"/>
              <w:rPr>
                <w:sz w:val="16"/>
                <w:szCs w:val="16"/>
              </w:rPr>
            </w:pPr>
            <w:r w:rsidRPr="00FA7F06">
              <w:rPr>
                <w:sz w:val="16"/>
                <w:szCs w:val="16"/>
              </w:rPr>
              <w:t>16</w:t>
            </w:r>
          </w:p>
        </w:tc>
        <w:tc>
          <w:tcPr>
            <w:tcW w:w="390" w:type="dxa"/>
            <w:tcBorders>
              <w:top w:val="outset" w:sz="6" w:space="0" w:color="000000"/>
              <w:left w:val="outset" w:sz="6" w:space="0" w:color="000000"/>
              <w:bottom w:val="outset" w:sz="6" w:space="0" w:color="000000"/>
              <w:right w:val="outset" w:sz="6" w:space="0" w:color="000000"/>
            </w:tcBorders>
            <w:hideMark/>
          </w:tcPr>
          <w:p w14:paraId="3135CA19" w14:textId="77777777" w:rsidR="00C11DEF" w:rsidRPr="00FA7F06" w:rsidRDefault="00C11DEF" w:rsidP="00CF35EE">
            <w:pPr>
              <w:spacing w:after="0"/>
              <w:jc w:val="both"/>
              <w:rPr>
                <w:sz w:val="16"/>
                <w:szCs w:val="16"/>
              </w:rPr>
            </w:pPr>
            <w:r w:rsidRPr="00FA7F06">
              <w:rPr>
                <w:sz w:val="16"/>
                <w:szCs w:val="16"/>
              </w:rPr>
              <w:t>18</w:t>
            </w:r>
          </w:p>
        </w:tc>
        <w:tc>
          <w:tcPr>
            <w:tcW w:w="585" w:type="dxa"/>
            <w:gridSpan w:val="2"/>
            <w:tcBorders>
              <w:top w:val="outset" w:sz="6" w:space="0" w:color="000000"/>
              <w:left w:val="outset" w:sz="6" w:space="0" w:color="000000"/>
              <w:bottom w:val="outset" w:sz="6" w:space="0" w:color="000000"/>
              <w:right w:val="outset" w:sz="6" w:space="0" w:color="000000"/>
            </w:tcBorders>
            <w:hideMark/>
          </w:tcPr>
          <w:p w14:paraId="7796E770" w14:textId="77777777" w:rsidR="00C11DEF" w:rsidRPr="00FA7F06" w:rsidRDefault="00C11DEF" w:rsidP="00CF35EE">
            <w:pPr>
              <w:spacing w:after="0"/>
              <w:jc w:val="both"/>
              <w:rPr>
                <w:sz w:val="16"/>
                <w:szCs w:val="16"/>
              </w:rPr>
            </w:pPr>
            <w:r w:rsidRPr="00FA7F06">
              <w:rPr>
                <w:sz w:val="16"/>
                <w:szCs w:val="16"/>
              </w:rPr>
              <w:t>± 0,5</w:t>
            </w:r>
          </w:p>
        </w:tc>
        <w:tc>
          <w:tcPr>
            <w:tcW w:w="645" w:type="dxa"/>
            <w:tcBorders>
              <w:top w:val="outset" w:sz="6" w:space="0" w:color="000000"/>
              <w:left w:val="outset" w:sz="6" w:space="0" w:color="000000"/>
              <w:bottom w:val="outset" w:sz="6" w:space="0" w:color="000000"/>
              <w:right w:val="outset" w:sz="6" w:space="0" w:color="000000"/>
            </w:tcBorders>
            <w:hideMark/>
          </w:tcPr>
          <w:p w14:paraId="7339A307" w14:textId="77777777" w:rsidR="00C11DEF" w:rsidRPr="00FA7F06" w:rsidRDefault="00C11DEF" w:rsidP="00CF35EE">
            <w:pPr>
              <w:spacing w:after="0"/>
              <w:jc w:val="both"/>
              <w:rPr>
                <w:sz w:val="16"/>
                <w:szCs w:val="16"/>
              </w:rPr>
            </w:pPr>
            <w:r w:rsidRPr="00FA7F06">
              <w:rPr>
                <w:sz w:val="16"/>
                <w:szCs w:val="16"/>
              </w:rPr>
              <w:t>± 0,7</w:t>
            </w:r>
          </w:p>
        </w:tc>
        <w:tc>
          <w:tcPr>
            <w:tcW w:w="735" w:type="dxa"/>
            <w:tcBorders>
              <w:top w:val="outset" w:sz="6" w:space="0" w:color="000000"/>
              <w:left w:val="outset" w:sz="6" w:space="0" w:color="000000"/>
              <w:bottom w:val="outset" w:sz="6" w:space="0" w:color="000000"/>
              <w:right w:val="outset" w:sz="6" w:space="0" w:color="000000"/>
            </w:tcBorders>
            <w:hideMark/>
          </w:tcPr>
          <w:p w14:paraId="053040C1" w14:textId="77777777" w:rsidR="00C11DEF" w:rsidRPr="00FA7F06" w:rsidRDefault="00C11DEF" w:rsidP="00CF35EE">
            <w:pPr>
              <w:spacing w:after="0"/>
              <w:jc w:val="both"/>
              <w:rPr>
                <w:sz w:val="16"/>
                <w:szCs w:val="16"/>
              </w:rPr>
            </w:pPr>
            <w:r w:rsidRPr="00FA7F06">
              <w:rPr>
                <w:sz w:val="16"/>
                <w:szCs w:val="16"/>
              </w:rPr>
              <w:t>± 1,0</w:t>
            </w:r>
          </w:p>
        </w:tc>
      </w:tr>
      <w:tr w:rsidR="00FA7F06" w:rsidRPr="00FA7F06" w14:paraId="0C97346F" w14:textId="77777777" w:rsidTr="00CF35EE">
        <w:trPr>
          <w:tblCellSpacing w:w="7" w:type="dxa"/>
        </w:trPr>
        <w:tc>
          <w:tcPr>
            <w:tcW w:w="2670" w:type="dxa"/>
            <w:tcBorders>
              <w:top w:val="outset" w:sz="6" w:space="0" w:color="000000"/>
              <w:left w:val="outset" w:sz="6" w:space="0" w:color="000000"/>
              <w:bottom w:val="outset" w:sz="6" w:space="0" w:color="000000"/>
              <w:right w:val="outset" w:sz="6" w:space="0" w:color="000000"/>
            </w:tcBorders>
            <w:hideMark/>
          </w:tcPr>
          <w:p w14:paraId="16411516" w14:textId="77777777" w:rsidR="00C11DEF" w:rsidRPr="00FA7F06" w:rsidRDefault="00C11DEF" w:rsidP="00CF35EE">
            <w:pPr>
              <w:spacing w:after="0"/>
              <w:jc w:val="both"/>
              <w:rPr>
                <w:sz w:val="16"/>
                <w:szCs w:val="16"/>
              </w:rPr>
            </w:pPr>
            <w:r w:rsidRPr="00FA7F06">
              <w:rPr>
                <w:sz w:val="16"/>
                <w:szCs w:val="16"/>
              </w:rPr>
              <w:t>Wymiar b</w:t>
            </w:r>
          </w:p>
        </w:tc>
        <w:tc>
          <w:tcPr>
            <w:tcW w:w="405" w:type="dxa"/>
            <w:tcBorders>
              <w:top w:val="outset" w:sz="6" w:space="0" w:color="000000"/>
              <w:left w:val="outset" w:sz="6" w:space="0" w:color="000000"/>
              <w:bottom w:val="outset" w:sz="6" w:space="0" w:color="000000"/>
              <w:right w:val="outset" w:sz="6" w:space="0" w:color="000000"/>
            </w:tcBorders>
            <w:hideMark/>
          </w:tcPr>
          <w:p w14:paraId="59D2A81C" w14:textId="77777777" w:rsidR="00C11DEF" w:rsidRPr="00FA7F06" w:rsidRDefault="00C11DEF" w:rsidP="00CF35EE">
            <w:pPr>
              <w:spacing w:after="0"/>
              <w:jc w:val="both"/>
              <w:rPr>
                <w:sz w:val="16"/>
                <w:szCs w:val="16"/>
              </w:rPr>
            </w:pPr>
            <w:r w:rsidRPr="00FA7F06">
              <w:rPr>
                <w:sz w:val="16"/>
                <w:szCs w:val="16"/>
              </w:rPr>
              <w:t>18</w:t>
            </w:r>
          </w:p>
        </w:tc>
        <w:tc>
          <w:tcPr>
            <w:tcW w:w="405" w:type="dxa"/>
            <w:tcBorders>
              <w:top w:val="outset" w:sz="6" w:space="0" w:color="000000"/>
              <w:left w:val="outset" w:sz="6" w:space="0" w:color="000000"/>
              <w:bottom w:val="outset" w:sz="6" w:space="0" w:color="000000"/>
              <w:right w:val="outset" w:sz="6" w:space="0" w:color="000000"/>
            </w:tcBorders>
            <w:hideMark/>
          </w:tcPr>
          <w:p w14:paraId="01882014" w14:textId="77777777" w:rsidR="00C11DEF" w:rsidRPr="00FA7F06" w:rsidRDefault="00C11DEF" w:rsidP="00CF35EE">
            <w:pPr>
              <w:spacing w:after="0"/>
              <w:jc w:val="both"/>
              <w:rPr>
                <w:sz w:val="16"/>
                <w:szCs w:val="16"/>
              </w:rPr>
            </w:pPr>
            <w:r w:rsidRPr="00FA7F06">
              <w:rPr>
                <w:sz w:val="16"/>
                <w:szCs w:val="16"/>
              </w:rPr>
              <w:t>21</w:t>
            </w:r>
          </w:p>
        </w:tc>
        <w:tc>
          <w:tcPr>
            <w:tcW w:w="405" w:type="dxa"/>
            <w:tcBorders>
              <w:top w:val="outset" w:sz="6" w:space="0" w:color="000000"/>
              <w:left w:val="outset" w:sz="6" w:space="0" w:color="000000"/>
              <w:bottom w:val="outset" w:sz="6" w:space="0" w:color="000000"/>
              <w:right w:val="outset" w:sz="6" w:space="0" w:color="000000"/>
            </w:tcBorders>
            <w:hideMark/>
          </w:tcPr>
          <w:p w14:paraId="5E4353F0" w14:textId="77777777" w:rsidR="00C11DEF" w:rsidRPr="00FA7F06" w:rsidRDefault="00C11DEF" w:rsidP="00CF35EE">
            <w:pPr>
              <w:spacing w:after="0"/>
              <w:jc w:val="both"/>
              <w:rPr>
                <w:sz w:val="16"/>
                <w:szCs w:val="16"/>
              </w:rPr>
            </w:pPr>
            <w:r w:rsidRPr="00FA7F06">
              <w:rPr>
                <w:sz w:val="16"/>
                <w:szCs w:val="16"/>
              </w:rPr>
              <w:t>24</w:t>
            </w:r>
          </w:p>
        </w:tc>
        <w:tc>
          <w:tcPr>
            <w:tcW w:w="390" w:type="dxa"/>
            <w:tcBorders>
              <w:top w:val="outset" w:sz="6" w:space="0" w:color="000000"/>
              <w:left w:val="outset" w:sz="6" w:space="0" w:color="000000"/>
              <w:bottom w:val="outset" w:sz="6" w:space="0" w:color="000000"/>
              <w:right w:val="outset" w:sz="6" w:space="0" w:color="000000"/>
            </w:tcBorders>
            <w:hideMark/>
          </w:tcPr>
          <w:p w14:paraId="57F812A0" w14:textId="77777777" w:rsidR="00C11DEF" w:rsidRPr="00FA7F06" w:rsidRDefault="00C11DEF" w:rsidP="00CF35EE">
            <w:pPr>
              <w:spacing w:after="0"/>
              <w:jc w:val="both"/>
              <w:rPr>
                <w:sz w:val="16"/>
                <w:szCs w:val="16"/>
              </w:rPr>
            </w:pPr>
            <w:r w:rsidRPr="00FA7F06">
              <w:rPr>
                <w:sz w:val="16"/>
                <w:szCs w:val="16"/>
              </w:rPr>
              <w:t>27</w:t>
            </w:r>
          </w:p>
        </w:tc>
        <w:tc>
          <w:tcPr>
            <w:tcW w:w="585" w:type="dxa"/>
            <w:gridSpan w:val="2"/>
            <w:tcBorders>
              <w:top w:val="outset" w:sz="6" w:space="0" w:color="000000"/>
              <w:left w:val="outset" w:sz="6" w:space="0" w:color="000000"/>
              <w:bottom w:val="outset" w:sz="6" w:space="0" w:color="000000"/>
              <w:right w:val="outset" w:sz="6" w:space="0" w:color="000000"/>
            </w:tcBorders>
            <w:hideMark/>
          </w:tcPr>
          <w:p w14:paraId="62EF73C4" w14:textId="77777777" w:rsidR="00C11DEF" w:rsidRPr="00FA7F06" w:rsidRDefault="00C11DEF" w:rsidP="00CF35EE">
            <w:pPr>
              <w:spacing w:after="0"/>
              <w:jc w:val="both"/>
              <w:rPr>
                <w:sz w:val="16"/>
                <w:szCs w:val="16"/>
              </w:rPr>
            </w:pPr>
            <w:r w:rsidRPr="00FA7F06">
              <w:rPr>
                <w:sz w:val="16"/>
                <w:szCs w:val="16"/>
              </w:rPr>
              <w:t>± 0,7</w:t>
            </w:r>
          </w:p>
        </w:tc>
        <w:tc>
          <w:tcPr>
            <w:tcW w:w="645" w:type="dxa"/>
            <w:tcBorders>
              <w:top w:val="outset" w:sz="6" w:space="0" w:color="000000"/>
              <w:left w:val="outset" w:sz="6" w:space="0" w:color="000000"/>
              <w:bottom w:val="outset" w:sz="6" w:space="0" w:color="000000"/>
              <w:right w:val="outset" w:sz="6" w:space="0" w:color="000000"/>
            </w:tcBorders>
            <w:hideMark/>
          </w:tcPr>
          <w:p w14:paraId="173918C5" w14:textId="77777777" w:rsidR="00C11DEF" w:rsidRPr="00FA7F06" w:rsidRDefault="00C11DEF" w:rsidP="00CF35EE">
            <w:pPr>
              <w:spacing w:after="0"/>
              <w:jc w:val="both"/>
              <w:rPr>
                <w:sz w:val="16"/>
                <w:szCs w:val="16"/>
              </w:rPr>
            </w:pPr>
            <w:r w:rsidRPr="00FA7F06">
              <w:rPr>
                <w:sz w:val="16"/>
                <w:szCs w:val="16"/>
              </w:rPr>
              <w:t>± 1,0</w:t>
            </w:r>
          </w:p>
        </w:tc>
        <w:tc>
          <w:tcPr>
            <w:tcW w:w="735" w:type="dxa"/>
            <w:tcBorders>
              <w:top w:val="outset" w:sz="6" w:space="0" w:color="000000"/>
              <w:left w:val="outset" w:sz="6" w:space="0" w:color="000000"/>
              <w:bottom w:val="outset" w:sz="6" w:space="0" w:color="000000"/>
              <w:right w:val="outset" w:sz="6" w:space="0" w:color="000000"/>
            </w:tcBorders>
            <w:hideMark/>
          </w:tcPr>
          <w:p w14:paraId="04780CFF" w14:textId="77777777" w:rsidR="00C11DEF" w:rsidRPr="00FA7F06" w:rsidRDefault="00C11DEF" w:rsidP="00CF35EE">
            <w:pPr>
              <w:spacing w:after="0"/>
              <w:jc w:val="both"/>
              <w:rPr>
                <w:sz w:val="16"/>
                <w:szCs w:val="16"/>
              </w:rPr>
            </w:pPr>
            <w:r w:rsidRPr="00FA7F06">
              <w:rPr>
                <w:sz w:val="16"/>
                <w:szCs w:val="16"/>
              </w:rPr>
              <w:t>± 1,2</w:t>
            </w:r>
          </w:p>
        </w:tc>
      </w:tr>
      <w:tr w:rsidR="00FA7F06" w:rsidRPr="00FA7F06" w14:paraId="4D70D05D" w14:textId="77777777" w:rsidTr="00CF35EE">
        <w:trPr>
          <w:tblCellSpacing w:w="7" w:type="dxa"/>
        </w:trPr>
        <w:tc>
          <w:tcPr>
            <w:tcW w:w="2670" w:type="dxa"/>
            <w:tcBorders>
              <w:top w:val="outset" w:sz="6" w:space="0" w:color="000000"/>
              <w:left w:val="outset" w:sz="6" w:space="0" w:color="000000"/>
              <w:bottom w:val="outset" w:sz="6" w:space="0" w:color="000000"/>
              <w:right w:val="outset" w:sz="6" w:space="0" w:color="000000"/>
            </w:tcBorders>
            <w:hideMark/>
          </w:tcPr>
          <w:p w14:paraId="1FC336BB" w14:textId="77777777" w:rsidR="00C11DEF" w:rsidRPr="00FA7F06" w:rsidRDefault="00C11DEF" w:rsidP="00CF35EE">
            <w:pPr>
              <w:spacing w:after="0"/>
              <w:jc w:val="both"/>
              <w:rPr>
                <w:sz w:val="16"/>
                <w:szCs w:val="16"/>
              </w:rPr>
            </w:pPr>
            <w:r w:rsidRPr="00FA7F06">
              <w:rPr>
                <w:sz w:val="16"/>
                <w:szCs w:val="16"/>
              </w:rPr>
              <w:t>Stosunek pola powierzchni dolnej (stopki) do górnej (czoła), nie mniejszy niż</w:t>
            </w:r>
          </w:p>
        </w:tc>
        <w:tc>
          <w:tcPr>
            <w:tcW w:w="405" w:type="dxa"/>
            <w:tcBorders>
              <w:top w:val="outset" w:sz="6" w:space="0" w:color="000000"/>
              <w:left w:val="outset" w:sz="6" w:space="0" w:color="000000"/>
              <w:bottom w:val="outset" w:sz="6" w:space="0" w:color="000000"/>
              <w:right w:val="outset" w:sz="6" w:space="0" w:color="000000"/>
            </w:tcBorders>
            <w:hideMark/>
          </w:tcPr>
          <w:p w14:paraId="1F176473" w14:textId="77777777" w:rsidR="00C11DEF" w:rsidRPr="00FA7F06" w:rsidRDefault="00C11DEF" w:rsidP="00CF35EE">
            <w:pPr>
              <w:spacing w:after="0"/>
              <w:jc w:val="both"/>
              <w:rPr>
                <w:sz w:val="16"/>
                <w:szCs w:val="16"/>
              </w:rPr>
            </w:pPr>
          </w:p>
          <w:p w14:paraId="5F755250" w14:textId="77777777" w:rsidR="00C11DEF" w:rsidRPr="00FA7F06" w:rsidRDefault="00C11DEF" w:rsidP="00CF35EE">
            <w:pPr>
              <w:spacing w:after="0"/>
              <w:jc w:val="both"/>
              <w:rPr>
                <w:sz w:val="16"/>
                <w:szCs w:val="16"/>
              </w:rPr>
            </w:pPr>
            <w:r w:rsidRPr="00FA7F06">
              <w:rPr>
                <w:sz w:val="16"/>
                <w:szCs w:val="16"/>
              </w:rPr>
              <w:t>-</w:t>
            </w:r>
          </w:p>
        </w:tc>
        <w:tc>
          <w:tcPr>
            <w:tcW w:w="405" w:type="dxa"/>
            <w:tcBorders>
              <w:top w:val="outset" w:sz="6" w:space="0" w:color="000000"/>
              <w:left w:val="outset" w:sz="6" w:space="0" w:color="000000"/>
              <w:bottom w:val="outset" w:sz="6" w:space="0" w:color="000000"/>
              <w:right w:val="outset" w:sz="6" w:space="0" w:color="000000"/>
            </w:tcBorders>
            <w:hideMark/>
          </w:tcPr>
          <w:p w14:paraId="32E3AC4B" w14:textId="77777777" w:rsidR="00C11DEF" w:rsidRPr="00FA7F06" w:rsidRDefault="00C11DEF" w:rsidP="00CF35EE">
            <w:pPr>
              <w:spacing w:after="0"/>
              <w:jc w:val="both"/>
              <w:rPr>
                <w:sz w:val="16"/>
                <w:szCs w:val="16"/>
              </w:rPr>
            </w:pPr>
          </w:p>
          <w:p w14:paraId="63557BEE" w14:textId="77777777" w:rsidR="00C11DEF" w:rsidRPr="00FA7F06" w:rsidRDefault="00C11DEF" w:rsidP="00CF35EE">
            <w:pPr>
              <w:spacing w:after="0"/>
              <w:jc w:val="both"/>
              <w:rPr>
                <w:sz w:val="16"/>
                <w:szCs w:val="16"/>
              </w:rPr>
            </w:pPr>
            <w:r w:rsidRPr="00FA7F06">
              <w:rPr>
                <w:sz w:val="16"/>
                <w:szCs w:val="16"/>
              </w:rPr>
              <w:t>-</w:t>
            </w:r>
          </w:p>
        </w:tc>
        <w:tc>
          <w:tcPr>
            <w:tcW w:w="405" w:type="dxa"/>
            <w:tcBorders>
              <w:top w:val="outset" w:sz="6" w:space="0" w:color="000000"/>
              <w:left w:val="outset" w:sz="6" w:space="0" w:color="000000"/>
              <w:bottom w:val="outset" w:sz="6" w:space="0" w:color="000000"/>
              <w:right w:val="outset" w:sz="6" w:space="0" w:color="000000"/>
            </w:tcBorders>
            <w:hideMark/>
          </w:tcPr>
          <w:p w14:paraId="61804CA0" w14:textId="77777777" w:rsidR="00C11DEF" w:rsidRPr="00FA7F06" w:rsidRDefault="00C11DEF" w:rsidP="00CF35EE">
            <w:pPr>
              <w:spacing w:after="0"/>
              <w:jc w:val="both"/>
              <w:rPr>
                <w:sz w:val="16"/>
                <w:szCs w:val="16"/>
              </w:rPr>
            </w:pPr>
          </w:p>
          <w:p w14:paraId="120876EF" w14:textId="77777777" w:rsidR="00C11DEF" w:rsidRPr="00FA7F06" w:rsidRDefault="00C11DEF" w:rsidP="00CF35EE">
            <w:pPr>
              <w:spacing w:after="0"/>
              <w:jc w:val="both"/>
              <w:rPr>
                <w:sz w:val="16"/>
                <w:szCs w:val="16"/>
              </w:rPr>
            </w:pPr>
            <w:r w:rsidRPr="00FA7F06">
              <w:rPr>
                <w:sz w:val="16"/>
                <w:szCs w:val="16"/>
              </w:rPr>
              <w:t>-</w:t>
            </w:r>
          </w:p>
        </w:tc>
        <w:tc>
          <w:tcPr>
            <w:tcW w:w="390" w:type="dxa"/>
            <w:tcBorders>
              <w:top w:val="outset" w:sz="6" w:space="0" w:color="000000"/>
              <w:left w:val="outset" w:sz="6" w:space="0" w:color="000000"/>
              <w:bottom w:val="outset" w:sz="6" w:space="0" w:color="000000"/>
              <w:right w:val="outset" w:sz="6" w:space="0" w:color="000000"/>
            </w:tcBorders>
            <w:hideMark/>
          </w:tcPr>
          <w:p w14:paraId="69C77C5F" w14:textId="77777777" w:rsidR="00C11DEF" w:rsidRPr="00FA7F06" w:rsidRDefault="00C11DEF" w:rsidP="00CF35EE">
            <w:pPr>
              <w:spacing w:after="0"/>
              <w:jc w:val="both"/>
              <w:rPr>
                <w:sz w:val="16"/>
                <w:szCs w:val="16"/>
              </w:rPr>
            </w:pPr>
          </w:p>
          <w:p w14:paraId="24FB48A4" w14:textId="77777777" w:rsidR="00C11DEF" w:rsidRPr="00FA7F06" w:rsidRDefault="00C11DEF" w:rsidP="00CF35EE">
            <w:pPr>
              <w:spacing w:after="0"/>
              <w:jc w:val="both"/>
              <w:rPr>
                <w:sz w:val="16"/>
                <w:szCs w:val="16"/>
              </w:rPr>
            </w:pPr>
            <w:r w:rsidRPr="00FA7F06">
              <w:rPr>
                <w:sz w:val="16"/>
                <w:szCs w:val="16"/>
              </w:rPr>
              <w:t>-</w:t>
            </w:r>
          </w:p>
        </w:tc>
        <w:tc>
          <w:tcPr>
            <w:tcW w:w="585" w:type="dxa"/>
            <w:gridSpan w:val="2"/>
            <w:tcBorders>
              <w:top w:val="outset" w:sz="6" w:space="0" w:color="000000"/>
              <w:left w:val="outset" w:sz="6" w:space="0" w:color="000000"/>
              <w:bottom w:val="outset" w:sz="6" w:space="0" w:color="000000"/>
              <w:right w:val="outset" w:sz="6" w:space="0" w:color="000000"/>
            </w:tcBorders>
            <w:hideMark/>
          </w:tcPr>
          <w:p w14:paraId="571E8648" w14:textId="77777777" w:rsidR="00C11DEF" w:rsidRPr="00FA7F06" w:rsidRDefault="00C11DEF" w:rsidP="00CF35EE">
            <w:pPr>
              <w:spacing w:after="0"/>
              <w:jc w:val="both"/>
              <w:rPr>
                <w:sz w:val="16"/>
                <w:szCs w:val="16"/>
              </w:rPr>
            </w:pPr>
          </w:p>
          <w:p w14:paraId="491255AB" w14:textId="77777777" w:rsidR="00C11DEF" w:rsidRPr="00FA7F06" w:rsidRDefault="00C11DEF" w:rsidP="00CF35EE">
            <w:pPr>
              <w:spacing w:after="0"/>
              <w:jc w:val="both"/>
              <w:rPr>
                <w:sz w:val="16"/>
                <w:szCs w:val="16"/>
              </w:rPr>
            </w:pPr>
            <w:r w:rsidRPr="00FA7F06">
              <w:rPr>
                <w:sz w:val="16"/>
                <w:szCs w:val="16"/>
              </w:rPr>
              <w:t>1,0</w:t>
            </w:r>
          </w:p>
        </w:tc>
        <w:tc>
          <w:tcPr>
            <w:tcW w:w="645" w:type="dxa"/>
            <w:tcBorders>
              <w:top w:val="outset" w:sz="6" w:space="0" w:color="000000"/>
              <w:left w:val="outset" w:sz="6" w:space="0" w:color="000000"/>
              <w:bottom w:val="outset" w:sz="6" w:space="0" w:color="000000"/>
              <w:right w:val="outset" w:sz="6" w:space="0" w:color="000000"/>
            </w:tcBorders>
            <w:hideMark/>
          </w:tcPr>
          <w:p w14:paraId="5F6D4EF8" w14:textId="77777777" w:rsidR="00C11DEF" w:rsidRPr="00FA7F06" w:rsidRDefault="00C11DEF" w:rsidP="00CF35EE">
            <w:pPr>
              <w:spacing w:after="0"/>
              <w:jc w:val="both"/>
              <w:rPr>
                <w:sz w:val="16"/>
                <w:szCs w:val="16"/>
              </w:rPr>
            </w:pPr>
          </w:p>
          <w:p w14:paraId="7F7B75BA" w14:textId="77777777" w:rsidR="00C11DEF" w:rsidRPr="00FA7F06" w:rsidRDefault="00C11DEF" w:rsidP="00CF35EE">
            <w:pPr>
              <w:spacing w:after="0"/>
              <w:jc w:val="both"/>
              <w:rPr>
                <w:sz w:val="16"/>
                <w:szCs w:val="16"/>
              </w:rPr>
            </w:pPr>
            <w:r w:rsidRPr="00FA7F06">
              <w:rPr>
                <w:sz w:val="16"/>
                <w:szCs w:val="16"/>
              </w:rPr>
              <w:t>0,8</w:t>
            </w:r>
          </w:p>
        </w:tc>
        <w:tc>
          <w:tcPr>
            <w:tcW w:w="735" w:type="dxa"/>
            <w:tcBorders>
              <w:top w:val="outset" w:sz="6" w:space="0" w:color="000000"/>
              <w:left w:val="outset" w:sz="6" w:space="0" w:color="000000"/>
              <w:bottom w:val="outset" w:sz="6" w:space="0" w:color="000000"/>
              <w:right w:val="outset" w:sz="6" w:space="0" w:color="000000"/>
            </w:tcBorders>
            <w:hideMark/>
          </w:tcPr>
          <w:p w14:paraId="3E606784" w14:textId="77777777" w:rsidR="00C11DEF" w:rsidRPr="00FA7F06" w:rsidRDefault="00C11DEF" w:rsidP="00CF35EE">
            <w:pPr>
              <w:spacing w:after="0"/>
              <w:jc w:val="both"/>
              <w:rPr>
                <w:sz w:val="16"/>
                <w:szCs w:val="16"/>
              </w:rPr>
            </w:pPr>
          </w:p>
          <w:p w14:paraId="1370120A" w14:textId="77777777" w:rsidR="00C11DEF" w:rsidRPr="00FA7F06" w:rsidRDefault="00C11DEF" w:rsidP="00CF35EE">
            <w:pPr>
              <w:spacing w:after="0"/>
              <w:jc w:val="both"/>
              <w:rPr>
                <w:sz w:val="16"/>
                <w:szCs w:val="16"/>
              </w:rPr>
            </w:pPr>
            <w:r w:rsidRPr="00FA7F06">
              <w:rPr>
                <w:sz w:val="16"/>
                <w:szCs w:val="16"/>
              </w:rPr>
              <w:t>0,7</w:t>
            </w:r>
          </w:p>
        </w:tc>
      </w:tr>
      <w:tr w:rsidR="00FA7F06" w:rsidRPr="00FA7F06" w14:paraId="22BDA073" w14:textId="77777777" w:rsidTr="00CF35EE">
        <w:trPr>
          <w:tblCellSpacing w:w="7" w:type="dxa"/>
        </w:trPr>
        <w:tc>
          <w:tcPr>
            <w:tcW w:w="2670" w:type="dxa"/>
            <w:tcBorders>
              <w:top w:val="outset" w:sz="6" w:space="0" w:color="000000"/>
              <w:left w:val="outset" w:sz="6" w:space="0" w:color="000000"/>
              <w:bottom w:val="outset" w:sz="6" w:space="0" w:color="000000"/>
              <w:right w:val="outset" w:sz="6" w:space="0" w:color="000000"/>
            </w:tcBorders>
            <w:hideMark/>
          </w:tcPr>
          <w:p w14:paraId="7BF66B9B" w14:textId="77777777" w:rsidR="00C11DEF" w:rsidRPr="00FA7F06" w:rsidRDefault="00C11DEF" w:rsidP="00CF35EE">
            <w:pPr>
              <w:spacing w:after="0"/>
              <w:jc w:val="both"/>
              <w:rPr>
                <w:sz w:val="16"/>
                <w:szCs w:val="16"/>
              </w:rPr>
            </w:pPr>
            <w:r w:rsidRPr="00FA7F06">
              <w:rPr>
                <w:sz w:val="16"/>
                <w:szCs w:val="16"/>
              </w:rPr>
              <w:t>Nierówności powierzchni górnej (czoła), nie większe niż</w:t>
            </w:r>
          </w:p>
        </w:tc>
        <w:tc>
          <w:tcPr>
            <w:tcW w:w="405" w:type="dxa"/>
            <w:tcBorders>
              <w:top w:val="outset" w:sz="6" w:space="0" w:color="000000"/>
              <w:left w:val="outset" w:sz="6" w:space="0" w:color="000000"/>
              <w:bottom w:val="outset" w:sz="6" w:space="0" w:color="000000"/>
              <w:right w:val="outset" w:sz="6" w:space="0" w:color="000000"/>
            </w:tcBorders>
            <w:hideMark/>
          </w:tcPr>
          <w:p w14:paraId="378B01C2" w14:textId="77777777" w:rsidR="00C11DEF" w:rsidRPr="00FA7F06" w:rsidRDefault="00C11DEF" w:rsidP="00CF35EE">
            <w:pPr>
              <w:spacing w:after="0"/>
              <w:jc w:val="both"/>
              <w:rPr>
                <w:sz w:val="16"/>
                <w:szCs w:val="16"/>
              </w:rPr>
            </w:pPr>
            <w:r w:rsidRPr="00FA7F06">
              <w:rPr>
                <w:sz w:val="16"/>
                <w:szCs w:val="16"/>
              </w:rPr>
              <w:t>-</w:t>
            </w:r>
          </w:p>
        </w:tc>
        <w:tc>
          <w:tcPr>
            <w:tcW w:w="405" w:type="dxa"/>
            <w:tcBorders>
              <w:top w:val="outset" w:sz="6" w:space="0" w:color="000000"/>
              <w:left w:val="outset" w:sz="6" w:space="0" w:color="000000"/>
              <w:bottom w:val="outset" w:sz="6" w:space="0" w:color="000000"/>
              <w:right w:val="outset" w:sz="6" w:space="0" w:color="000000"/>
            </w:tcBorders>
            <w:hideMark/>
          </w:tcPr>
          <w:p w14:paraId="6ACF5168" w14:textId="77777777" w:rsidR="00C11DEF" w:rsidRPr="00FA7F06" w:rsidRDefault="00C11DEF" w:rsidP="00CF35EE">
            <w:pPr>
              <w:spacing w:after="0"/>
              <w:jc w:val="both"/>
              <w:rPr>
                <w:sz w:val="16"/>
                <w:szCs w:val="16"/>
              </w:rPr>
            </w:pPr>
            <w:r w:rsidRPr="00FA7F06">
              <w:rPr>
                <w:sz w:val="16"/>
                <w:szCs w:val="16"/>
              </w:rPr>
              <w:t>-</w:t>
            </w:r>
          </w:p>
        </w:tc>
        <w:tc>
          <w:tcPr>
            <w:tcW w:w="405" w:type="dxa"/>
            <w:tcBorders>
              <w:top w:val="outset" w:sz="6" w:space="0" w:color="000000"/>
              <w:left w:val="outset" w:sz="6" w:space="0" w:color="000000"/>
              <w:bottom w:val="outset" w:sz="6" w:space="0" w:color="000000"/>
              <w:right w:val="outset" w:sz="6" w:space="0" w:color="000000"/>
            </w:tcBorders>
            <w:hideMark/>
          </w:tcPr>
          <w:p w14:paraId="2E72EC22" w14:textId="77777777" w:rsidR="00C11DEF" w:rsidRPr="00FA7F06" w:rsidRDefault="00C11DEF" w:rsidP="00CF35EE">
            <w:pPr>
              <w:spacing w:after="0"/>
              <w:jc w:val="both"/>
              <w:rPr>
                <w:sz w:val="16"/>
                <w:szCs w:val="16"/>
              </w:rPr>
            </w:pPr>
            <w:r w:rsidRPr="00FA7F06">
              <w:rPr>
                <w:sz w:val="16"/>
                <w:szCs w:val="16"/>
              </w:rPr>
              <w:t>-</w:t>
            </w:r>
          </w:p>
        </w:tc>
        <w:tc>
          <w:tcPr>
            <w:tcW w:w="390" w:type="dxa"/>
            <w:tcBorders>
              <w:top w:val="outset" w:sz="6" w:space="0" w:color="000000"/>
              <w:left w:val="outset" w:sz="6" w:space="0" w:color="000000"/>
              <w:bottom w:val="outset" w:sz="6" w:space="0" w:color="000000"/>
              <w:right w:val="outset" w:sz="6" w:space="0" w:color="000000"/>
            </w:tcBorders>
            <w:hideMark/>
          </w:tcPr>
          <w:p w14:paraId="09D996D1" w14:textId="77777777" w:rsidR="00C11DEF" w:rsidRPr="00FA7F06" w:rsidRDefault="00C11DEF" w:rsidP="00CF35EE">
            <w:pPr>
              <w:spacing w:after="0"/>
              <w:jc w:val="both"/>
              <w:rPr>
                <w:sz w:val="16"/>
                <w:szCs w:val="16"/>
              </w:rPr>
            </w:pPr>
            <w:r w:rsidRPr="00FA7F06">
              <w:rPr>
                <w:sz w:val="16"/>
                <w:szCs w:val="16"/>
              </w:rPr>
              <w:t>-</w:t>
            </w:r>
          </w:p>
        </w:tc>
        <w:tc>
          <w:tcPr>
            <w:tcW w:w="585" w:type="dxa"/>
            <w:gridSpan w:val="2"/>
            <w:tcBorders>
              <w:top w:val="outset" w:sz="6" w:space="0" w:color="000000"/>
              <w:left w:val="outset" w:sz="6" w:space="0" w:color="000000"/>
              <w:bottom w:val="outset" w:sz="6" w:space="0" w:color="000000"/>
              <w:right w:val="outset" w:sz="6" w:space="0" w:color="000000"/>
            </w:tcBorders>
            <w:hideMark/>
          </w:tcPr>
          <w:p w14:paraId="7B7B87D2" w14:textId="77777777" w:rsidR="00C11DEF" w:rsidRPr="00FA7F06" w:rsidRDefault="00C11DEF" w:rsidP="00CF35EE">
            <w:pPr>
              <w:spacing w:after="0"/>
              <w:jc w:val="both"/>
              <w:rPr>
                <w:sz w:val="16"/>
                <w:szCs w:val="16"/>
              </w:rPr>
            </w:pPr>
            <w:r w:rsidRPr="00FA7F06">
              <w:rPr>
                <w:sz w:val="16"/>
                <w:szCs w:val="16"/>
              </w:rPr>
              <w:t>± 0,4</w:t>
            </w:r>
          </w:p>
        </w:tc>
        <w:tc>
          <w:tcPr>
            <w:tcW w:w="645" w:type="dxa"/>
            <w:tcBorders>
              <w:top w:val="outset" w:sz="6" w:space="0" w:color="000000"/>
              <w:left w:val="outset" w:sz="6" w:space="0" w:color="000000"/>
              <w:bottom w:val="outset" w:sz="6" w:space="0" w:color="000000"/>
              <w:right w:val="outset" w:sz="6" w:space="0" w:color="000000"/>
            </w:tcBorders>
            <w:hideMark/>
          </w:tcPr>
          <w:p w14:paraId="4D167076" w14:textId="77777777" w:rsidR="00C11DEF" w:rsidRPr="00FA7F06" w:rsidRDefault="00C11DEF" w:rsidP="00CF35EE">
            <w:pPr>
              <w:spacing w:after="0"/>
              <w:jc w:val="both"/>
              <w:rPr>
                <w:sz w:val="16"/>
                <w:szCs w:val="16"/>
              </w:rPr>
            </w:pPr>
            <w:r w:rsidRPr="00FA7F06">
              <w:rPr>
                <w:sz w:val="16"/>
                <w:szCs w:val="16"/>
              </w:rPr>
              <w:t>± 0,4</w:t>
            </w:r>
          </w:p>
        </w:tc>
        <w:tc>
          <w:tcPr>
            <w:tcW w:w="735" w:type="dxa"/>
            <w:tcBorders>
              <w:top w:val="outset" w:sz="6" w:space="0" w:color="000000"/>
              <w:left w:val="outset" w:sz="6" w:space="0" w:color="000000"/>
              <w:bottom w:val="outset" w:sz="6" w:space="0" w:color="000000"/>
              <w:right w:val="outset" w:sz="6" w:space="0" w:color="000000"/>
            </w:tcBorders>
            <w:hideMark/>
          </w:tcPr>
          <w:p w14:paraId="70E52B5E" w14:textId="77777777" w:rsidR="00C11DEF" w:rsidRPr="00FA7F06" w:rsidRDefault="00C11DEF" w:rsidP="00CF35EE">
            <w:pPr>
              <w:spacing w:after="0"/>
              <w:jc w:val="both"/>
              <w:rPr>
                <w:sz w:val="16"/>
                <w:szCs w:val="16"/>
              </w:rPr>
            </w:pPr>
            <w:r w:rsidRPr="00FA7F06">
              <w:rPr>
                <w:sz w:val="16"/>
                <w:szCs w:val="16"/>
              </w:rPr>
              <w:t>± 0,6</w:t>
            </w:r>
          </w:p>
        </w:tc>
      </w:tr>
      <w:tr w:rsidR="00FA7F06" w:rsidRPr="00FA7F06" w14:paraId="0C4258DB" w14:textId="77777777" w:rsidTr="00CF35EE">
        <w:trPr>
          <w:tblCellSpacing w:w="7" w:type="dxa"/>
        </w:trPr>
        <w:tc>
          <w:tcPr>
            <w:tcW w:w="2670" w:type="dxa"/>
            <w:tcBorders>
              <w:top w:val="outset" w:sz="6" w:space="0" w:color="000000"/>
              <w:left w:val="outset" w:sz="6" w:space="0" w:color="000000"/>
              <w:bottom w:val="outset" w:sz="6" w:space="0" w:color="000000"/>
              <w:right w:val="outset" w:sz="6" w:space="0" w:color="000000"/>
            </w:tcBorders>
            <w:hideMark/>
          </w:tcPr>
          <w:p w14:paraId="5FC11373" w14:textId="77777777" w:rsidR="00C11DEF" w:rsidRPr="00FA7F06" w:rsidRDefault="00C11DEF" w:rsidP="00CF35EE">
            <w:pPr>
              <w:spacing w:after="0"/>
              <w:jc w:val="both"/>
              <w:rPr>
                <w:sz w:val="16"/>
                <w:szCs w:val="16"/>
              </w:rPr>
            </w:pPr>
            <w:r w:rsidRPr="00FA7F06">
              <w:rPr>
                <w:sz w:val="16"/>
                <w:szCs w:val="16"/>
              </w:rPr>
              <w:t>Wypukłość powierzchni bocznej, nie większa niż</w:t>
            </w:r>
          </w:p>
        </w:tc>
        <w:tc>
          <w:tcPr>
            <w:tcW w:w="405" w:type="dxa"/>
            <w:tcBorders>
              <w:top w:val="outset" w:sz="6" w:space="0" w:color="000000"/>
              <w:left w:val="outset" w:sz="6" w:space="0" w:color="000000"/>
              <w:bottom w:val="outset" w:sz="6" w:space="0" w:color="000000"/>
              <w:right w:val="outset" w:sz="6" w:space="0" w:color="000000"/>
            </w:tcBorders>
            <w:hideMark/>
          </w:tcPr>
          <w:p w14:paraId="0D13FB0C" w14:textId="77777777" w:rsidR="00C11DEF" w:rsidRPr="00FA7F06" w:rsidRDefault="00C11DEF" w:rsidP="00CF35EE">
            <w:pPr>
              <w:spacing w:after="0"/>
              <w:jc w:val="both"/>
              <w:rPr>
                <w:sz w:val="16"/>
                <w:szCs w:val="16"/>
              </w:rPr>
            </w:pPr>
            <w:r w:rsidRPr="00FA7F06">
              <w:rPr>
                <w:sz w:val="16"/>
                <w:szCs w:val="16"/>
              </w:rPr>
              <w:t>-</w:t>
            </w:r>
          </w:p>
        </w:tc>
        <w:tc>
          <w:tcPr>
            <w:tcW w:w="405" w:type="dxa"/>
            <w:tcBorders>
              <w:top w:val="outset" w:sz="6" w:space="0" w:color="000000"/>
              <w:left w:val="outset" w:sz="6" w:space="0" w:color="000000"/>
              <w:bottom w:val="outset" w:sz="6" w:space="0" w:color="000000"/>
              <w:right w:val="outset" w:sz="6" w:space="0" w:color="000000"/>
            </w:tcBorders>
            <w:hideMark/>
          </w:tcPr>
          <w:p w14:paraId="5292ADC9" w14:textId="77777777" w:rsidR="00C11DEF" w:rsidRPr="00FA7F06" w:rsidRDefault="00C11DEF" w:rsidP="00CF35EE">
            <w:pPr>
              <w:spacing w:after="0"/>
              <w:jc w:val="both"/>
              <w:rPr>
                <w:sz w:val="16"/>
                <w:szCs w:val="16"/>
              </w:rPr>
            </w:pPr>
            <w:r w:rsidRPr="00FA7F06">
              <w:rPr>
                <w:sz w:val="16"/>
                <w:szCs w:val="16"/>
              </w:rPr>
              <w:t>-</w:t>
            </w:r>
          </w:p>
        </w:tc>
        <w:tc>
          <w:tcPr>
            <w:tcW w:w="405" w:type="dxa"/>
            <w:tcBorders>
              <w:top w:val="outset" w:sz="6" w:space="0" w:color="000000"/>
              <w:left w:val="outset" w:sz="6" w:space="0" w:color="000000"/>
              <w:bottom w:val="outset" w:sz="6" w:space="0" w:color="000000"/>
              <w:right w:val="outset" w:sz="6" w:space="0" w:color="000000"/>
            </w:tcBorders>
            <w:hideMark/>
          </w:tcPr>
          <w:p w14:paraId="6021DB39" w14:textId="77777777" w:rsidR="00C11DEF" w:rsidRPr="00FA7F06" w:rsidRDefault="00C11DEF" w:rsidP="00CF35EE">
            <w:pPr>
              <w:spacing w:after="0"/>
              <w:jc w:val="both"/>
              <w:rPr>
                <w:sz w:val="16"/>
                <w:szCs w:val="16"/>
              </w:rPr>
            </w:pPr>
            <w:r w:rsidRPr="00FA7F06">
              <w:rPr>
                <w:sz w:val="16"/>
                <w:szCs w:val="16"/>
              </w:rPr>
              <w:t>-</w:t>
            </w:r>
          </w:p>
        </w:tc>
        <w:tc>
          <w:tcPr>
            <w:tcW w:w="390" w:type="dxa"/>
            <w:tcBorders>
              <w:top w:val="outset" w:sz="6" w:space="0" w:color="000000"/>
              <w:left w:val="outset" w:sz="6" w:space="0" w:color="000000"/>
              <w:bottom w:val="outset" w:sz="6" w:space="0" w:color="000000"/>
              <w:right w:val="outset" w:sz="6" w:space="0" w:color="000000"/>
            </w:tcBorders>
            <w:hideMark/>
          </w:tcPr>
          <w:p w14:paraId="0DE4066E" w14:textId="77777777" w:rsidR="00C11DEF" w:rsidRPr="00FA7F06" w:rsidRDefault="00C11DEF" w:rsidP="00CF35EE">
            <w:pPr>
              <w:spacing w:after="0"/>
              <w:jc w:val="both"/>
              <w:rPr>
                <w:sz w:val="16"/>
                <w:szCs w:val="16"/>
              </w:rPr>
            </w:pPr>
            <w:r w:rsidRPr="00FA7F06">
              <w:rPr>
                <w:sz w:val="16"/>
                <w:szCs w:val="16"/>
              </w:rPr>
              <w:t>-</w:t>
            </w:r>
          </w:p>
        </w:tc>
        <w:tc>
          <w:tcPr>
            <w:tcW w:w="585" w:type="dxa"/>
            <w:gridSpan w:val="2"/>
            <w:tcBorders>
              <w:top w:val="outset" w:sz="6" w:space="0" w:color="000000"/>
              <w:left w:val="outset" w:sz="6" w:space="0" w:color="000000"/>
              <w:bottom w:val="outset" w:sz="6" w:space="0" w:color="000000"/>
              <w:right w:val="outset" w:sz="6" w:space="0" w:color="000000"/>
            </w:tcBorders>
            <w:hideMark/>
          </w:tcPr>
          <w:p w14:paraId="7FD772F0" w14:textId="77777777" w:rsidR="00C11DEF" w:rsidRPr="00FA7F06" w:rsidRDefault="00C11DEF" w:rsidP="00CF35EE">
            <w:pPr>
              <w:spacing w:after="0"/>
              <w:jc w:val="both"/>
              <w:rPr>
                <w:sz w:val="16"/>
                <w:szCs w:val="16"/>
              </w:rPr>
            </w:pPr>
            <w:r w:rsidRPr="00FA7F06">
              <w:rPr>
                <w:sz w:val="16"/>
                <w:szCs w:val="16"/>
              </w:rPr>
              <w:t>0,4</w:t>
            </w:r>
          </w:p>
        </w:tc>
        <w:tc>
          <w:tcPr>
            <w:tcW w:w="645" w:type="dxa"/>
            <w:tcBorders>
              <w:top w:val="outset" w:sz="6" w:space="0" w:color="000000"/>
              <w:left w:val="outset" w:sz="6" w:space="0" w:color="000000"/>
              <w:bottom w:val="outset" w:sz="6" w:space="0" w:color="000000"/>
              <w:right w:val="outset" w:sz="6" w:space="0" w:color="000000"/>
            </w:tcBorders>
            <w:hideMark/>
          </w:tcPr>
          <w:p w14:paraId="07615E3F" w14:textId="77777777" w:rsidR="00C11DEF" w:rsidRPr="00FA7F06" w:rsidRDefault="00C11DEF" w:rsidP="00CF35EE">
            <w:pPr>
              <w:spacing w:after="0"/>
              <w:jc w:val="both"/>
              <w:rPr>
                <w:sz w:val="16"/>
                <w:szCs w:val="16"/>
              </w:rPr>
            </w:pPr>
            <w:r w:rsidRPr="00FA7F06">
              <w:rPr>
                <w:sz w:val="16"/>
                <w:szCs w:val="16"/>
              </w:rPr>
              <w:t>0,8</w:t>
            </w:r>
          </w:p>
        </w:tc>
        <w:tc>
          <w:tcPr>
            <w:tcW w:w="735" w:type="dxa"/>
            <w:tcBorders>
              <w:top w:val="outset" w:sz="6" w:space="0" w:color="000000"/>
              <w:left w:val="outset" w:sz="6" w:space="0" w:color="000000"/>
              <w:bottom w:val="outset" w:sz="6" w:space="0" w:color="000000"/>
              <w:right w:val="outset" w:sz="6" w:space="0" w:color="000000"/>
            </w:tcBorders>
            <w:hideMark/>
          </w:tcPr>
          <w:p w14:paraId="3D695082" w14:textId="77777777" w:rsidR="00C11DEF" w:rsidRPr="00FA7F06" w:rsidRDefault="00C11DEF" w:rsidP="00CF35EE">
            <w:pPr>
              <w:spacing w:after="0"/>
              <w:jc w:val="both"/>
              <w:rPr>
                <w:sz w:val="16"/>
                <w:szCs w:val="16"/>
              </w:rPr>
            </w:pPr>
            <w:r w:rsidRPr="00FA7F06">
              <w:rPr>
                <w:sz w:val="16"/>
                <w:szCs w:val="16"/>
              </w:rPr>
              <w:t>0,8</w:t>
            </w:r>
          </w:p>
        </w:tc>
      </w:tr>
      <w:tr w:rsidR="00FA7F06" w:rsidRPr="00FA7F06" w14:paraId="53BD9A4C" w14:textId="77777777" w:rsidTr="00CF35EE">
        <w:trPr>
          <w:tblCellSpacing w:w="7" w:type="dxa"/>
        </w:trPr>
        <w:tc>
          <w:tcPr>
            <w:tcW w:w="2670" w:type="dxa"/>
            <w:tcBorders>
              <w:top w:val="outset" w:sz="6" w:space="0" w:color="000000"/>
              <w:left w:val="outset" w:sz="6" w:space="0" w:color="000000"/>
              <w:bottom w:val="outset" w:sz="6" w:space="0" w:color="000000"/>
              <w:right w:val="outset" w:sz="6" w:space="0" w:color="000000"/>
            </w:tcBorders>
            <w:hideMark/>
          </w:tcPr>
          <w:p w14:paraId="685783ED" w14:textId="77777777" w:rsidR="00C11DEF" w:rsidRPr="00FA7F06" w:rsidRDefault="00C11DEF" w:rsidP="00CF35EE">
            <w:pPr>
              <w:spacing w:after="0"/>
              <w:jc w:val="both"/>
              <w:rPr>
                <w:sz w:val="16"/>
                <w:szCs w:val="16"/>
              </w:rPr>
            </w:pPr>
            <w:r w:rsidRPr="00FA7F06">
              <w:rPr>
                <w:sz w:val="16"/>
                <w:szCs w:val="16"/>
              </w:rPr>
              <w:t>Nierówność powierzchni dolnej (stopki), nie większa niż</w:t>
            </w:r>
          </w:p>
        </w:tc>
        <w:tc>
          <w:tcPr>
            <w:tcW w:w="405" w:type="dxa"/>
            <w:tcBorders>
              <w:top w:val="outset" w:sz="6" w:space="0" w:color="000000"/>
              <w:left w:val="outset" w:sz="6" w:space="0" w:color="000000"/>
              <w:bottom w:val="outset" w:sz="6" w:space="0" w:color="000000"/>
              <w:right w:val="outset" w:sz="6" w:space="0" w:color="000000"/>
            </w:tcBorders>
            <w:hideMark/>
          </w:tcPr>
          <w:p w14:paraId="006D080C" w14:textId="77777777" w:rsidR="00C11DEF" w:rsidRPr="00FA7F06" w:rsidRDefault="00C11DEF" w:rsidP="00CF35EE">
            <w:pPr>
              <w:spacing w:after="0"/>
              <w:jc w:val="both"/>
              <w:rPr>
                <w:sz w:val="16"/>
                <w:szCs w:val="16"/>
              </w:rPr>
            </w:pPr>
            <w:r w:rsidRPr="00FA7F06">
              <w:rPr>
                <w:sz w:val="16"/>
                <w:szCs w:val="16"/>
              </w:rPr>
              <w:t>-</w:t>
            </w:r>
          </w:p>
        </w:tc>
        <w:tc>
          <w:tcPr>
            <w:tcW w:w="405" w:type="dxa"/>
            <w:tcBorders>
              <w:top w:val="outset" w:sz="6" w:space="0" w:color="000000"/>
              <w:left w:val="outset" w:sz="6" w:space="0" w:color="000000"/>
              <w:bottom w:val="outset" w:sz="6" w:space="0" w:color="000000"/>
              <w:right w:val="outset" w:sz="6" w:space="0" w:color="000000"/>
            </w:tcBorders>
            <w:hideMark/>
          </w:tcPr>
          <w:p w14:paraId="71DA6BE1" w14:textId="77777777" w:rsidR="00C11DEF" w:rsidRPr="00FA7F06" w:rsidRDefault="00C11DEF" w:rsidP="00CF35EE">
            <w:pPr>
              <w:spacing w:after="0"/>
              <w:jc w:val="both"/>
              <w:rPr>
                <w:sz w:val="16"/>
                <w:szCs w:val="16"/>
              </w:rPr>
            </w:pPr>
            <w:r w:rsidRPr="00FA7F06">
              <w:rPr>
                <w:sz w:val="16"/>
                <w:szCs w:val="16"/>
              </w:rPr>
              <w:t>-</w:t>
            </w:r>
          </w:p>
        </w:tc>
        <w:tc>
          <w:tcPr>
            <w:tcW w:w="405" w:type="dxa"/>
            <w:tcBorders>
              <w:top w:val="outset" w:sz="6" w:space="0" w:color="000000"/>
              <w:left w:val="outset" w:sz="6" w:space="0" w:color="000000"/>
              <w:bottom w:val="outset" w:sz="6" w:space="0" w:color="000000"/>
              <w:right w:val="outset" w:sz="6" w:space="0" w:color="000000"/>
            </w:tcBorders>
            <w:hideMark/>
          </w:tcPr>
          <w:p w14:paraId="6369876E" w14:textId="77777777" w:rsidR="00C11DEF" w:rsidRPr="00FA7F06" w:rsidRDefault="00C11DEF" w:rsidP="00CF35EE">
            <w:pPr>
              <w:spacing w:after="0"/>
              <w:jc w:val="both"/>
              <w:rPr>
                <w:sz w:val="16"/>
                <w:szCs w:val="16"/>
              </w:rPr>
            </w:pPr>
            <w:r w:rsidRPr="00FA7F06">
              <w:rPr>
                <w:sz w:val="16"/>
                <w:szCs w:val="16"/>
              </w:rPr>
              <w:t>-</w:t>
            </w:r>
          </w:p>
        </w:tc>
        <w:tc>
          <w:tcPr>
            <w:tcW w:w="435" w:type="dxa"/>
            <w:gridSpan w:val="2"/>
            <w:tcBorders>
              <w:top w:val="outset" w:sz="6" w:space="0" w:color="000000"/>
              <w:left w:val="outset" w:sz="6" w:space="0" w:color="000000"/>
              <w:bottom w:val="outset" w:sz="6" w:space="0" w:color="000000"/>
              <w:right w:val="outset" w:sz="6" w:space="0" w:color="000000"/>
            </w:tcBorders>
            <w:hideMark/>
          </w:tcPr>
          <w:p w14:paraId="627D7388" w14:textId="77777777" w:rsidR="00C11DEF" w:rsidRPr="00FA7F06" w:rsidRDefault="00C11DEF" w:rsidP="00CF35EE">
            <w:pPr>
              <w:spacing w:after="0"/>
              <w:jc w:val="both"/>
              <w:rPr>
                <w:sz w:val="16"/>
                <w:szCs w:val="16"/>
              </w:rPr>
            </w:pPr>
            <w:r w:rsidRPr="00FA7F06">
              <w:rPr>
                <w:sz w:val="16"/>
                <w:szCs w:val="16"/>
              </w:rPr>
              <w:t>-</w:t>
            </w:r>
          </w:p>
        </w:tc>
        <w:tc>
          <w:tcPr>
            <w:tcW w:w="540" w:type="dxa"/>
            <w:tcBorders>
              <w:top w:val="outset" w:sz="6" w:space="0" w:color="000000"/>
              <w:left w:val="outset" w:sz="6" w:space="0" w:color="000000"/>
              <w:bottom w:val="outset" w:sz="6" w:space="0" w:color="000000"/>
              <w:right w:val="outset" w:sz="6" w:space="0" w:color="000000"/>
            </w:tcBorders>
            <w:hideMark/>
          </w:tcPr>
          <w:p w14:paraId="01C609D1" w14:textId="77777777" w:rsidR="00C11DEF" w:rsidRPr="00FA7F06" w:rsidRDefault="00C11DEF" w:rsidP="00CF35EE">
            <w:pPr>
              <w:spacing w:after="0"/>
              <w:jc w:val="both"/>
              <w:rPr>
                <w:sz w:val="16"/>
                <w:szCs w:val="16"/>
              </w:rPr>
            </w:pPr>
            <w:r w:rsidRPr="00FA7F06">
              <w:rPr>
                <w:sz w:val="16"/>
                <w:szCs w:val="16"/>
              </w:rPr>
              <w:t>± 0,4</w:t>
            </w:r>
          </w:p>
        </w:tc>
        <w:tc>
          <w:tcPr>
            <w:tcW w:w="1560" w:type="dxa"/>
            <w:gridSpan w:val="2"/>
            <w:tcBorders>
              <w:top w:val="outset" w:sz="6" w:space="0" w:color="000000"/>
              <w:left w:val="outset" w:sz="6" w:space="0" w:color="000000"/>
              <w:bottom w:val="outset" w:sz="6" w:space="0" w:color="000000"/>
              <w:right w:val="outset" w:sz="6" w:space="0" w:color="000000"/>
            </w:tcBorders>
            <w:hideMark/>
          </w:tcPr>
          <w:p w14:paraId="25734F80" w14:textId="77777777" w:rsidR="00C11DEF" w:rsidRPr="00FA7F06" w:rsidRDefault="00C11DEF" w:rsidP="00CF35EE">
            <w:pPr>
              <w:spacing w:after="0"/>
              <w:jc w:val="both"/>
              <w:rPr>
                <w:sz w:val="16"/>
                <w:szCs w:val="16"/>
              </w:rPr>
            </w:pPr>
            <w:r w:rsidRPr="00FA7F06">
              <w:rPr>
                <w:sz w:val="16"/>
                <w:szCs w:val="16"/>
              </w:rPr>
              <w:t>nie bada się</w:t>
            </w:r>
          </w:p>
        </w:tc>
      </w:tr>
      <w:tr w:rsidR="00FA7F06" w:rsidRPr="00FA7F06" w14:paraId="2BB1F0E0" w14:textId="77777777" w:rsidTr="00CF35EE">
        <w:trPr>
          <w:tblCellSpacing w:w="7" w:type="dxa"/>
        </w:trPr>
        <w:tc>
          <w:tcPr>
            <w:tcW w:w="2670" w:type="dxa"/>
            <w:tcBorders>
              <w:top w:val="outset" w:sz="6" w:space="0" w:color="000000"/>
              <w:left w:val="outset" w:sz="6" w:space="0" w:color="000000"/>
              <w:bottom w:val="outset" w:sz="6" w:space="0" w:color="000000"/>
              <w:right w:val="outset" w:sz="6" w:space="0" w:color="000000"/>
            </w:tcBorders>
            <w:hideMark/>
          </w:tcPr>
          <w:p w14:paraId="2BD53A51" w14:textId="77777777" w:rsidR="00C11DEF" w:rsidRPr="00FA7F06" w:rsidRDefault="00C11DEF" w:rsidP="00CF35EE">
            <w:pPr>
              <w:spacing w:after="0"/>
              <w:jc w:val="both"/>
              <w:rPr>
                <w:sz w:val="16"/>
                <w:szCs w:val="16"/>
              </w:rPr>
            </w:pPr>
            <w:r w:rsidRPr="00FA7F06">
              <w:rPr>
                <w:sz w:val="16"/>
                <w:szCs w:val="16"/>
              </w:rPr>
              <w:t>Pęknięcia kostki</w:t>
            </w:r>
          </w:p>
        </w:tc>
        <w:tc>
          <w:tcPr>
            <w:tcW w:w="405" w:type="dxa"/>
            <w:tcBorders>
              <w:top w:val="outset" w:sz="6" w:space="0" w:color="000000"/>
              <w:left w:val="outset" w:sz="6" w:space="0" w:color="000000"/>
              <w:bottom w:val="outset" w:sz="6" w:space="0" w:color="000000"/>
              <w:right w:val="outset" w:sz="6" w:space="0" w:color="000000"/>
            </w:tcBorders>
            <w:hideMark/>
          </w:tcPr>
          <w:p w14:paraId="2E2AEDB3" w14:textId="77777777" w:rsidR="00C11DEF" w:rsidRPr="00FA7F06" w:rsidRDefault="00C11DEF" w:rsidP="00CF35EE">
            <w:pPr>
              <w:spacing w:after="0"/>
              <w:jc w:val="both"/>
              <w:rPr>
                <w:sz w:val="16"/>
                <w:szCs w:val="16"/>
              </w:rPr>
            </w:pPr>
            <w:r w:rsidRPr="00FA7F06">
              <w:rPr>
                <w:sz w:val="16"/>
                <w:szCs w:val="16"/>
              </w:rPr>
              <w:t>-</w:t>
            </w:r>
          </w:p>
        </w:tc>
        <w:tc>
          <w:tcPr>
            <w:tcW w:w="405" w:type="dxa"/>
            <w:tcBorders>
              <w:top w:val="outset" w:sz="6" w:space="0" w:color="000000"/>
              <w:left w:val="outset" w:sz="6" w:space="0" w:color="000000"/>
              <w:bottom w:val="outset" w:sz="6" w:space="0" w:color="000000"/>
              <w:right w:val="outset" w:sz="6" w:space="0" w:color="000000"/>
            </w:tcBorders>
            <w:hideMark/>
          </w:tcPr>
          <w:p w14:paraId="3FEDAF50" w14:textId="77777777" w:rsidR="00C11DEF" w:rsidRPr="00FA7F06" w:rsidRDefault="00C11DEF" w:rsidP="00CF35EE">
            <w:pPr>
              <w:spacing w:after="0"/>
              <w:jc w:val="both"/>
              <w:rPr>
                <w:sz w:val="16"/>
                <w:szCs w:val="16"/>
              </w:rPr>
            </w:pPr>
            <w:r w:rsidRPr="00FA7F06">
              <w:rPr>
                <w:sz w:val="16"/>
                <w:szCs w:val="16"/>
              </w:rPr>
              <w:t>-</w:t>
            </w:r>
          </w:p>
        </w:tc>
        <w:tc>
          <w:tcPr>
            <w:tcW w:w="405" w:type="dxa"/>
            <w:tcBorders>
              <w:top w:val="outset" w:sz="6" w:space="0" w:color="000000"/>
              <w:left w:val="outset" w:sz="6" w:space="0" w:color="000000"/>
              <w:bottom w:val="outset" w:sz="6" w:space="0" w:color="000000"/>
              <w:right w:val="outset" w:sz="6" w:space="0" w:color="000000"/>
            </w:tcBorders>
            <w:hideMark/>
          </w:tcPr>
          <w:p w14:paraId="1C6B6E40" w14:textId="77777777" w:rsidR="00C11DEF" w:rsidRPr="00FA7F06" w:rsidRDefault="00C11DEF" w:rsidP="00CF35EE">
            <w:pPr>
              <w:spacing w:after="0"/>
              <w:jc w:val="both"/>
              <w:rPr>
                <w:sz w:val="16"/>
                <w:szCs w:val="16"/>
              </w:rPr>
            </w:pPr>
            <w:r w:rsidRPr="00FA7F06">
              <w:rPr>
                <w:sz w:val="16"/>
                <w:szCs w:val="16"/>
              </w:rPr>
              <w:t>-</w:t>
            </w:r>
          </w:p>
        </w:tc>
        <w:tc>
          <w:tcPr>
            <w:tcW w:w="435" w:type="dxa"/>
            <w:gridSpan w:val="2"/>
            <w:tcBorders>
              <w:top w:val="outset" w:sz="6" w:space="0" w:color="000000"/>
              <w:left w:val="outset" w:sz="6" w:space="0" w:color="000000"/>
              <w:bottom w:val="outset" w:sz="6" w:space="0" w:color="000000"/>
              <w:right w:val="outset" w:sz="6" w:space="0" w:color="000000"/>
            </w:tcBorders>
            <w:hideMark/>
          </w:tcPr>
          <w:p w14:paraId="60714D16" w14:textId="77777777" w:rsidR="00C11DEF" w:rsidRPr="00FA7F06" w:rsidRDefault="00C11DEF" w:rsidP="00CF35EE">
            <w:pPr>
              <w:spacing w:after="0"/>
              <w:jc w:val="both"/>
              <w:rPr>
                <w:sz w:val="16"/>
                <w:szCs w:val="16"/>
              </w:rPr>
            </w:pPr>
            <w:r w:rsidRPr="00FA7F06">
              <w:rPr>
                <w:sz w:val="16"/>
                <w:szCs w:val="16"/>
              </w:rPr>
              <w:t>-</w:t>
            </w:r>
          </w:p>
        </w:tc>
        <w:tc>
          <w:tcPr>
            <w:tcW w:w="2265" w:type="dxa"/>
            <w:gridSpan w:val="3"/>
            <w:tcBorders>
              <w:top w:val="outset" w:sz="6" w:space="0" w:color="000000"/>
              <w:left w:val="outset" w:sz="6" w:space="0" w:color="000000"/>
              <w:bottom w:val="outset" w:sz="6" w:space="0" w:color="000000"/>
              <w:right w:val="outset" w:sz="6" w:space="0" w:color="000000"/>
            </w:tcBorders>
            <w:hideMark/>
          </w:tcPr>
          <w:p w14:paraId="75A73BE7" w14:textId="77777777" w:rsidR="00C11DEF" w:rsidRPr="00FA7F06" w:rsidRDefault="00C11DEF" w:rsidP="00CF35EE">
            <w:pPr>
              <w:spacing w:after="0"/>
              <w:jc w:val="both"/>
              <w:rPr>
                <w:sz w:val="16"/>
                <w:szCs w:val="16"/>
              </w:rPr>
            </w:pPr>
            <w:r w:rsidRPr="00FA7F06">
              <w:rPr>
                <w:sz w:val="16"/>
                <w:szCs w:val="16"/>
              </w:rPr>
              <w:t>niedopuszczalne</w:t>
            </w:r>
          </w:p>
        </w:tc>
      </w:tr>
    </w:tbl>
    <w:p w14:paraId="647280D6" w14:textId="77777777" w:rsidR="00C11DEF" w:rsidRPr="00FA7F06" w:rsidRDefault="00C11DEF" w:rsidP="00C11DEF">
      <w:pPr>
        <w:spacing w:after="0"/>
        <w:jc w:val="both"/>
        <w:rPr>
          <w:sz w:val="16"/>
          <w:szCs w:val="16"/>
        </w:rPr>
      </w:pPr>
    </w:p>
    <w:p w14:paraId="17C58C2E" w14:textId="77777777" w:rsidR="00C11DEF" w:rsidRPr="00FA7F06" w:rsidRDefault="00C11DEF" w:rsidP="00C11DEF">
      <w:pPr>
        <w:spacing w:after="0"/>
        <w:jc w:val="both"/>
        <w:rPr>
          <w:sz w:val="16"/>
          <w:szCs w:val="16"/>
        </w:rPr>
      </w:pPr>
      <w:r w:rsidRPr="00FA7F06">
        <w:rPr>
          <w:sz w:val="16"/>
          <w:szCs w:val="16"/>
        </w:rPr>
        <w:t>Krawędzie co najmniej jednej powierzchni kostki gatunku 1 powinny być bez uszkodzeń. Pozostałe krawędzie kostki mogą mieć uszkodzenie długości nie większej niż pół wymiaru wysokości kostki (a), natomiast łączna ich długość nie powinna przekraczać wymiaru wysokości kostki (a).</w:t>
      </w:r>
    </w:p>
    <w:p w14:paraId="109F6C8C" w14:textId="77777777" w:rsidR="00C11DEF" w:rsidRPr="00FA7F06" w:rsidRDefault="00C11DEF" w:rsidP="00C11DEF">
      <w:pPr>
        <w:spacing w:after="0"/>
        <w:jc w:val="both"/>
        <w:rPr>
          <w:sz w:val="16"/>
          <w:szCs w:val="16"/>
        </w:rPr>
      </w:pPr>
      <w:r w:rsidRPr="00FA7F06">
        <w:rPr>
          <w:sz w:val="16"/>
          <w:szCs w:val="16"/>
        </w:rPr>
        <w:t>Kostki gatunku 2 i 3 mogą mieć uszkodzenia krawędzi powierzchni czołowej o długości nie większej niż pół wymiaru wysokości kostki (a), natomiast łączna ich długość nie powinna przekraczać wielkości wymiaru wysokości kostki (a).</w:t>
      </w:r>
    </w:p>
    <w:p w14:paraId="4F13F44D" w14:textId="77777777" w:rsidR="00C11DEF" w:rsidRPr="00FA7F06" w:rsidRDefault="00C11DEF" w:rsidP="00C11DEF">
      <w:pPr>
        <w:spacing w:after="0"/>
        <w:jc w:val="both"/>
        <w:rPr>
          <w:sz w:val="16"/>
          <w:szCs w:val="16"/>
        </w:rPr>
      </w:pPr>
      <w:r w:rsidRPr="00FA7F06">
        <w:rPr>
          <w:sz w:val="16"/>
          <w:szCs w:val="16"/>
        </w:rPr>
        <w:t>Uszkodzenia któregokolwiek z naroży kostki gatunku 1 i naroży powierzchni górnej (czoła) kostki gatunku 2 i 3 są niedopuszczalne.</w:t>
      </w:r>
    </w:p>
    <w:p w14:paraId="4B9005B7" w14:textId="77777777" w:rsidR="00C11DEF" w:rsidRPr="00FA7F06" w:rsidRDefault="00C11DEF" w:rsidP="00C11DEF">
      <w:pPr>
        <w:spacing w:after="0"/>
        <w:jc w:val="both"/>
        <w:rPr>
          <w:sz w:val="16"/>
          <w:szCs w:val="16"/>
        </w:rPr>
      </w:pPr>
      <w:r w:rsidRPr="00FA7F06">
        <w:rPr>
          <w:sz w:val="16"/>
          <w:szCs w:val="16"/>
        </w:rPr>
        <w:t>Szerokość lub głębokość uszkodzenia krawędzi lub naroży nie powinna być większa niż 0,6 cm.</w:t>
      </w:r>
    </w:p>
    <w:p w14:paraId="6F380BDA" w14:textId="77777777" w:rsidR="00C11DEF" w:rsidRPr="00FA7F06" w:rsidRDefault="00C11DEF" w:rsidP="00C11DEF">
      <w:pPr>
        <w:spacing w:after="0"/>
        <w:jc w:val="both"/>
        <w:rPr>
          <w:sz w:val="16"/>
          <w:szCs w:val="16"/>
        </w:rPr>
      </w:pPr>
      <w:r w:rsidRPr="00FA7F06">
        <w:rPr>
          <w:sz w:val="16"/>
          <w:szCs w:val="16"/>
        </w:rPr>
        <w:t>2.2.4. Kształt i wymiary kostki rzędowej</w:t>
      </w:r>
    </w:p>
    <w:p w14:paraId="542BAA3F" w14:textId="77777777" w:rsidR="00C11DEF" w:rsidRPr="00FA7F06" w:rsidRDefault="00C11DEF" w:rsidP="00C11DEF">
      <w:pPr>
        <w:spacing w:after="0"/>
        <w:jc w:val="both"/>
        <w:rPr>
          <w:sz w:val="16"/>
          <w:szCs w:val="16"/>
        </w:rPr>
      </w:pPr>
      <w:r w:rsidRPr="00FA7F06">
        <w:rPr>
          <w:sz w:val="16"/>
          <w:szCs w:val="16"/>
        </w:rPr>
        <w:t>Kostka rzędowa powinna mieć kształt zbliżony do prostopadłościanu o równoległej powierzchni dolnej do górnej. Cała bryła kostki powinna mieścić się w prostopadłościanie zbudowanym na powierzchni górnej jako podstawie.</w:t>
      </w:r>
    </w:p>
    <w:p w14:paraId="2A2F1D10" w14:textId="77777777" w:rsidR="00C11DEF" w:rsidRPr="00FA7F06" w:rsidRDefault="00C11DEF" w:rsidP="00C11DEF">
      <w:pPr>
        <w:spacing w:after="0"/>
        <w:jc w:val="both"/>
        <w:rPr>
          <w:sz w:val="16"/>
          <w:szCs w:val="16"/>
        </w:rPr>
      </w:pPr>
      <w:r w:rsidRPr="00FA7F06">
        <w:rPr>
          <w:sz w:val="16"/>
          <w:szCs w:val="16"/>
        </w:rPr>
        <w:t>Kształt kostki rzędowej przedstawia rysunek 2.</w:t>
      </w:r>
    </w:p>
    <w:p w14:paraId="6C7AB10C" w14:textId="77777777" w:rsidR="00C11DEF" w:rsidRPr="00FA7F06" w:rsidRDefault="00C11DEF" w:rsidP="00C11DEF">
      <w:pPr>
        <w:spacing w:after="0"/>
        <w:jc w:val="both"/>
        <w:rPr>
          <w:sz w:val="16"/>
          <w:szCs w:val="16"/>
        </w:rPr>
      </w:pPr>
      <w:r w:rsidRPr="00FA7F06">
        <w:rPr>
          <w:noProof/>
          <w:sz w:val="16"/>
          <w:szCs w:val="16"/>
          <w:lang w:eastAsia="pl-PL"/>
        </w:rPr>
        <w:drawing>
          <wp:anchor distT="0" distB="0" distL="114300" distR="114300" simplePos="0" relativeHeight="251657216" behindDoc="1" locked="0" layoutInCell="1" allowOverlap="1" wp14:anchorId="002487E1" wp14:editId="147D66A2">
            <wp:simplePos x="0" y="0"/>
            <wp:positionH relativeFrom="column">
              <wp:posOffset>1997710</wp:posOffset>
            </wp:positionH>
            <wp:positionV relativeFrom="paragraph">
              <wp:posOffset>-2540</wp:posOffset>
            </wp:positionV>
            <wp:extent cx="2170430" cy="1572895"/>
            <wp:effectExtent l="0" t="0" r="0" b="0"/>
            <wp:wrapTight wrapText="bothSides">
              <wp:wrapPolygon edited="0">
                <wp:start x="0" y="0"/>
                <wp:lineTo x="0" y="21452"/>
                <wp:lineTo x="21423" y="21452"/>
                <wp:lineTo x="21423" y="0"/>
                <wp:lineTo x="0" y="0"/>
              </wp:wrapPolygon>
            </wp:wrapTight>
            <wp:docPr id="719933895" name="Obraz 719933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2170430" cy="1572895"/>
                    </a:xfrm>
                    <a:prstGeom prst="rect">
                      <a:avLst/>
                    </a:prstGeom>
                  </pic:spPr>
                </pic:pic>
              </a:graphicData>
            </a:graphic>
            <wp14:sizeRelH relativeFrom="margin">
              <wp14:pctWidth>0</wp14:pctWidth>
            </wp14:sizeRelH>
            <wp14:sizeRelV relativeFrom="margin">
              <wp14:pctHeight>0</wp14:pctHeight>
            </wp14:sizeRelV>
          </wp:anchor>
        </w:drawing>
      </w:r>
    </w:p>
    <w:p w14:paraId="39E70914" w14:textId="77777777" w:rsidR="00C11DEF" w:rsidRPr="00FA7F06" w:rsidRDefault="00C11DEF" w:rsidP="00C11DEF">
      <w:pPr>
        <w:spacing w:after="0"/>
        <w:jc w:val="both"/>
        <w:rPr>
          <w:sz w:val="16"/>
          <w:szCs w:val="16"/>
        </w:rPr>
      </w:pPr>
    </w:p>
    <w:p w14:paraId="6F541782" w14:textId="77777777" w:rsidR="00C11DEF" w:rsidRPr="00FA7F06" w:rsidRDefault="00C11DEF" w:rsidP="00C11DEF">
      <w:pPr>
        <w:spacing w:after="0"/>
        <w:jc w:val="both"/>
        <w:rPr>
          <w:sz w:val="16"/>
          <w:szCs w:val="16"/>
        </w:rPr>
      </w:pPr>
    </w:p>
    <w:p w14:paraId="0816CEDD" w14:textId="77777777" w:rsidR="00C11DEF" w:rsidRPr="00FA7F06" w:rsidRDefault="00C11DEF" w:rsidP="00C11DEF">
      <w:pPr>
        <w:spacing w:after="0"/>
        <w:rPr>
          <w:sz w:val="16"/>
          <w:szCs w:val="16"/>
        </w:rPr>
      </w:pPr>
      <w:r w:rsidRPr="00FA7F06">
        <w:rPr>
          <w:sz w:val="16"/>
          <w:szCs w:val="16"/>
        </w:rPr>
        <w:t>Rysunek 2. Kształt kostki rzędowej</w:t>
      </w:r>
    </w:p>
    <w:p w14:paraId="6E0AB8D8" w14:textId="77777777" w:rsidR="00C11DEF" w:rsidRPr="00FA7F06" w:rsidRDefault="00C11DEF" w:rsidP="00C11DEF">
      <w:pPr>
        <w:spacing w:after="0"/>
        <w:jc w:val="right"/>
        <w:rPr>
          <w:sz w:val="16"/>
          <w:szCs w:val="16"/>
        </w:rPr>
      </w:pPr>
    </w:p>
    <w:p w14:paraId="2C621807" w14:textId="77777777" w:rsidR="00C11DEF" w:rsidRPr="00FA7F06" w:rsidRDefault="00C11DEF" w:rsidP="00C11DEF">
      <w:pPr>
        <w:spacing w:after="0"/>
        <w:jc w:val="both"/>
        <w:rPr>
          <w:sz w:val="16"/>
          <w:szCs w:val="16"/>
        </w:rPr>
      </w:pPr>
    </w:p>
    <w:p w14:paraId="4A408B33" w14:textId="77777777" w:rsidR="00C11DEF" w:rsidRPr="00FA7F06" w:rsidRDefault="00C11DEF" w:rsidP="00C11DEF">
      <w:pPr>
        <w:spacing w:after="0"/>
        <w:jc w:val="both"/>
        <w:rPr>
          <w:sz w:val="16"/>
          <w:szCs w:val="16"/>
        </w:rPr>
      </w:pPr>
    </w:p>
    <w:p w14:paraId="29290862" w14:textId="77777777" w:rsidR="00C11DEF" w:rsidRPr="00FA7F06" w:rsidRDefault="00C11DEF" w:rsidP="00C11DEF">
      <w:pPr>
        <w:spacing w:after="0"/>
        <w:jc w:val="both"/>
        <w:rPr>
          <w:sz w:val="16"/>
          <w:szCs w:val="16"/>
        </w:rPr>
      </w:pPr>
    </w:p>
    <w:p w14:paraId="26335DD0" w14:textId="77777777" w:rsidR="00C11DEF" w:rsidRPr="00FA7F06" w:rsidRDefault="00C11DEF" w:rsidP="00C11DEF">
      <w:pPr>
        <w:spacing w:after="0"/>
        <w:jc w:val="both"/>
        <w:rPr>
          <w:sz w:val="16"/>
          <w:szCs w:val="16"/>
        </w:rPr>
      </w:pPr>
    </w:p>
    <w:p w14:paraId="1BA2AF9C" w14:textId="77777777" w:rsidR="00C11DEF" w:rsidRPr="00FA7F06" w:rsidRDefault="00C11DEF" w:rsidP="00C11DEF">
      <w:pPr>
        <w:spacing w:after="0"/>
        <w:jc w:val="both"/>
        <w:rPr>
          <w:sz w:val="16"/>
          <w:szCs w:val="16"/>
        </w:rPr>
      </w:pPr>
    </w:p>
    <w:p w14:paraId="4B37AC3E" w14:textId="77777777" w:rsidR="00C11DEF" w:rsidRPr="00FA7F06" w:rsidRDefault="00C11DEF" w:rsidP="00C11DEF">
      <w:pPr>
        <w:spacing w:after="0"/>
        <w:jc w:val="both"/>
        <w:rPr>
          <w:sz w:val="16"/>
          <w:szCs w:val="16"/>
        </w:rPr>
      </w:pPr>
    </w:p>
    <w:p w14:paraId="31D7A5AF" w14:textId="77777777" w:rsidR="00C11DEF" w:rsidRPr="00FA7F06" w:rsidRDefault="00C11DEF" w:rsidP="00C11DEF">
      <w:pPr>
        <w:spacing w:after="0"/>
        <w:jc w:val="both"/>
        <w:rPr>
          <w:sz w:val="16"/>
          <w:szCs w:val="16"/>
        </w:rPr>
      </w:pPr>
      <w:r w:rsidRPr="00FA7F06">
        <w:rPr>
          <w:sz w:val="16"/>
          <w:szCs w:val="16"/>
        </w:rPr>
        <w:t>Wymagania dotyczące wymiarów kostki rzędowej przedstawia tablica 3.</w:t>
      </w:r>
    </w:p>
    <w:p w14:paraId="38FBF847" w14:textId="77777777" w:rsidR="00C11DEF" w:rsidRPr="00FA7F06" w:rsidRDefault="00C11DEF" w:rsidP="00C11DEF">
      <w:pPr>
        <w:spacing w:after="0"/>
        <w:jc w:val="both"/>
        <w:rPr>
          <w:sz w:val="16"/>
          <w:szCs w:val="16"/>
        </w:rPr>
      </w:pPr>
      <w:r w:rsidRPr="00FA7F06">
        <w:rPr>
          <w:sz w:val="16"/>
          <w:szCs w:val="16"/>
        </w:rPr>
        <w:t>Uszkodzenia krawędzi i naroży kostki powinny być nie większe niż podane dla gatunku 2 i 3 kostki regularnej.</w:t>
      </w:r>
    </w:p>
    <w:p w14:paraId="35707D22" w14:textId="77777777" w:rsidR="00C11DEF" w:rsidRPr="00FA7F06" w:rsidRDefault="00C11DEF" w:rsidP="00C11DEF">
      <w:pPr>
        <w:spacing w:after="0"/>
        <w:jc w:val="both"/>
        <w:rPr>
          <w:sz w:val="16"/>
          <w:szCs w:val="16"/>
        </w:rPr>
      </w:pPr>
      <w:r w:rsidRPr="00FA7F06">
        <w:rPr>
          <w:sz w:val="16"/>
          <w:szCs w:val="16"/>
        </w:rPr>
        <w:lastRenderedPageBreak/>
        <w:t>Szerokość lub głębokość uszkodzenia krawędzi lub naroży nie powinna być większa niż 0,6 cm.</w:t>
      </w:r>
    </w:p>
    <w:p w14:paraId="377D43D0" w14:textId="77777777" w:rsidR="00C11DEF" w:rsidRPr="00FA7F06" w:rsidRDefault="00C11DEF" w:rsidP="00C11DEF">
      <w:pPr>
        <w:spacing w:after="0"/>
        <w:jc w:val="both"/>
        <w:rPr>
          <w:sz w:val="16"/>
          <w:szCs w:val="16"/>
        </w:rPr>
      </w:pPr>
    </w:p>
    <w:p w14:paraId="5B9F60D2" w14:textId="77777777" w:rsidR="00C11DEF" w:rsidRPr="00FA7F06" w:rsidRDefault="00C11DEF" w:rsidP="00C11DEF">
      <w:pPr>
        <w:spacing w:after="0"/>
        <w:jc w:val="both"/>
        <w:rPr>
          <w:sz w:val="16"/>
          <w:szCs w:val="16"/>
        </w:rPr>
      </w:pPr>
    </w:p>
    <w:p w14:paraId="0C524577" w14:textId="77777777" w:rsidR="00C11DEF" w:rsidRPr="00FA7F06" w:rsidRDefault="00C11DEF" w:rsidP="00C11DEF">
      <w:pPr>
        <w:spacing w:after="0"/>
        <w:jc w:val="both"/>
        <w:rPr>
          <w:sz w:val="16"/>
          <w:szCs w:val="16"/>
        </w:rPr>
      </w:pPr>
      <w:r w:rsidRPr="00FA7F06">
        <w:rPr>
          <w:sz w:val="16"/>
          <w:szCs w:val="16"/>
        </w:rPr>
        <w:t>Tablica 3. Wymiary kostki rzędowej oraz dopuszczalne odchyłki</w:t>
      </w:r>
    </w:p>
    <w:tbl>
      <w:tblPr>
        <w:tblW w:w="7438" w:type="dxa"/>
        <w:tblCellSpacing w:w="7"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2871"/>
        <w:gridCol w:w="577"/>
        <w:gridCol w:w="578"/>
        <w:gridCol w:w="578"/>
        <w:gridCol w:w="1067"/>
        <w:gridCol w:w="421"/>
        <w:gridCol w:w="484"/>
        <w:gridCol w:w="862"/>
      </w:tblGrid>
      <w:tr w:rsidR="00FA7F06" w:rsidRPr="00FA7F06" w14:paraId="6AB495BE" w14:textId="77777777" w:rsidTr="00C11DEF">
        <w:trPr>
          <w:tblCellSpacing w:w="7" w:type="dxa"/>
        </w:trPr>
        <w:tc>
          <w:tcPr>
            <w:tcW w:w="2850" w:type="dxa"/>
            <w:tcBorders>
              <w:top w:val="outset" w:sz="6" w:space="0" w:color="000000"/>
              <w:left w:val="outset" w:sz="6" w:space="0" w:color="000000"/>
              <w:bottom w:val="outset" w:sz="6" w:space="0" w:color="000000"/>
              <w:right w:val="outset" w:sz="6" w:space="0" w:color="000000"/>
            </w:tcBorders>
            <w:hideMark/>
          </w:tcPr>
          <w:p w14:paraId="4B3F8C4B" w14:textId="77777777" w:rsidR="00C11DEF" w:rsidRPr="00FA7F06" w:rsidRDefault="00C11DEF" w:rsidP="00CF35EE">
            <w:pPr>
              <w:spacing w:after="0"/>
              <w:jc w:val="both"/>
              <w:rPr>
                <w:sz w:val="16"/>
                <w:szCs w:val="16"/>
              </w:rPr>
            </w:pPr>
          </w:p>
          <w:p w14:paraId="5FF5FD93" w14:textId="77777777" w:rsidR="00C11DEF" w:rsidRPr="00FA7F06" w:rsidRDefault="00C11DEF" w:rsidP="00CF35EE">
            <w:pPr>
              <w:spacing w:after="0"/>
              <w:jc w:val="both"/>
              <w:rPr>
                <w:sz w:val="16"/>
                <w:szCs w:val="16"/>
              </w:rPr>
            </w:pPr>
            <w:r w:rsidRPr="00FA7F06">
              <w:rPr>
                <w:sz w:val="16"/>
                <w:szCs w:val="16"/>
              </w:rPr>
              <w:t>Wyszczególnienie</w:t>
            </w:r>
          </w:p>
        </w:tc>
        <w:tc>
          <w:tcPr>
            <w:tcW w:w="2786" w:type="dxa"/>
            <w:gridSpan w:val="4"/>
            <w:tcBorders>
              <w:top w:val="outset" w:sz="6" w:space="0" w:color="000000"/>
              <w:left w:val="outset" w:sz="6" w:space="0" w:color="000000"/>
              <w:bottom w:val="outset" w:sz="6" w:space="0" w:color="000000"/>
              <w:right w:val="outset" w:sz="6" w:space="0" w:color="000000"/>
            </w:tcBorders>
            <w:hideMark/>
          </w:tcPr>
          <w:p w14:paraId="7B0DD28E" w14:textId="77777777" w:rsidR="00C11DEF" w:rsidRPr="00FA7F06" w:rsidRDefault="00C11DEF" w:rsidP="00CF35EE">
            <w:pPr>
              <w:spacing w:after="0"/>
              <w:jc w:val="both"/>
              <w:rPr>
                <w:sz w:val="16"/>
                <w:szCs w:val="16"/>
              </w:rPr>
            </w:pPr>
            <w:r w:rsidRPr="00FA7F06">
              <w:rPr>
                <w:sz w:val="16"/>
                <w:szCs w:val="16"/>
              </w:rPr>
              <w:t>Wielkość</w:t>
            </w:r>
          </w:p>
          <w:p w14:paraId="5C538FD7" w14:textId="77777777" w:rsidR="00C11DEF" w:rsidRPr="00FA7F06" w:rsidRDefault="00C11DEF" w:rsidP="00CF35EE">
            <w:pPr>
              <w:spacing w:after="0"/>
              <w:jc w:val="both"/>
              <w:rPr>
                <w:sz w:val="16"/>
                <w:szCs w:val="16"/>
              </w:rPr>
            </w:pPr>
            <w:r w:rsidRPr="00FA7F06">
              <w:rPr>
                <w:sz w:val="16"/>
                <w:szCs w:val="16"/>
              </w:rPr>
              <w:t>(cm)</w:t>
            </w:r>
          </w:p>
        </w:tc>
        <w:tc>
          <w:tcPr>
            <w:tcW w:w="1746" w:type="dxa"/>
            <w:gridSpan w:val="3"/>
            <w:tcBorders>
              <w:top w:val="outset" w:sz="6" w:space="0" w:color="000000"/>
              <w:left w:val="outset" w:sz="6" w:space="0" w:color="000000"/>
              <w:bottom w:val="outset" w:sz="6" w:space="0" w:color="000000"/>
              <w:right w:val="outset" w:sz="6" w:space="0" w:color="000000"/>
            </w:tcBorders>
            <w:hideMark/>
          </w:tcPr>
          <w:p w14:paraId="0CC2077F" w14:textId="77777777" w:rsidR="00C11DEF" w:rsidRPr="00FA7F06" w:rsidRDefault="00C11DEF" w:rsidP="00CF35EE">
            <w:pPr>
              <w:spacing w:after="0"/>
              <w:jc w:val="both"/>
              <w:rPr>
                <w:sz w:val="16"/>
                <w:szCs w:val="16"/>
              </w:rPr>
            </w:pPr>
            <w:r w:rsidRPr="00FA7F06">
              <w:rPr>
                <w:sz w:val="16"/>
                <w:szCs w:val="16"/>
              </w:rPr>
              <w:t xml:space="preserve">Dopuszczalne </w:t>
            </w:r>
          </w:p>
          <w:p w14:paraId="0AA64531" w14:textId="77777777" w:rsidR="00C11DEF" w:rsidRPr="00FA7F06" w:rsidRDefault="00C11DEF" w:rsidP="00CF35EE">
            <w:pPr>
              <w:spacing w:after="0"/>
              <w:jc w:val="both"/>
              <w:rPr>
                <w:sz w:val="16"/>
                <w:szCs w:val="16"/>
              </w:rPr>
            </w:pPr>
            <w:r w:rsidRPr="00FA7F06">
              <w:rPr>
                <w:sz w:val="16"/>
                <w:szCs w:val="16"/>
              </w:rPr>
              <w:t>odchyłki dla gatunku</w:t>
            </w:r>
          </w:p>
          <w:p w14:paraId="27B9292A" w14:textId="77777777" w:rsidR="00C11DEF" w:rsidRPr="00FA7F06" w:rsidRDefault="00C11DEF" w:rsidP="00CF35EE">
            <w:pPr>
              <w:spacing w:after="0"/>
              <w:jc w:val="both"/>
              <w:rPr>
                <w:sz w:val="16"/>
                <w:szCs w:val="16"/>
              </w:rPr>
            </w:pPr>
            <w:r w:rsidRPr="00FA7F06">
              <w:rPr>
                <w:sz w:val="16"/>
                <w:szCs w:val="16"/>
              </w:rPr>
              <w:t>(cm)</w:t>
            </w:r>
          </w:p>
        </w:tc>
      </w:tr>
      <w:tr w:rsidR="00FA7F06" w:rsidRPr="00FA7F06" w14:paraId="5FC79E08" w14:textId="77777777" w:rsidTr="00C11DEF">
        <w:trPr>
          <w:tblCellSpacing w:w="7" w:type="dxa"/>
        </w:trPr>
        <w:tc>
          <w:tcPr>
            <w:tcW w:w="2850" w:type="dxa"/>
            <w:tcBorders>
              <w:top w:val="outset" w:sz="6" w:space="0" w:color="000000"/>
              <w:left w:val="outset" w:sz="6" w:space="0" w:color="000000"/>
              <w:bottom w:val="outset" w:sz="6" w:space="0" w:color="000000"/>
              <w:right w:val="outset" w:sz="6" w:space="0" w:color="000000"/>
            </w:tcBorders>
            <w:hideMark/>
          </w:tcPr>
          <w:p w14:paraId="2CE19715" w14:textId="77777777" w:rsidR="00C11DEF" w:rsidRPr="00FA7F06" w:rsidRDefault="00C11DEF" w:rsidP="00CF35EE">
            <w:pPr>
              <w:spacing w:after="0"/>
              <w:jc w:val="both"/>
              <w:rPr>
                <w:sz w:val="16"/>
                <w:szCs w:val="16"/>
              </w:rPr>
            </w:pPr>
          </w:p>
        </w:tc>
        <w:tc>
          <w:tcPr>
            <w:tcW w:w="563" w:type="dxa"/>
            <w:tcBorders>
              <w:top w:val="outset" w:sz="6" w:space="0" w:color="000000"/>
              <w:left w:val="outset" w:sz="6" w:space="0" w:color="000000"/>
              <w:bottom w:val="outset" w:sz="6" w:space="0" w:color="000000"/>
              <w:right w:val="outset" w:sz="6" w:space="0" w:color="000000"/>
            </w:tcBorders>
            <w:hideMark/>
          </w:tcPr>
          <w:p w14:paraId="656DBA2C" w14:textId="77777777" w:rsidR="00C11DEF" w:rsidRPr="00FA7F06" w:rsidRDefault="00C11DEF" w:rsidP="00CF35EE">
            <w:pPr>
              <w:spacing w:after="0"/>
              <w:jc w:val="both"/>
              <w:rPr>
                <w:sz w:val="16"/>
                <w:szCs w:val="16"/>
              </w:rPr>
            </w:pPr>
            <w:r w:rsidRPr="00FA7F06">
              <w:rPr>
                <w:sz w:val="16"/>
                <w:szCs w:val="16"/>
              </w:rPr>
              <w:t>12</w:t>
            </w:r>
          </w:p>
        </w:tc>
        <w:tc>
          <w:tcPr>
            <w:tcW w:w="564" w:type="dxa"/>
            <w:tcBorders>
              <w:top w:val="outset" w:sz="6" w:space="0" w:color="000000"/>
              <w:left w:val="outset" w:sz="6" w:space="0" w:color="000000"/>
              <w:bottom w:val="outset" w:sz="6" w:space="0" w:color="000000"/>
              <w:right w:val="outset" w:sz="6" w:space="0" w:color="000000"/>
            </w:tcBorders>
            <w:hideMark/>
          </w:tcPr>
          <w:p w14:paraId="3D8C1701" w14:textId="77777777" w:rsidR="00C11DEF" w:rsidRPr="00FA7F06" w:rsidRDefault="00C11DEF" w:rsidP="00CF35EE">
            <w:pPr>
              <w:spacing w:after="0"/>
              <w:jc w:val="both"/>
              <w:rPr>
                <w:sz w:val="16"/>
                <w:szCs w:val="16"/>
              </w:rPr>
            </w:pPr>
            <w:r w:rsidRPr="00FA7F06">
              <w:rPr>
                <w:sz w:val="16"/>
                <w:szCs w:val="16"/>
              </w:rPr>
              <w:t>14</w:t>
            </w:r>
          </w:p>
        </w:tc>
        <w:tc>
          <w:tcPr>
            <w:tcW w:w="564" w:type="dxa"/>
            <w:tcBorders>
              <w:top w:val="outset" w:sz="6" w:space="0" w:color="000000"/>
              <w:left w:val="outset" w:sz="6" w:space="0" w:color="000000"/>
              <w:bottom w:val="outset" w:sz="6" w:space="0" w:color="000000"/>
              <w:right w:val="outset" w:sz="6" w:space="0" w:color="000000"/>
            </w:tcBorders>
            <w:hideMark/>
          </w:tcPr>
          <w:p w14:paraId="425B6638" w14:textId="77777777" w:rsidR="00C11DEF" w:rsidRPr="00FA7F06" w:rsidRDefault="00C11DEF" w:rsidP="00CF35EE">
            <w:pPr>
              <w:spacing w:after="0"/>
              <w:jc w:val="both"/>
              <w:rPr>
                <w:sz w:val="16"/>
                <w:szCs w:val="16"/>
              </w:rPr>
            </w:pPr>
            <w:r w:rsidRPr="00FA7F06">
              <w:rPr>
                <w:sz w:val="16"/>
                <w:szCs w:val="16"/>
              </w:rPr>
              <w:t>16</w:t>
            </w:r>
          </w:p>
        </w:tc>
        <w:tc>
          <w:tcPr>
            <w:tcW w:w="1053" w:type="dxa"/>
            <w:tcBorders>
              <w:top w:val="outset" w:sz="6" w:space="0" w:color="000000"/>
              <w:left w:val="outset" w:sz="6" w:space="0" w:color="000000"/>
              <w:bottom w:val="outset" w:sz="6" w:space="0" w:color="000000"/>
              <w:right w:val="outset" w:sz="6" w:space="0" w:color="000000"/>
            </w:tcBorders>
            <w:hideMark/>
          </w:tcPr>
          <w:p w14:paraId="476D388D" w14:textId="77777777" w:rsidR="00C11DEF" w:rsidRPr="00FA7F06" w:rsidRDefault="00C11DEF" w:rsidP="00CF35EE">
            <w:pPr>
              <w:spacing w:after="0"/>
              <w:jc w:val="both"/>
              <w:rPr>
                <w:sz w:val="16"/>
                <w:szCs w:val="16"/>
              </w:rPr>
            </w:pPr>
            <w:r w:rsidRPr="00FA7F06">
              <w:rPr>
                <w:sz w:val="16"/>
                <w:szCs w:val="16"/>
              </w:rPr>
              <w:t>18</w:t>
            </w:r>
          </w:p>
        </w:tc>
        <w:tc>
          <w:tcPr>
            <w:tcW w:w="407" w:type="dxa"/>
            <w:tcBorders>
              <w:top w:val="outset" w:sz="6" w:space="0" w:color="000000"/>
              <w:left w:val="outset" w:sz="6" w:space="0" w:color="000000"/>
              <w:bottom w:val="outset" w:sz="6" w:space="0" w:color="000000"/>
              <w:right w:val="outset" w:sz="6" w:space="0" w:color="000000"/>
            </w:tcBorders>
            <w:hideMark/>
          </w:tcPr>
          <w:p w14:paraId="441F5AA1" w14:textId="77777777" w:rsidR="00C11DEF" w:rsidRPr="00FA7F06" w:rsidRDefault="00C11DEF" w:rsidP="00CF35EE">
            <w:pPr>
              <w:spacing w:after="0"/>
              <w:jc w:val="both"/>
              <w:rPr>
                <w:sz w:val="16"/>
                <w:szCs w:val="16"/>
              </w:rPr>
            </w:pPr>
            <w:r w:rsidRPr="00FA7F06">
              <w:rPr>
                <w:sz w:val="16"/>
                <w:szCs w:val="16"/>
              </w:rPr>
              <w:t>1</w:t>
            </w:r>
          </w:p>
        </w:tc>
        <w:tc>
          <w:tcPr>
            <w:tcW w:w="470" w:type="dxa"/>
            <w:tcBorders>
              <w:top w:val="outset" w:sz="6" w:space="0" w:color="000000"/>
              <w:left w:val="outset" w:sz="6" w:space="0" w:color="000000"/>
              <w:bottom w:val="outset" w:sz="6" w:space="0" w:color="000000"/>
              <w:right w:val="outset" w:sz="6" w:space="0" w:color="000000"/>
            </w:tcBorders>
            <w:hideMark/>
          </w:tcPr>
          <w:p w14:paraId="01E4B16D" w14:textId="77777777" w:rsidR="00C11DEF" w:rsidRPr="00FA7F06" w:rsidRDefault="00C11DEF" w:rsidP="00CF35EE">
            <w:pPr>
              <w:spacing w:after="0"/>
              <w:jc w:val="both"/>
              <w:rPr>
                <w:sz w:val="16"/>
                <w:szCs w:val="16"/>
              </w:rPr>
            </w:pPr>
            <w:r w:rsidRPr="00FA7F06">
              <w:rPr>
                <w:sz w:val="16"/>
                <w:szCs w:val="16"/>
              </w:rPr>
              <w:t>2</w:t>
            </w:r>
          </w:p>
        </w:tc>
        <w:tc>
          <w:tcPr>
            <w:tcW w:w="841" w:type="dxa"/>
            <w:tcBorders>
              <w:top w:val="outset" w:sz="6" w:space="0" w:color="000000"/>
              <w:left w:val="outset" w:sz="6" w:space="0" w:color="000000"/>
              <w:bottom w:val="outset" w:sz="6" w:space="0" w:color="000000"/>
              <w:right w:val="outset" w:sz="6" w:space="0" w:color="000000"/>
            </w:tcBorders>
            <w:hideMark/>
          </w:tcPr>
          <w:p w14:paraId="3D775B65" w14:textId="77777777" w:rsidR="00C11DEF" w:rsidRPr="00FA7F06" w:rsidRDefault="00C11DEF" w:rsidP="00CF35EE">
            <w:pPr>
              <w:spacing w:after="0"/>
              <w:jc w:val="both"/>
              <w:rPr>
                <w:sz w:val="16"/>
                <w:szCs w:val="16"/>
              </w:rPr>
            </w:pPr>
            <w:r w:rsidRPr="00FA7F06">
              <w:rPr>
                <w:sz w:val="16"/>
                <w:szCs w:val="16"/>
              </w:rPr>
              <w:t>3</w:t>
            </w:r>
          </w:p>
        </w:tc>
      </w:tr>
      <w:tr w:rsidR="00FA7F06" w:rsidRPr="00FA7F06" w14:paraId="05FB2DB4" w14:textId="77777777" w:rsidTr="00C11DEF">
        <w:trPr>
          <w:tblCellSpacing w:w="7" w:type="dxa"/>
        </w:trPr>
        <w:tc>
          <w:tcPr>
            <w:tcW w:w="2850" w:type="dxa"/>
            <w:tcBorders>
              <w:top w:val="outset" w:sz="6" w:space="0" w:color="000000"/>
              <w:left w:val="outset" w:sz="6" w:space="0" w:color="000000"/>
              <w:bottom w:val="outset" w:sz="6" w:space="0" w:color="000000"/>
              <w:right w:val="outset" w:sz="6" w:space="0" w:color="000000"/>
            </w:tcBorders>
            <w:hideMark/>
          </w:tcPr>
          <w:p w14:paraId="080678AB" w14:textId="77777777" w:rsidR="00C11DEF" w:rsidRPr="00FA7F06" w:rsidRDefault="00C11DEF" w:rsidP="00CF35EE">
            <w:pPr>
              <w:spacing w:after="0"/>
              <w:jc w:val="both"/>
              <w:rPr>
                <w:sz w:val="16"/>
                <w:szCs w:val="16"/>
              </w:rPr>
            </w:pPr>
            <w:r w:rsidRPr="00FA7F06">
              <w:rPr>
                <w:sz w:val="16"/>
                <w:szCs w:val="16"/>
              </w:rPr>
              <w:t>Wymiar a</w:t>
            </w:r>
          </w:p>
        </w:tc>
        <w:tc>
          <w:tcPr>
            <w:tcW w:w="563" w:type="dxa"/>
            <w:tcBorders>
              <w:top w:val="outset" w:sz="6" w:space="0" w:color="000000"/>
              <w:left w:val="outset" w:sz="6" w:space="0" w:color="000000"/>
              <w:bottom w:val="outset" w:sz="6" w:space="0" w:color="000000"/>
              <w:right w:val="outset" w:sz="6" w:space="0" w:color="000000"/>
            </w:tcBorders>
            <w:hideMark/>
          </w:tcPr>
          <w:p w14:paraId="7B4FF0D7" w14:textId="77777777" w:rsidR="00C11DEF" w:rsidRPr="00FA7F06" w:rsidRDefault="00C11DEF" w:rsidP="00CF35EE">
            <w:pPr>
              <w:spacing w:after="0"/>
              <w:jc w:val="both"/>
              <w:rPr>
                <w:sz w:val="16"/>
                <w:szCs w:val="16"/>
              </w:rPr>
            </w:pPr>
            <w:r w:rsidRPr="00FA7F06">
              <w:rPr>
                <w:sz w:val="16"/>
                <w:szCs w:val="16"/>
              </w:rPr>
              <w:t>12</w:t>
            </w:r>
          </w:p>
        </w:tc>
        <w:tc>
          <w:tcPr>
            <w:tcW w:w="564" w:type="dxa"/>
            <w:tcBorders>
              <w:top w:val="outset" w:sz="6" w:space="0" w:color="000000"/>
              <w:left w:val="outset" w:sz="6" w:space="0" w:color="000000"/>
              <w:bottom w:val="outset" w:sz="6" w:space="0" w:color="000000"/>
              <w:right w:val="outset" w:sz="6" w:space="0" w:color="000000"/>
            </w:tcBorders>
            <w:hideMark/>
          </w:tcPr>
          <w:p w14:paraId="44D75533" w14:textId="77777777" w:rsidR="00C11DEF" w:rsidRPr="00FA7F06" w:rsidRDefault="00C11DEF" w:rsidP="00CF35EE">
            <w:pPr>
              <w:spacing w:after="0"/>
              <w:jc w:val="both"/>
              <w:rPr>
                <w:sz w:val="16"/>
                <w:szCs w:val="16"/>
              </w:rPr>
            </w:pPr>
            <w:r w:rsidRPr="00FA7F06">
              <w:rPr>
                <w:sz w:val="16"/>
                <w:szCs w:val="16"/>
              </w:rPr>
              <w:t>14</w:t>
            </w:r>
          </w:p>
        </w:tc>
        <w:tc>
          <w:tcPr>
            <w:tcW w:w="564" w:type="dxa"/>
            <w:tcBorders>
              <w:top w:val="outset" w:sz="6" w:space="0" w:color="000000"/>
              <w:left w:val="outset" w:sz="6" w:space="0" w:color="000000"/>
              <w:bottom w:val="outset" w:sz="6" w:space="0" w:color="000000"/>
              <w:right w:val="outset" w:sz="6" w:space="0" w:color="000000"/>
            </w:tcBorders>
            <w:hideMark/>
          </w:tcPr>
          <w:p w14:paraId="13EC715A" w14:textId="77777777" w:rsidR="00C11DEF" w:rsidRPr="00FA7F06" w:rsidRDefault="00C11DEF" w:rsidP="00CF35EE">
            <w:pPr>
              <w:spacing w:after="0"/>
              <w:jc w:val="both"/>
              <w:rPr>
                <w:sz w:val="16"/>
                <w:szCs w:val="16"/>
              </w:rPr>
            </w:pPr>
            <w:r w:rsidRPr="00FA7F06">
              <w:rPr>
                <w:sz w:val="16"/>
                <w:szCs w:val="16"/>
              </w:rPr>
              <w:t>16</w:t>
            </w:r>
          </w:p>
        </w:tc>
        <w:tc>
          <w:tcPr>
            <w:tcW w:w="1053" w:type="dxa"/>
            <w:tcBorders>
              <w:top w:val="outset" w:sz="6" w:space="0" w:color="000000"/>
              <w:left w:val="outset" w:sz="6" w:space="0" w:color="000000"/>
              <w:bottom w:val="outset" w:sz="6" w:space="0" w:color="000000"/>
              <w:right w:val="outset" w:sz="6" w:space="0" w:color="000000"/>
            </w:tcBorders>
            <w:hideMark/>
          </w:tcPr>
          <w:p w14:paraId="70C54BC8" w14:textId="77777777" w:rsidR="00C11DEF" w:rsidRPr="00FA7F06" w:rsidRDefault="00C11DEF" w:rsidP="00CF35EE">
            <w:pPr>
              <w:spacing w:after="0"/>
              <w:jc w:val="both"/>
              <w:rPr>
                <w:sz w:val="16"/>
                <w:szCs w:val="16"/>
              </w:rPr>
            </w:pPr>
            <w:r w:rsidRPr="00FA7F06">
              <w:rPr>
                <w:sz w:val="16"/>
                <w:szCs w:val="16"/>
              </w:rPr>
              <w:t>18</w:t>
            </w:r>
          </w:p>
        </w:tc>
        <w:tc>
          <w:tcPr>
            <w:tcW w:w="407" w:type="dxa"/>
            <w:tcBorders>
              <w:top w:val="outset" w:sz="6" w:space="0" w:color="000000"/>
              <w:left w:val="outset" w:sz="6" w:space="0" w:color="000000"/>
              <w:bottom w:val="outset" w:sz="6" w:space="0" w:color="000000"/>
              <w:right w:val="outset" w:sz="6" w:space="0" w:color="000000"/>
            </w:tcBorders>
            <w:hideMark/>
          </w:tcPr>
          <w:p w14:paraId="5BF91970" w14:textId="77777777" w:rsidR="00C11DEF" w:rsidRPr="00FA7F06" w:rsidRDefault="00C11DEF" w:rsidP="00CF35EE">
            <w:pPr>
              <w:spacing w:after="0"/>
              <w:jc w:val="both"/>
              <w:rPr>
                <w:sz w:val="16"/>
                <w:szCs w:val="16"/>
              </w:rPr>
            </w:pPr>
            <w:r w:rsidRPr="00FA7F06">
              <w:rPr>
                <w:sz w:val="16"/>
                <w:szCs w:val="16"/>
              </w:rPr>
              <w:t>± 0,5</w:t>
            </w:r>
          </w:p>
        </w:tc>
        <w:tc>
          <w:tcPr>
            <w:tcW w:w="470" w:type="dxa"/>
            <w:tcBorders>
              <w:top w:val="outset" w:sz="6" w:space="0" w:color="000000"/>
              <w:left w:val="outset" w:sz="6" w:space="0" w:color="000000"/>
              <w:bottom w:val="outset" w:sz="6" w:space="0" w:color="000000"/>
              <w:right w:val="outset" w:sz="6" w:space="0" w:color="000000"/>
            </w:tcBorders>
            <w:hideMark/>
          </w:tcPr>
          <w:p w14:paraId="7E51B92C" w14:textId="77777777" w:rsidR="00C11DEF" w:rsidRPr="00FA7F06" w:rsidRDefault="00C11DEF" w:rsidP="00CF35EE">
            <w:pPr>
              <w:spacing w:after="0"/>
              <w:jc w:val="both"/>
              <w:rPr>
                <w:sz w:val="16"/>
                <w:szCs w:val="16"/>
              </w:rPr>
            </w:pPr>
            <w:r w:rsidRPr="00FA7F06">
              <w:rPr>
                <w:sz w:val="16"/>
                <w:szCs w:val="16"/>
              </w:rPr>
              <w:t>± 0,7</w:t>
            </w:r>
          </w:p>
        </w:tc>
        <w:tc>
          <w:tcPr>
            <w:tcW w:w="841" w:type="dxa"/>
            <w:tcBorders>
              <w:top w:val="outset" w:sz="6" w:space="0" w:color="000000"/>
              <w:left w:val="outset" w:sz="6" w:space="0" w:color="000000"/>
              <w:bottom w:val="outset" w:sz="6" w:space="0" w:color="000000"/>
              <w:right w:val="outset" w:sz="6" w:space="0" w:color="000000"/>
            </w:tcBorders>
            <w:hideMark/>
          </w:tcPr>
          <w:p w14:paraId="2039C4DF" w14:textId="77777777" w:rsidR="00C11DEF" w:rsidRPr="00FA7F06" w:rsidRDefault="00C11DEF" w:rsidP="00CF35EE">
            <w:pPr>
              <w:spacing w:after="0"/>
              <w:jc w:val="both"/>
              <w:rPr>
                <w:sz w:val="16"/>
                <w:szCs w:val="16"/>
              </w:rPr>
            </w:pPr>
            <w:r w:rsidRPr="00FA7F06">
              <w:rPr>
                <w:sz w:val="16"/>
                <w:szCs w:val="16"/>
              </w:rPr>
              <w:t>± 1,0</w:t>
            </w:r>
          </w:p>
        </w:tc>
      </w:tr>
      <w:tr w:rsidR="00FA7F06" w:rsidRPr="00FA7F06" w14:paraId="5CE7DBF1" w14:textId="77777777" w:rsidTr="00C11DEF">
        <w:trPr>
          <w:tblCellSpacing w:w="7" w:type="dxa"/>
        </w:trPr>
        <w:tc>
          <w:tcPr>
            <w:tcW w:w="2850" w:type="dxa"/>
            <w:tcBorders>
              <w:top w:val="outset" w:sz="6" w:space="0" w:color="000000"/>
              <w:left w:val="outset" w:sz="6" w:space="0" w:color="000000"/>
              <w:bottom w:val="outset" w:sz="6" w:space="0" w:color="000000"/>
              <w:right w:val="outset" w:sz="6" w:space="0" w:color="000000"/>
            </w:tcBorders>
            <w:hideMark/>
          </w:tcPr>
          <w:p w14:paraId="1014F709" w14:textId="77777777" w:rsidR="00C11DEF" w:rsidRPr="00FA7F06" w:rsidRDefault="00C11DEF" w:rsidP="00CF35EE">
            <w:pPr>
              <w:spacing w:after="0"/>
              <w:jc w:val="both"/>
              <w:rPr>
                <w:sz w:val="16"/>
                <w:szCs w:val="16"/>
              </w:rPr>
            </w:pPr>
            <w:r w:rsidRPr="00FA7F06">
              <w:rPr>
                <w:sz w:val="16"/>
                <w:szCs w:val="16"/>
              </w:rPr>
              <w:t>Wymiar b</w:t>
            </w:r>
          </w:p>
        </w:tc>
        <w:tc>
          <w:tcPr>
            <w:tcW w:w="563" w:type="dxa"/>
            <w:tcBorders>
              <w:top w:val="outset" w:sz="6" w:space="0" w:color="000000"/>
              <w:left w:val="outset" w:sz="6" w:space="0" w:color="000000"/>
              <w:bottom w:val="outset" w:sz="6" w:space="0" w:color="000000"/>
              <w:right w:val="outset" w:sz="6" w:space="0" w:color="000000"/>
            </w:tcBorders>
            <w:hideMark/>
          </w:tcPr>
          <w:p w14:paraId="0F55C0EE" w14:textId="77777777" w:rsidR="00C11DEF" w:rsidRPr="00FA7F06" w:rsidRDefault="00C11DEF" w:rsidP="00CF35EE">
            <w:pPr>
              <w:spacing w:after="0"/>
              <w:jc w:val="both"/>
              <w:rPr>
                <w:sz w:val="16"/>
                <w:szCs w:val="16"/>
              </w:rPr>
            </w:pPr>
            <w:r w:rsidRPr="00FA7F06">
              <w:rPr>
                <w:sz w:val="16"/>
                <w:szCs w:val="16"/>
              </w:rPr>
              <w:t>od 12 do 24</w:t>
            </w:r>
          </w:p>
        </w:tc>
        <w:tc>
          <w:tcPr>
            <w:tcW w:w="564" w:type="dxa"/>
            <w:tcBorders>
              <w:top w:val="outset" w:sz="6" w:space="0" w:color="000000"/>
              <w:left w:val="outset" w:sz="6" w:space="0" w:color="000000"/>
              <w:bottom w:val="outset" w:sz="6" w:space="0" w:color="000000"/>
              <w:right w:val="outset" w:sz="6" w:space="0" w:color="000000"/>
            </w:tcBorders>
            <w:hideMark/>
          </w:tcPr>
          <w:p w14:paraId="67D727D3" w14:textId="77777777" w:rsidR="00C11DEF" w:rsidRPr="00FA7F06" w:rsidRDefault="00C11DEF" w:rsidP="00CF35EE">
            <w:pPr>
              <w:spacing w:after="0"/>
              <w:jc w:val="both"/>
              <w:rPr>
                <w:sz w:val="16"/>
                <w:szCs w:val="16"/>
              </w:rPr>
            </w:pPr>
            <w:r w:rsidRPr="00FA7F06">
              <w:rPr>
                <w:sz w:val="16"/>
                <w:szCs w:val="16"/>
              </w:rPr>
              <w:t>od 14 do 28</w:t>
            </w:r>
          </w:p>
        </w:tc>
        <w:tc>
          <w:tcPr>
            <w:tcW w:w="564" w:type="dxa"/>
            <w:tcBorders>
              <w:top w:val="outset" w:sz="6" w:space="0" w:color="000000"/>
              <w:left w:val="outset" w:sz="6" w:space="0" w:color="000000"/>
              <w:bottom w:val="outset" w:sz="6" w:space="0" w:color="000000"/>
              <w:right w:val="outset" w:sz="6" w:space="0" w:color="000000"/>
            </w:tcBorders>
            <w:hideMark/>
          </w:tcPr>
          <w:p w14:paraId="441FC0CA" w14:textId="77777777" w:rsidR="00C11DEF" w:rsidRPr="00FA7F06" w:rsidRDefault="00C11DEF" w:rsidP="00CF35EE">
            <w:pPr>
              <w:spacing w:after="0"/>
              <w:jc w:val="both"/>
              <w:rPr>
                <w:sz w:val="16"/>
                <w:szCs w:val="16"/>
              </w:rPr>
            </w:pPr>
            <w:r w:rsidRPr="00FA7F06">
              <w:rPr>
                <w:sz w:val="16"/>
                <w:szCs w:val="16"/>
              </w:rPr>
              <w:t>od 16 do 32</w:t>
            </w:r>
          </w:p>
        </w:tc>
        <w:tc>
          <w:tcPr>
            <w:tcW w:w="1053" w:type="dxa"/>
            <w:tcBorders>
              <w:top w:val="outset" w:sz="6" w:space="0" w:color="000000"/>
              <w:left w:val="outset" w:sz="6" w:space="0" w:color="000000"/>
              <w:bottom w:val="outset" w:sz="6" w:space="0" w:color="000000"/>
              <w:right w:val="outset" w:sz="6" w:space="0" w:color="000000"/>
            </w:tcBorders>
            <w:hideMark/>
          </w:tcPr>
          <w:p w14:paraId="1133D7E2" w14:textId="77777777" w:rsidR="00C11DEF" w:rsidRPr="00FA7F06" w:rsidRDefault="00C11DEF" w:rsidP="00CF35EE">
            <w:pPr>
              <w:spacing w:after="0"/>
              <w:jc w:val="both"/>
              <w:rPr>
                <w:sz w:val="16"/>
                <w:szCs w:val="16"/>
              </w:rPr>
            </w:pPr>
            <w:r w:rsidRPr="00FA7F06">
              <w:rPr>
                <w:sz w:val="16"/>
                <w:szCs w:val="16"/>
              </w:rPr>
              <w:t>od 18 do 36</w:t>
            </w:r>
          </w:p>
        </w:tc>
        <w:tc>
          <w:tcPr>
            <w:tcW w:w="407" w:type="dxa"/>
            <w:tcBorders>
              <w:top w:val="outset" w:sz="6" w:space="0" w:color="000000"/>
              <w:left w:val="outset" w:sz="6" w:space="0" w:color="000000"/>
              <w:bottom w:val="outset" w:sz="6" w:space="0" w:color="000000"/>
              <w:right w:val="outset" w:sz="6" w:space="0" w:color="000000"/>
            </w:tcBorders>
            <w:hideMark/>
          </w:tcPr>
          <w:p w14:paraId="0CEDAC0E" w14:textId="77777777" w:rsidR="00C11DEF" w:rsidRPr="00FA7F06" w:rsidRDefault="00C11DEF" w:rsidP="00CF35EE">
            <w:pPr>
              <w:spacing w:after="0"/>
              <w:jc w:val="both"/>
              <w:rPr>
                <w:sz w:val="16"/>
                <w:szCs w:val="16"/>
              </w:rPr>
            </w:pPr>
            <w:r w:rsidRPr="00FA7F06">
              <w:rPr>
                <w:sz w:val="16"/>
                <w:szCs w:val="16"/>
              </w:rPr>
              <w:t>-</w:t>
            </w:r>
          </w:p>
        </w:tc>
        <w:tc>
          <w:tcPr>
            <w:tcW w:w="470" w:type="dxa"/>
            <w:tcBorders>
              <w:top w:val="outset" w:sz="6" w:space="0" w:color="000000"/>
              <w:left w:val="outset" w:sz="6" w:space="0" w:color="000000"/>
              <w:bottom w:val="outset" w:sz="6" w:space="0" w:color="000000"/>
              <w:right w:val="outset" w:sz="6" w:space="0" w:color="000000"/>
            </w:tcBorders>
            <w:hideMark/>
          </w:tcPr>
          <w:p w14:paraId="14EE5C58" w14:textId="77777777" w:rsidR="00C11DEF" w:rsidRPr="00FA7F06" w:rsidRDefault="00C11DEF" w:rsidP="00CF35EE">
            <w:pPr>
              <w:spacing w:after="0"/>
              <w:jc w:val="both"/>
              <w:rPr>
                <w:sz w:val="16"/>
                <w:szCs w:val="16"/>
              </w:rPr>
            </w:pPr>
            <w:r w:rsidRPr="00FA7F06">
              <w:rPr>
                <w:sz w:val="16"/>
                <w:szCs w:val="16"/>
              </w:rPr>
              <w:t>-</w:t>
            </w:r>
          </w:p>
        </w:tc>
        <w:tc>
          <w:tcPr>
            <w:tcW w:w="841" w:type="dxa"/>
            <w:tcBorders>
              <w:top w:val="outset" w:sz="6" w:space="0" w:color="000000"/>
              <w:left w:val="outset" w:sz="6" w:space="0" w:color="000000"/>
              <w:bottom w:val="outset" w:sz="6" w:space="0" w:color="000000"/>
              <w:right w:val="outset" w:sz="6" w:space="0" w:color="000000"/>
            </w:tcBorders>
            <w:hideMark/>
          </w:tcPr>
          <w:p w14:paraId="17596BD8" w14:textId="77777777" w:rsidR="00C11DEF" w:rsidRPr="00FA7F06" w:rsidRDefault="00C11DEF" w:rsidP="00CF35EE">
            <w:pPr>
              <w:spacing w:after="0"/>
              <w:jc w:val="both"/>
              <w:rPr>
                <w:sz w:val="16"/>
                <w:szCs w:val="16"/>
              </w:rPr>
            </w:pPr>
            <w:r w:rsidRPr="00FA7F06">
              <w:rPr>
                <w:sz w:val="16"/>
                <w:szCs w:val="16"/>
              </w:rPr>
              <w:t>-</w:t>
            </w:r>
          </w:p>
        </w:tc>
      </w:tr>
      <w:tr w:rsidR="00FA7F06" w:rsidRPr="00FA7F06" w14:paraId="56CFB541" w14:textId="77777777" w:rsidTr="00C11DEF">
        <w:trPr>
          <w:tblCellSpacing w:w="7" w:type="dxa"/>
        </w:trPr>
        <w:tc>
          <w:tcPr>
            <w:tcW w:w="2850" w:type="dxa"/>
            <w:tcBorders>
              <w:top w:val="outset" w:sz="6" w:space="0" w:color="000000"/>
              <w:left w:val="outset" w:sz="6" w:space="0" w:color="000000"/>
              <w:bottom w:val="outset" w:sz="6" w:space="0" w:color="000000"/>
              <w:right w:val="outset" w:sz="6" w:space="0" w:color="000000"/>
            </w:tcBorders>
            <w:hideMark/>
          </w:tcPr>
          <w:p w14:paraId="45ED95AD" w14:textId="77777777" w:rsidR="00C11DEF" w:rsidRPr="00FA7F06" w:rsidRDefault="00C11DEF" w:rsidP="00CF35EE">
            <w:pPr>
              <w:spacing w:after="0"/>
              <w:jc w:val="both"/>
              <w:rPr>
                <w:sz w:val="16"/>
                <w:szCs w:val="16"/>
              </w:rPr>
            </w:pPr>
            <w:r w:rsidRPr="00FA7F06">
              <w:rPr>
                <w:sz w:val="16"/>
                <w:szCs w:val="16"/>
              </w:rPr>
              <w:t>Stosunek pola powierzchni dolnej (stopki) do górnej (czoła), nie mniej niż</w:t>
            </w:r>
          </w:p>
        </w:tc>
        <w:tc>
          <w:tcPr>
            <w:tcW w:w="563" w:type="dxa"/>
            <w:tcBorders>
              <w:top w:val="outset" w:sz="6" w:space="0" w:color="000000"/>
              <w:left w:val="outset" w:sz="6" w:space="0" w:color="000000"/>
              <w:bottom w:val="outset" w:sz="6" w:space="0" w:color="000000"/>
              <w:right w:val="outset" w:sz="6" w:space="0" w:color="000000"/>
            </w:tcBorders>
            <w:hideMark/>
          </w:tcPr>
          <w:p w14:paraId="4693E19E" w14:textId="77777777" w:rsidR="00C11DEF" w:rsidRPr="00FA7F06" w:rsidRDefault="00C11DEF" w:rsidP="00CF35EE">
            <w:pPr>
              <w:spacing w:after="0"/>
              <w:jc w:val="both"/>
              <w:rPr>
                <w:sz w:val="16"/>
                <w:szCs w:val="16"/>
              </w:rPr>
            </w:pPr>
          </w:p>
          <w:p w14:paraId="32434716" w14:textId="77777777" w:rsidR="00C11DEF" w:rsidRPr="00FA7F06" w:rsidRDefault="00C11DEF" w:rsidP="00CF35EE">
            <w:pPr>
              <w:spacing w:after="0"/>
              <w:jc w:val="both"/>
              <w:rPr>
                <w:sz w:val="16"/>
                <w:szCs w:val="16"/>
              </w:rPr>
            </w:pPr>
            <w:r w:rsidRPr="00FA7F06">
              <w:rPr>
                <w:sz w:val="16"/>
                <w:szCs w:val="16"/>
              </w:rPr>
              <w:t>-</w:t>
            </w:r>
          </w:p>
        </w:tc>
        <w:tc>
          <w:tcPr>
            <w:tcW w:w="564" w:type="dxa"/>
            <w:tcBorders>
              <w:top w:val="outset" w:sz="6" w:space="0" w:color="000000"/>
              <w:left w:val="outset" w:sz="6" w:space="0" w:color="000000"/>
              <w:bottom w:val="outset" w:sz="6" w:space="0" w:color="000000"/>
              <w:right w:val="outset" w:sz="6" w:space="0" w:color="000000"/>
            </w:tcBorders>
            <w:hideMark/>
          </w:tcPr>
          <w:p w14:paraId="5A0AE4EB" w14:textId="77777777" w:rsidR="00C11DEF" w:rsidRPr="00FA7F06" w:rsidRDefault="00C11DEF" w:rsidP="00CF35EE">
            <w:pPr>
              <w:spacing w:after="0"/>
              <w:jc w:val="both"/>
              <w:rPr>
                <w:sz w:val="16"/>
                <w:szCs w:val="16"/>
              </w:rPr>
            </w:pPr>
          </w:p>
          <w:p w14:paraId="6EFCE19C" w14:textId="77777777" w:rsidR="00C11DEF" w:rsidRPr="00FA7F06" w:rsidRDefault="00C11DEF" w:rsidP="00CF35EE">
            <w:pPr>
              <w:spacing w:after="0"/>
              <w:jc w:val="both"/>
              <w:rPr>
                <w:sz w:val="16"/>
                <w:szCs w:val="16"/>
              </w:rPr>
            </w:pPr>
            <w:r w:rsidRPr="00FA7F06">
              <w:rPr>
                <w:sz w:val="16"/>
                <w:szCs w:val="16"/>
              </w:rPr>
              <w:t>-</w:t>
            </w:r>
          </w:p>
        </w:tc>
        <w:tc>
          <w:tcPr>
            <w:tcW w:w="564" w:type="dxa"/>
            <w:tcBorders>
              <w:top w:val="outset" w:sz="6" w:space="0" w:color="000000"/>
              <w:left w:val="outset" w:sz="6" w:space="0" w:color="000000"/>
              <w:bottom w:val="outset" w:sz="6" w:space="0" w:color="000000"/>
              <w:right w:val="outset" w:sz="6" w:space="0" w:color="000000"/>
            </w:tcBorders>
            <w:hideMark/>
          </w:tcPr>
          <w:p w14:paraId="7668207E" w14:textId="77777777" w:rsidR="00C11DEF" w:rsidRPr="00FA7F06" w:rsidRDefault="00C11DEF" w:rsidP="00CF35EE">
            <w:pPr>
              <w:spacing w:after="0"/>
              <w:jc w:val="both"/>
              <w:rPr>
                <w:sz w:val="16"/>
                <w:szCs w:val="16"/>
              </w:rPr>
            </w:pPr>
          </w:p>
          <w:p w14:paraId="13B387AC" w14:textId="77777777" w:rsidR="00C11DEF" w:rsidRPr="00FA7F06" w:rsidRDefault="00C11DEF" w:rsidP="00CF35EE">
            <w:pPr>
              <w:spacing w:after="0"/>
              <w:jc w:val="both"/>
              <w:rPr>
                <w:sz w:val="16"/>
                <w:szCs w:val="16"/>
              </w:rPr>
            </w:pPr>
            <w:r w:rsidRPr="00FA7F06">
              <w:rPr>
                <w:sz w:val="16"/>
                <w:szCs w:val="16"/>
              </w:rPr>
              <w:t>-</w:t>
            </w:r>
          </w:p>
        </w:tc>
        <w:tc>
          <w:tcPr>
            <w:tcW w:w="1053" w:type="dxa"/>
            <w:tcBorders>
              <w:top w:val="outset" w:sz="6" w:space="0" w:color="000000"/>
              <w:left w:val="outset" w:sz="6" w:space="0" w:color="000000"/>
              <w:bottom w:val="outset" w:sz="6" w:space="0" w:color="000000"/>
              <w:right w:val="outset" w:sz="6" w:space="0" w:color="000000"/>
            </w:tcBorders>
            <w:hideMark/>
          </w:tcPr>
          <w:p w14:paraId="69689BBC" w14:textId="77777777" w:rsidR="00C11DEF" w:rsidRPr="00FA7F06" w:rsidRDefault="00C11DEF" w:rsidP="00CF35EE">
            <w:pPr>
              <w:spacing w:after="0"/>
              <w:jc w:val="both"/>
              <w:rPr>
                <w:sz w:val="16"/>
                <w:szCs w:val="16"/>
              </w:rPr>
            </w:pPr>
          </w:p>
          <w:p w14:paraId="6D2B7BB9" w14:textId="77777777" w:rsidR="00C11DEF" w:rsidRPr="00FA7F06" w:rsidRDefault="00C11DEF" w:rsidP="00CF35EE">
            <w:pPr>
              <w:spacing w:after="0"/>
              <w:jc w:val="both"/>
              <w:rPr>
                <w:sz w:val="16"/>
                <w:szCs w:val="16"/>
              </w:rPr>
            </w:pPr>
            <w:r w:rsidRPr="00FA7F06">
              <w:rPr>
                <w:sz w:val="16"/>
                <w:szCs w:val="16"/>
              </w:rPr>
              <w:t>-</w:t>
            </w:r>
          </w:p>
        </w:tc>
        <w:tc>
          <w:tcPr>
            <w:tcW w:w="407" w:type="dxa"/>
            <w:tcBorders>
              <w:top w:val="outset" w:sz="6" w:space="0" w:color="000000"/>
              <w:left w:val="outset" w:sz="6" w:space="0" w:color="000000"/>
              <w:bottom w:val="outset" w:sz="6" w:space="0" w:color="000000"/>
              <w:right w:val="outset" w:sz="6" w:space="0" w:color="000000"/>
            </w:tcBorders>
            <w:hideMark/>
          </w:tcPr>
          <w:p w14:paraId="38364EC9" w14:textId="77777777" w:rsidR="00C11DEF" w:rsidRPr="00FA7F06" w:rsidRDefault="00C11DEF" w:rsidP="00CF35EE">
            <w:pPr>
              <w:spacing w:after="0"/>
              <w:jc w:val="both"/>
              <w:rPr>
                <w:sz w:val="16"/>
                <w:szCs w:val="16"/>
              </w:rPr>
            </w:pPr>
          </w:p>
          <w:p w14:paraId="16794220" w14:textId="77777777" w:rsidR="00C11DEF" w:rsidRPr="00FA7F06" w:rsidRDefault="00C11DEF" w:rsidP="00CF35EE">
            <w:pPr>
              <w:spacing w:after="0"/>
              <w:jc w:val="both"/>
              <w:rPr>
                <w:sz w:val="16"/>
                <w:szCs w:val="16"/>
              </w:rPr>
            </w:pPr>
            <w:r w:rsidRPr="00FA7F06">
              <w:rPr>
                <w:sz w:val="16"/>
                <w:szCs w:val="16"/>
              </w:rPr>
              <w:t>0,8</w:t>
            </w:r>
          </w:p>
        </w:tc>
        <w:tc>
          <w:tcPr>
            <w:tcW w:w="470" w:type="dxa"/>
            <w:tcBorders>
              <w:top w:val="outset" w:sz="6" w:space="0" w:color="000000"/>
              <w:left w:val="outset" w:sz="6" w:space="0" w:color="000000"/>
              <w:bottom w:val="outset" w:sz="6" w:space="0" w:color="000000"/>
              <w:right w:val="outset" w:sz="6" w:space="0" w:color="000000"/>
            </w:tcBorders>
            <w:hideMark/>
          </w:tcPr>
          <w:p w14:paraId="44EA7594" w14:textId="77777777" w:rsidR="00C11DEF" w:rsidRPr="00FA7F06" w:rsidRDefault="00C11DEF" w:rsidP="00CF35EE">
            <w:pPr>
              <w:spacing w:after="0"/>
              <w:jc w:val="both"/>
              <w:rPr>
                <w:sz w:val="16"/>
                <w:szCs w:val="16"/>
              </w:rPr>
            </w:pPr>
          </w:p>
          <w:p w14:paraId="71AD9231" w14:textId="77777777" w:rsidR="00C11DEF" w:rsidRPr="00FA7F06" w:rsidRDefault="00C11DEF" w:rsidP="00CF35EE">
            <w:pPr>
              <w:spacing w:after="0"/>
              <w:jc w:val="both"/>
              <w:rPr>
                <w:sz w:val="16"/>
                <w:szCs w:val="16"/>
              </w:rPr>
            </w:pPr>
            <w:r w:rsidRPr="00FA7F06">
              <w:rPr>
                <w:sz w:val="16"/>
                <w:szCs w:val="16"/>
              </w:rPr>
              <w:t>0,7</w:t>
            </w:r>
          </w:p>
        </w:tc>
        <w:tc>
          <w:tcPr>
            <w:tcW w:w="841" w:type="dxa"/>
            <w:tcBorders>
              <w:top w:val="outset" w:sz="6" w:space="0" w:color="000000"/>
              <w:left w:val="outset" w:sz="6" w:space="0" w:color="000000"/>
              <w:bottom w:val="outset" w:sz="6" w:space="0" w:color="000000"/>
              <w:right w:val="outset" w:sz="6" w:space="0" w:color="000000"/>
            </w:tcBorders>
            <w:hideMark/>
          </w:tcPr>
          <w:p w14:paraId="2ACE636E" w14:textId="77777777" w:rsidR="00C11DEF" w:rsidRPr="00FA7F06" w:rsidRDefault="00C11DEF" w:rsidP="00CF35EE">
            <w:pPr>
              <w:spacing w:after="0"/>
              <w:jc w:val="both"/>
              <w:rPr>
                <w:sz w:val="16"/>
                <w:szCs w:val="16"/>
              </w:rPr>
            </w:pPr>
          </w:p>
          <w:p w14:paraId="4AC92FBA" w14:textId="77777777" w:rsidR="00C11DEF" w:rsidRPr="00FA7F06" w:rsidRDefault="00C11DEF" w:rsidP="00CF35EE">
            <w:pPr>
              <w:spacing w:after="0"/>
              <w:jc w:val="both"/>
              <w:rPr>
                <w:sz w:val="16"/>
                <w:szCs w:val="16"/>
              </w:rPr>
            </w:pPr>
            <w:r w:rsidRPr="00FA7F06">
              <w:rPr>
                <w:sz w:val="16"/>
                <w:szCs w:val="16"/>
              </w:rPr>
              <w:t>0,6</w:t>
            </w:r>
          </w:p>
        </w:tc>
      </w:tr>
      <w:tr w:rsidR="00FA7F06" w:rsidRPr="00FA7F06" w14:paraId="06332AC4" w14:textId="77777777" w:rsidTr="00C11DEF">
        <w:trPr>
          <w:tblCellSpacing w:w="7" w:type="dxa"/>
        </w:trPr>
        <w:tc>
          <w:tcPr>
            <w:tcW w:w="2850" w:type="dxa"/>
            <w:tcBorders>
              <w:top w:val="outset" w:sz="6" w:space="0" w:color="000000"/>
              <w:left w:val="outset" w:sz="6" w:space="0" w:color="000000"/>
              <w:bottom w:val="outset" w:sz="6" w:space="0" w:color="000000"/>
              <w:right w:val="outset" w:sz="6" w:space="0" w:color="000000"/>
            </w:tcBorders>
            <w:hideMark/>
          </w:tcPr>
          <w:p w14:paraId="796954ED" w14:textId="77777777" w:rsidR="00C11DEF" w:rsidRPr="00FA7F06" w:rsidRDefault="00C11DEF" w:rsidP="00CF35EE">
            <w:pPr>
              <w:spacing w:after="0"/>
              <w:jc w:val="both"/>
              <w:rPr>
                <w:sz w:val="16"/>
                <w:szCs w:val="16"/>
              </w:rPr>
            </w:pPr>
            <w:r w:rsidRPr="00FA7F06">
              <w:rPr>
                <w:sz w:val="16"/>
                <w:szCs w:val="16"/>
              </w:rPr>
              <w:t>Nierówności powierzchni górnej (czoła), nie większe niż</w:t>
            </w:r>
          </w:p>
        </w:tc>
        <w:tc>
          <w:tcPr>
            <w:tcW w:w="563" w:type="dxa"/>
            <w:tcBorders>
              <w:top w:val="outset" w:sz="6" w:space="0" w:color="000000"/>
              <w:left w:val="outset" w:sz="6" w:space="0" w:color="000000"/>
              <w:bottom w:val="outset" w:sz="6" w:space="0" w:color="000000"/>
              <w:right w:val="outset" w:sz="6" w:space="0" w:color="000000"/>
            </w:tcBorders>
            <w:hideMark/>
          </w:tcPr>
          <w:p w14:paraId="58EC11E4" w14:textId="77777777" w:rsidR="00C11DEF" w:rsidRPr="00FA7F06" w:rsidRDefault="00C11DEF" w:rsidP="00CF35EE">
            <w:pPr>
              <w:spacing w:after="0"/>
              <w:jc w:val="both"/>
              <w:rPr>
                <w:sz w:val="16"/>
                <w:szCs w:val="16"/>
              </w:rPr>
            </w:pPr>
            <w:r w:rsidRPr="00FA7F06">
              <w:rPr>
                <w:sz w:val="16"/>
                <w:szCs w:val="16"/>
              </w:rPr>
              <w:t>-</w:t>
            </w:r>
          </w:p>
        </w:tc>
        <w:tc>
          <w:tcPr>
            <w:tcW w:w="564" w:type="dxa"/>
            <w:tcBorders>
              <w:top w:val="outset" w:sz="6" w:space="0" w:color="000000"/>
              <w:left w:val="outset" w:sz="6" w:space="0" w:color="000000"/>
              <w:bottom w:val="outset" w:sz="6" w:space="0" w:color="000000"/>
              <w:right w:val="outset" w:sz="6" w:space="0" w:color="000000"/>
            </w:tcBorders>
            <w:hideMark/>
          </w:tcPr>
          <w:p w14:paraId="7377332A" w14:textId="77777777" w:rsidR="00C11DEF" w:rsidRPr="00FA7F06" w:rsidRDefault="00C11DEF" w:rsidP="00CF35EE">
            <w:pPr>
              <w:spacing w:after="0"/>
              <w:jc w:val="both"/>
              <w:rPr>
                <w:sz w:val="16"/>
                <w:szCs w:val="16"/>
              </w:rPr>
            </w:pPr>
            <w:r w:rsidRPr="00FA7F06">
              <w:rPr>
                <w:sz w:val="16"/>
                <w:szCs w:val="16"/>
              </w:rPr>
              <w:t>-</w:t>
            </w:r>
          </w:p>
        </w:tc>
        <w:tc>
          <w:tcPr>
            <w:tcW w:w="564" w:type="dxa"/>
            <w:tcBorders>
              <w:top w:val="outset" w:sz="6" w:space="0" w:color="000000"/>
              <w:left w:val="outset" w:sz="6" w:space="0" w:color="000000"/>
              <w:bottom w:val="outset" w:sz="6" w:space="0" w:color="000000"/>
              <w:right w:val="outset" w:sz="6" w:space="0" w:color="000000"/>
            </w:tcBorders>
            <w:hideMark/>
          </w:tcPr>
          <w:p w14:paraId="3EF2BC35" w14:textId="77777777" w:rsidR="00C11DEF" w:rsidRPr="00FA7F06" w:rsidRDefault="00C11DEF" w:rsidP="00CF35EE">
            <w:pPr>
              <w:spacing w:after="0"/>
              <w:jc w:val="both"/>
              <w:rPr>
                <w:sz w:val="16"/>
                <w:szCs w:val="16"/>
              </w:rPr>
            </w:pPr>
            <w:r w:rsidRPr="00FA7F06">
              <w:rPr>
                <w:sz w:val="16"/>
                <w:szCs w:val="16"/>
              </w:rPr>
              <w:t>-</w:t>
            </w:r>
          </w:p>
        </w:tc>
        <w:tc>
          <w:tcPr>
            <w:tcW w:w="1053" w:type="dxa"/>
            <w:tcBorders>
              <w:top w:val="outset" w:sz="6" w:space="0" w:color="000000"/>
              <w:left w:val="outset" w:sz="6" w:space="0" w:color="000000"/>
              <w:bottom w:val="outset" w:sz="6" w:space="0" w:color="000000"/>
              <w:right w:val="outset" w:sz="6" w:space="0" w:color="000000"/>
            </w:tcBorders>
            <w:hideMark/>
          </w:tcPr>
          <w:p w14:paraId="012B111A" w14:textId="77777777" w:rsidR="00C11DEF" w:rsidRPr="00FA7F06" w:rsidRDefault="00C11DEF" w:rsidP="00CF35EE">
            <w:pPr>
              <w:spacing w:after="0"/>
              <w:jc w:val="both"/>
              <w:rPr>
                <w:sz w:val="16"/>
                <w:szCs w:val="16"/>
              </w:rPr>
            </w:pPr>
            <w:r w:rsidRPr="00FA7F06">
              <w:rPr>
                <w:sz w:val="16"/>
                <w:szCs w:val="16"/>
              </w:rPr>
              <w:t>-</w:t>
            </w:r>
          </w:p>
        </w:tc>
        <w:tc>
          <w:tcPr>
            <w:tcW w:w="407" w:type="dxa"/>
            <w:tcBorders>
              <w:top w:val="outset" w:sz="6" w:space="0" w:color="000000"/>
              <w:left w:val="outset" w:sz="6" w:space="0" w:color="000000"/>
              <w:bottom w:val="outset" w:sz="6" w:space="0" w:color="000000"/>
              <w:right w:val="outset" w:sz="6" w:space="0" w:color="000000"/>
            </w:tcBorders>
            <w:hideMark/>
          </w:tcPr>
          <w:p w14:paraId="6C3BCFBC" w14:textId="77777777" w:rsidR="00C11DEF" w:rsidRPr="00FA7F06" w:rsidRDefault="00C11DEF" w:rsidP="00CF35EE">
            <w:pPr>
              <w:spacing w:after="0"/>
              <w:jc w:val="both"/>
              <w:rPr>
                <w:sz w:val="16"/>
                <w:szCs w:val="16"/>
              </w:rPr>
            </w:pPr>
            <w:r w:rsidRPr="00FA7F06">
              <w:rPr>
                <w:sz w:val="16"/>
                <w:szCs w:val="16"/>
              </w:rPr>
              <w:t>± 0,4</w:t>
            </w:r>
          </w:p>
        </w:tc>
        <w:tc>
          <w:tcPr>
            <w:tcW w:w="470" w:type="dxa"/>
            <w:tcBorders>
              <w:top w:val="outset" w:sz="6" w:space="0" w:color="000000"/>
              <w:left w:val="outset" w:sz="6" w:space="0" w:color="000000"/>
              <w:bottom w:val="outset" w:sz="6" w:space="0" w:color="000000"/>
              <w:right w:val="outset" w:sz="6" w:space="0" w:color="000000"/>
            </w:tcBorders>
            <w:hideMark/>
          </w:tcPr>
          <w:p w14:paraId="4D9D4F77" w14:textId="77777777" w:rsidR="00C11DEF" w:rsidRPr="00FA7F06" w:rsidRDefault="00C11DEF" w:rsidP="00CF35EE">
            <w:pPr>
              <w:spacing w:after="0"/>
              <w:jc w:val="both"/>
              <w:rPr>
                <w:sz w:val="16"/>
                <w:szCs w:val="16"/>
              </w:rPr>
            </w:pPr>
            <w:r w:rsidRPr="00FA7F06">
              <w:rPr>
                <w:sz w:val="16"/>
                <w:szCs w:val="16"/>
              </w:rPr>
              <w:t>± 0,6</w:t>
            </w:r>
          </w:p>
        </w:tc>
        <w:tc>
          <w:tcPr>
            <w:tcW w:w="841" w:type="dxa"/>
            <w:tcBorders>
              <w:top w:val="outset" w:sz="6" w:space="0" w:color="000000"/>
              <w:left w:val="outset" w:sz="6" w:space="0" w:color="000000"/>
              <w:bottom w:val="outset" w:sz="6" w:space="0" w:color="000000"/>
              <w:right w:val="outset" w:sz="6" w:space="0" w:color="000000"/>
            </w:tcBorders>
            <w:hideMark/>
          </w:tcPr>
          <w:p w14:paraId="26FE6A77" w14:textId="77777777" w:rsidR="00C11DEF" w:rsidRPr="00FA7F06" w:rsidRDefault="00C11DEF" w:rsidP="00CF35EE">
            <w:pPr>
              <w:spacing w:after="0"/>
              <w:jc w:val="both"/>
              <w:rPr>
                <w:sz w:val="16"/>
                <w:szCs w:val="16"/>
              </w:rPr>
            </w:pPr>
            <w:r w:rsidRPr="00FA7F06">
              <w:rPr>
                <w:sz w:val="16"/>
                <w:szCs w:val="16"/>
              </w:rPr>
              <w:t>± 0,8</w:t>
            </w:r>
          </w:p>
        </w:tc>
      </w:tr>
      <w:tr w:rsidR="00FA7F06" w:rsidRPr="00FA7F06" w14:paraId="599DCDD0" w14:textId="77777777" w:rsidTr="00C11DEF">
        <w:trPr>
          <w:tblCellSpacing w:w="7" w:type="dxa"/>
        </w:trPr>
        <w:tc>
          <w:tcPr>
            <w:tcW w:w="2850" w:type="dxa"/>
            <w:tcBorders>
              <w:top w:val="outset" w:sz="6" w:space="0" w:color="000000"/>
              <w:left w:val="outset" w:sz="6" w:space="0" w:color="000000"/>
              <w:bottom w:val="outset" w:sz="6" w:space="0" w:color="000000"/>
              <w:right w:val="outset" w:sz="6" w:space="0" w:color="000000"/>
            </w:tcBorders>
            <w:hideMark/>
          </w:tcPr>
          <w:p w14:paraId="73FC4CA9" w14:textId="77777777" w:rsidR="00C11DEF" w:rsidRPr="00FA7F06" w:rsidRDefault="00C11DEF" w:rsidP="00CF35EE">
            <w:pPr>
              <w:spacing w:after="0"/>
              <w:jc w:val="both"/>
              <w:rPr>
                <w:sz w:val="16"/>
                <w:szCs w:val="16"/>
              </w:rPr>
            </w:pPr>
            <w:r w:rsidRPr="00FA7F06">
              <w:rPr>
                <w:sz w:val="16"/>
                <w:szCs w:val="16"/>
              </w:rPr>
              <w:t>Pęknięcia kostki</w:t>
            </w:r>
          </w:p>
        </w:tc>
        <w:tc>
          <w:tcPr>
            <w:tcW w:w="563" w:type="dxa"/>
            <w:tcBorders>
              <w:top w:val="outset" w:sz="6" w:space="0" w:color="000000"/>
              <w:left w:val="outset" w:sz="6" w:space="0" w:color="000000"/>
              <w:bottom w:val="outset" w:sz="6" w:space="0" w:color="000000"/>
              <w:right w:val="outset" w:sz="6" w:space="0" w:color="000000"/>
            </w:tcBorders>
            <w:hideMark/>
          </w:tcPr>
          <w:p w14:paraId="3115D6B9" w14:textId="77777777" w:rsidR="00C11DEF" w:rsidRPr="00FA7F06" w:rsidRDefault="00C11DEF" w:rsidP="00CF35EE">
            <w:pPr>
              <w:spacing w:after="0"/>
              <w:jc w:val="both"/>
              <w:rPr>
                <w:sz w:val="16"/>
                <w:szCs w:val="16"/>
              </w:rPr>
            </w:pPr>
            <w:r w:rsidRPr="00FA7F06">
              <w:rPr>
                <w:sz w:val="16"/>
                <w:szCs w:val="16"/>
              </w:rPr>
              <w:t>-</w:t>
            </w:r>
          </w:p>
        </w:tc>
        <w:tc>
          <w:tcPr>
            <w:tcW w:w="564" w:type="dxa"/>
            <w:tcBorders>
              <w:top w:val="outset" w:sz="6" w:space="0" w:color="000000"/>
              <w:left w:val="outset" w:sz="6" w:space="0" w:color="000000"/>
              <w:bottom w:val="outset" w:sz="6" w:space="0" w:color="000000"/>
              <w:right w:val="outset" w:sz="6" w:space="0" w:color="000000"/>
            </w:tcBorders>
            <w:hideMark/>
          </w:tcPr>
          <w:p w14:paraId="2DDB3D44" w14:textId="77777777" w:rsidR="00C11DEF" w:rsidRPr="00FA7F06" w:rsidRDefault="00C11DEF" w:rsidP="00CF35EE">
            <w:pPr>
              <w:spacing w:after="0"/>
              <w:jc w:val="both"/>
              <w:rPr>
                <w:sz w:val="16"/>
                <w:szCs w:val="16"/>
              </w:rPr>
            </w:pPr>
            <w:r w:rsidRPr="00FA7F06">
              <w:rPr>
                <w:sz w:val="16"/>
                <w:szCs w:val="16"/>
              </w:rPr>
              <w:t>-</w:t>
            </w:r>
          </w:p>
        </w:tc>
        <w:tc>
          <w:tcPr>
            <w:tcW w:w="564" w:type="dxa"/>
            <w:tcBorders>
              <w:top w:val="outset" w:sz="6" w:space="0" w:color="000000"/>
              <w:left w:val="outset" w:sz="6" w:space="0" w:color="000000"/>
              <w:bottom w:val="outset" w:sz="6" w:space="0" w:color="000000"/>
              <w:right w:val="outset" w:sz="6" w:space="0" w:color="000000"/>
            </w:tcBorders>
            <w:hideMark/>
          </w:tcPr>
          <w:p w14:paraId="4ECA2D2C" w14:textId="77777777" w:rsidR="00C11DEF" w:rsidRPr="00FA7F06" w:rsidRDefault="00C11DEF" w:rsidP="00CF35EE">
            <w:pPr>
              <w:spacing w:after="0"/>
              <w:jc w:val="both"/>
              <w:rPr>
                <w:sz w:val="16"/>
                <w:szCs w:val="16"/>
              </w:rPr>
            </w:pPr>
            <w:r w:rsidRPr="00FA7F06">
              <w:rPr>
                <w:sz w:val="16"/>
                <w:szCs w:val="16"/>
              </w:rPr>
              <w:t>-</w:t>
            </w:r>
          </w:p>
        </w:tc>
        <w:tc>
          <w:tcPr>
            <w:tcW w:w="1053" w:type="dxa"/>
            <w:tcBorders>
              <w:top w:val="outset" w:sz="6" w:space="0" w:color="000000"/>
              <w:left w:val="outset" w:sz="6" w:space="0" w:color="000000"/>
              <w:bottom w:val="outset" w:sz="6" w:space="0" w:color="000000"/>
              <w:right w:val="outset" w:sz="6" w:space="0" w:color="000000"/>
            </w:tcBorders>
            <w:hideMark/>
          </w:tcPr>
          <w:p w14:paraId="3D33D829" w14:textId="77777777" w:rsidR="00C11DEF" w:rsidRPr="00FA7F06" w:rsidRDefault="00C11DEF" w:rsidP="00CF35EE">
            <w:pPr>
              <w:spacing w:after="0"/>
              <w:jc w:val="both"/>
              <w:rPr>
                <w:sz w:val="16"/>
                <w:szCs w:val="16"/>
              </w:rPr>
            </w:pPr>
            <w:r w:rsidRPr="00FA7F06">
              <w:rPr>
                <w:sz w:val="16"/>
                <w:szCs w:val="16"/>
              </w:rPr>
              <w:t>-</w:t>
            </w:r>
          </w:p>
        </w:tc>
        <w:tc>
          <w:tcPr>
            <w:tcW w:w="1746" w:type="dxa"/>
            <w:gridSpan w:val="3"/>
            <w:tcBorders>
              <w:top w:val="outset" w:sz="6" w:space="0" w:color="000000"/>
              <w:left w:val="outset" w:sz="6" w:space="0" w:color="000000"/>
              <w:bottom w:val="outset" w:sz="6" w:space="0" w:color="000000"/>
              <w:right w:val="outset" w:sz="6" w:space="0" w:color="000000"/>
            </w:tcBorders>
            <w:hideMark/>
          </w:tcPr>
          <w:p w14:paraId="08F87B4F" w14:textId="77777777" w:rsidR="00C11DEF" w:rsidRPr="00FA7F06" w:rsidRDefault="00C11DEF" w:rsidP="00CF35EE">
            <w:pPr>
              <w:spacing w:after="0"/>
              <w:jc w:val="both"/>
              <w:rPr>
                <w:sz w:val="16"/>
                <w:szCs w:val="16"/>
              </w:rPr>
            </w:pPr>
            <w:r w:rsidRPr="00FA7F06">
              <w:rPr>
                <w:sz w:val="16"/>
                <w:szCs w:val="16"/>
              </w:rPr>
              <w:t>niedopuszczalne</w:t>
            </w:r>
          </w:p>
        </w:tc>
      </w:tr>
    </w:tbl>
    <w:p w14:paraId="15ED89A5" w14:textId="77777777" w:rsidR="00C11DEF" w:rsidRPr="00FA7F06" w:rsidRDefault="00C11DEF" w:rsidP="00C11DEF">
      <w:pPr>
        <w:spacing w:after="0"/>
        <w:jc w:val="both"/>
        <w:rPr>
          <w:sz w:val="16"/>
          <w:szCs w:val="16"/>
        </w:rPr>
      </w:pPr>
      <w:r w:rsidRPr="00FA7F06">
        <w:rPr>
          <w:sz w:val="16"/>
          <w:szCs w:val="16"/>
        </w:rPr>
        <w:t>2.2.5. Kształt i wymiary kostki nieregularnej</w:t>
      </w:r>
    </w:p>
    <w:p w14:paraId="54C633B1" w14:textId="77777777" w:rsidR="00C11DEF" w:rsidRPr="00FA7F06" w:rsidRDefault="00C11DEF" w:rsidP="00C11DEF">
      <w:pPr>
        <w:spacing w:after="0"/>
        <w:jc w:val="both"/>
        <w:rPr>
          <w:sz w:val="16"/>
          <w:szCs w:val="16"/>
        </w:rPr>
      </w:pPr>
      <w:r w:rsidRPr="00FA7F06">
        <w:rPr>
          <w:sz w:val="16"/>
          <w:szCs w:val="16"/>
        </w:rPr>
        <w:t>Kostka nieregularna powinna mieć kształt zbliżony do prostopadłościanu. Kształt kostki nieregularnej przedstawia rysunek 3.</w:t>
      </w:r>
    </w:p>
    <w:p w14:paraId="52B9E258" w14:textId="77777777" w:rsidR="00C11DEF" w:rsidRPr="00FA7F06" w:rsidRDefault="00C11DEF" w:rsidP="00C11DEF">
      <w:pPr>
        <w:spacing w:after="0"/>
        <w:jc w:val="both"/>
        <w:rPr>
          <w:sz w:val="16"/>
          <w:szCs w:val="16"/>
        </w:rPr>
      </w:pPr>
      <w:r w:rsidRPr="00FA7F06">
        <w:rPr>
          <w:noProof/>
          <w:sz w:val="16"/>
          <w:szCs w:val="16"/>
          <w:lang w:eastAsia="pl-PL"/>
        </w:rPr>
        <w:drawing>
          <wp:anchor distT="0" distB="0" distL="114300" distR="114300" simplePos="0" relativeHeight="251661312" behindDoc="1" locked="0" layoutInCell="1" allowOverlap="1" wp14:anchorId="29D7088E" wp14:editId="396FFE2B">
            <wp:simplePos x="0" y="0"/>
            <wp:positionH relativeFrom="column">
              <wp:posOffset>2239645</wp:posOffset>
            </wp:positionH>
            <wp:positionV relativeFrom="paragraph">
              <wp:posOffset>147320</wp:posOffset>
            </wp:positionV>
            <wp:extent cx="1809750" cy="1314450"/>
            <wp:effectExtent l="0" t="0" r="0" b="0"/>
            <wp:wrapTight wrapText="bothSides">
              <wp:wrapPolygon edited="0">
                <wp:start x="0" y="0"/>
                <wp:lineTo x="0" y="21287"/>
                <wp:lineTo x="21373" y="21287"/>
                <wp:lineTo x="21373" y="0"/>
                <wp:lineTo x="0" y="0"/>
              </wp:wrapPolygon>
            </wp:wrapTight>
            <wp:docPr id="93576292" name="Obraz 93576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1809750" cy="1314450"/>
                    </a:xfrm>
                    <a:prstGeom prst="rect">
                      <a:avLst/>
                    </a:prstGeom>
                  </pic:spPr>
                </pic:pic>
              </a:graphicData>
            </a:graphic>
            <wp14:sizeRelH relativeFrom="page">
              <wp14:pctWidth>0</wp14:pctWidth>
            </wp14:sizeRelH>
            <wp14:sizeRelV relativeFrom="page">
              <wp14:pctHeight>0</wp14:pctHeight>
            </wp14:sizeRelV>
          </wp:anchor>
        </w:drawing>
      </w:r>
    </w:p>
    <w:p w14:paraId="402D2A07" w14:textId="77777777" w:rsidR="00C11DEF" w:rsidRPr="00FA7F06" w:rsidRDefault="00C11DEF" w:rsidP="00C11DEF">
      <w:pPr>
        <w:spacing w:after="0"/>
        <w:jc w:val="both"/>
        <w:rPr>
          <w:sz w:val="16"/>
          <w:szCs w:val="16"/>
        </w:rPr>
      </w:pPr>
    </w:p>
    <w:p w14:paraId="1FB22324" w14:textId="77777777" w:rsidR="00C11DEF" w:rsidRPr="00FA7F06" w:rsidRDefault="00C11DEF" w:rsidP="00C11DEF">
      <w:pPr>
        <w:spacing w:after="0"/>
        <w:jc w:val="both"/>
        <w:rPr>
          <w:sz w:val="16"/>
          <w:szCs w:val="16"/>
        </w:rPr>
      </w:pPr>
    </w:p>
    <w:p w14:paraId="0FFAD254" w14:textId="77777777" w:rsidR="00C11DEF" w:rsidRPr="00FA7F06" w:rsidRDefault="00C11DEF" w:rsidP="00C11DEF">
      <w:pPr>
        <w:spacing w:after="0"/>
        <w:jc w:val="both"/>
        <w:rPr>
          <w:sz w:val="16"/>
          <w:szCs w:val="16"/>
        </w:rPr>
      </w:pPr>
      <w:r w:rsidRPr="00FA7F06">
        <w:rPr>
          <w:sz w:val="16"/>
          <w:szCs w:val="16"/>
        </w:rPr>
        <w:t>Rysunek 3. Kształt kostki nieregularnej</w:t>
      </w:r>
    </w:p>
    <w:p w14:paraId="2463A77A" w14:textId="77777777" w:rsidR="00C11DEF" w:rsidRPr="00FA7F06" w:rsidRDefault="00C11DEF" w:rsidP="00C11DEF">
      <w:pPr>
        <w:spacing w:after="0"/>
        <w:jc w:val="both"/>
        <w:rPr>
          <w:sz w:val="16"/>
          <w:szCs w:val="16"/>
        </w:rPr>
      </w:pPr>
    </w:p>
    <w:p w14:paraId="1E1CA753" w14:textId="77777777" w:rsidR="00C11DEF" w:rsidRPr="00FA7F06" w:rsidRDefault="00C11DEF" w:rsidP="00C11DEF">
      <w:pPr>
        <w:spacing w:after="0"/>
        <w:jc w:val="both"/>
        <w:rPr>
          <w:sz w:val="16"/>
          <w:szCs w:val="16"/>
        </w:rPr>
      </w:pPr>
    </w:p>
    <w:p w14:paraId="4C4BD0E0" w14:textId="77777777" w:rsidR="00C11DEF" w:rsidRPr="00FA7F06" w:rsidRDefault="00C11DEF" w:rsidP="00C11DEF">
      <w:pPr>
        <w:spacing w:after="0"/>
        <w:jc w:val="both"/>
        <w:rPr>
          <w:sz w:val="16"/>
          <w:szCs w:val="16"/>
        </w:rPr>
      </w:pPr>
    </w:p>
    <w:p w14:paraId="13990449" w14:textId="77777777" w:rsidR="00C11DEF" w:rsidRPr="00FA7F06" w:rsidRDefault="00C11DEF" w:rsidP="00C11DEF">
      <w:pPr>
        <w:spacing w:after="0"/>
        <w:jc w:val="both"/>
        <w:rPr>
          <w:sz w:val="16"/>
          <w:szCs w:val="16"/>
        </w:rPr>
      </w:pPr>
    </w:p>
    <w:p w14:paraId="70460F00" w14:textId="77777777" w:rsidR="00C11DEF" w:rsidRPr="00FA7F06" w:rsidRDefault="00C11DEF" w:rsidP="00C11DEF">
      <w:pPr>
        <w:spacing w:after="0"/>
        <w:jc w:val="both"/>
        <w:rPr>
          <w:sz w:val="16"/>
          <w:szCs w:val="16"/>
        </w:rPr>
      </w:pPr>
    </w:p>
    <w:p w14:paraId="4ABA72D4" w14:textId="77777777" w:rsidR="00C11DEF" w:rsidRPr="00FA7F06" w:rsidRDefault="00C11DEF" w:rsidP="00C11DEF">
      <w:pPr>
        <w:spacing w:after="0"/>
        <w:jc w:val="both"/>
        <w:rPr>
          <w:sz w:val="16"/>
          <w:szCs w:val="16"/>
        </w:rPr>
      </w:pPr>
    </w:p>
    <w:p w14:paraId="6DD4045B" w14:textId="77777777" w:rsidR="00C11DEF" w:rsidRPr="00FA7F06" w:rsidRDefault="00C11DEF" w:rsidP="00C11DEF">
      <w:pPr>
        <w:spacing w:after="0"/>
        <w:jc w:val="both"/>
        <w:rPr>
          <w:sz w:val="16"/>
          <w:szCs w:val="16"/>
        </w:rPr>
      </w:pPr>
    </w:p>
    <w:p w14:paraId="79B812FD" w14:textId="77777777" w:rsidR="00C11DEF" w:rsidRPr="00FA7F06" w:rsidRDefault="00C11DEF" w:rsidP="00C11DEF">
      <w:pPr>
        <w:spacing w:after="0"/>
        <w:jc w:val="both"/>
        <w:rPr>
          <w:sz w:val="16"/>
          <w:szCs w:val="16"/>
        </w:rPr>
      </w:pPr>
      <w:r w:rsidRPr="00FA7F06">
        <w:rPr>
          <w:sz w:val="16"/>
          <w:szCs w:val="16"/>
        </w:rPr>
        <w:t>Wymagania dotyczące wymiarów kostki nieregularnej przedstawia tablica 4.</w:t>
      </w:r>
    </w:p>
    <w:p w14:paraId="25BD5E89" w14:textId="77777777" w:rsidR="00C11DEF" w:rsidRPr="00FA7F06" w:rsidRDefault="00C11DEF" w:rsidP="00C11DEF">
      <w:pPr>
        <w:spacing w:after="0"/>
        <w:jc w:val="both"/>
        <w:rPr>
          <w:sz w:val="16"/>
          <w:szCs w:val="16"/>
        </w:rPr>
      </w:pPr>
      <w:r w:rsidRPr="00FA7F06">
        <w:rPr>
          <w:sz w:val="16"/>
          <w:szCs w:val="16"/>
        </w:rPr>
        <w:t>Uszkodzenie krawędzi powierzchni górnej (czoła) oraz ich szerokość i głębokość nie powinny być większe niż podane dla gatunku 2 i 3 kostki regularnej.</w:t>
      </w:r>
    </w:p>
    <w:p w14:paraId="6CE07386" w14:textId="77777777" w:rsidR="00C11DEF" w:rsidRPr="00FA7F06" w:rsidRDefault="00C11DEF" w:rsidP="00C11DEF">
      <w:pPr>
        <w:spacing w:after="0"/>
        <w:jc w:val="both"/>
        <w:rPr>
          <w:sz w:val="16"/>
          <w:szCs w:val="16"/>
        </w:rPr>
      </w:pPr>
      <w:r w:rsidRPr="00FA7F06">
        <w:rPr>
          <w:sz w:val="16"/>
          <w:szCs w:val="16"/>
        </w:rPr>
        <w:t>Dopuszcza się uszkodzenie jednego naroża powierzchni górnej kostki o głębokości nie większej niż 0,6 cm.</w:t>
      </w:r>
    </w:p>
    <w:p w14:paraId="79BCE000" w14:textId="77777777" w:rsidR="00C11DEF" w:rsidRPr="00FA7F06" w:rsidRDefault="00C11DEF" w:rsidP="00C11DEF">
      <w:pPr>
        <w:spacing w:after="0"/>
        <w:jc w:val="both"/>
        <w:rPr>
          <w:sz w:val="16"/>
          <w:szCs w:val="16"/>
        </w:rPr>
      </w:pPr>
    </w:p>
    <w:p w14:paraId="5DEA57CF" w14:textId="77777777" w:rsidR="00C11DEF" w:rsidRPr="00FA7F06" w:rsidRDefault="00C11DEF" w:rsidP="00C11DEF">
      <w:pPr>
        <w:spacing w:after="0"/>
        <w:jc w:val="both"/>
        <w:rPr>
          <w:sz w:val="16"/>
          <w:szCs w:val="16"/>
        </w:rPr>
      </w:pPr>
      <w:r w:rsidRPr="00FA7F06">
        <w:rPr>
          <w:sz w:val="16"/>
          <w:szCs w:val="16"/>
        </w:rPr>
        <w:t>Tablica 4. Wymiary kostki nieregularnej oraz dopuszczalne odchyłki</w:t>
      </w:r>
    </w:p>
    <w:tbl>
      <w:tblPr>
        <w:tblW w:w="7433" w:type="dxa"/>
        <w:tblCellSpacing w:w="7"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2869"/>
        <w:gridCol w:w="437"/>
        <w:gridCol w:w="437"/>
        <w:gridCol w:w="437"/>
        <w:gridCol w:w="893"/>
        <w:gridCol w:w="577"/>
        <w:gridCol w:w="718"/>
        <w:gridCol w:w="1065"/>
      </w:tblGrid>
      <w:tr w:rsidR="00FA7F06" w:rsidRPr="00FA7F06" w14:paraId="5EAABB3C" w14:textId="77777777" w:rsidTr="00CF35EE">
        <w:trPr>
          <w:tblCellSpacing w:w="7" w:type="dxa"/>
        </w:trPr>
        <w:tc>
          <w:tcPr>
            <w:tcW w:w="2848" w:type="dxa"/>
            <w:tcBorders>
              <w:top w:val="outset" w:sz="6" w:space="0" w:color="000000"/>
              <w:left w:val="outset" w:sz="6" w:space="0" w:color="000000"/>
              <w:bottom w:val="outset" w:sz="6" w:space="0" w:color="000000"/>
              <w:right w:val="outset" w:sz="6" w:space="0" w:color="000000"/>
            </w:tcBorders>
            <w:hideMark/>
          </w:tcPr>
          <w:p w14:paraId="02378B20" w14:textId="77777777" w:rsidR="00C11DEF" w:rsidRPr="00FA7F06" w:rsidRDefault="00C11DEF" w:rsidP="00CF35EE">
            <w:pPr>
              <w:spacing w:after="0"/>
              <w:jc w:val="both"/>
              <w:rPr>
                <w:sz w:val="16"/>
                <w:szCs w:val="16"/>
              </w:rPr>
            </w:pPr>
          </w:p>
          <w:p w14:paraId="27E105D2" w14:textId="77777777" w:rsidR="00C11DEF" w:rsidRPr="00FA7F06" w:rsidRDefault="00C11DEF" w:rsidP="00CF35EE">
            <w:pPr>
              <w:spacing w:after="0"/>
              <w:jc w:val="both"/>
              <w:rPr>
                <w:sz w:val="16"/>
                <w:szCs w:val="16"/>
              </w:rPr>
            </w:pPr>
            <w:r w:rsidRPr="00FA7F06">
              <w:rPr>
                <w:sz w:val="16"/>
                <w:szCs w:val="16"/>
              </w:rPr>
              <w:t>Wyszczególnienie</w:t>
            </w:r>
          </w:p>
        </w:tc>
        <w:tc>
          <w:tcPr>
            <w:tcW w:w="2190" w:type="dxa"/>
            <w:gridSpan w:val="4"/>
            <w:tcBorders>
              <w:top w:val="outset" w:sz="6" w:space="0" w:color="000000"/>
              <w:left w:val="outset" w:sz="6" w:space="0" w:color="000000"/>
              <w:bottom w:val="outset" w:sz="6" w:space="0" w:color="000000"/>
              <w:right w:val="outset" w:sz="6" w:space="0" w:color="000000"/>
            </w:tcBorders>
            <w:hideMark/>
          </w:tcPr>
          <w:p w14:paraId="7EA90FCC" w14:textId="77777777" w:rsidR="00C11DEF" w:rsidRPr="00FA7F06" w:rsidRDefault="00C11DEF" w:rsidP="00CF35EE">
            <w:pPr>
              <w:spacing w:after="0"/>
              <w:jc w:val="both"/>
              <w:rPr>
                <w:sz w:val="16"/>
                <w:szCs w:val="16"/>
              </w:rPr>
            </w:pPr>
            <w:r w:rsidRPr="00FA7F06">
              <w:rPr>
                <w:sz w:val="16"/>
                <w:szCs w:val="16"/>
              </w:rPr>
              <w:t>Wielkość</w:t>
            </w:r>
          </w:p>
          <w:p w14:paraId="36CFF308" w14:textId="77777777" w:rsidR="00C11DEF" w:rsidRPr="00FA7F06" w:rsidRDefault="00C11DEF" w:rsidP="00CF35EE">
            <w:pPr>
              <w:spacing w:after="0"/>
              <w:jc w:val="both"/>
              <w:rPr>
                <w:sz w:val="16"/>
                <w:szCs w:val="16"/>
              </w:rPr>
            </w:pPr>
            <w:r w:rsidRPr="00FA7F06">
              <w:rPr>
                <w:sz w:val="16"/>
                <w:szCs w:val="16"/>
              </w:rPr>
              <w:t>(cm)</w:t>
            </w:r>
          </w:p>
        </w:tc>
        <w:tc>
          <w:tcPr>
            <w:tcW w:w="2339" w:type="dxa"/>
            <w:gridSpan w:val="3"/>
            <w:tcBorders>
              <w:top w:val="outset" w:sz="6" w:space="0" w:color="000000"/>
              <w:left w:val="outset" w:sz="6" w:space="0" w:color="000000"/>
              <w:bottom w:val="outset" w:sz="6" w:space="0" w:color="000000"/>
              <w:right w:val="outset" w:sz="6" w:space="0" w:color="000000"/>
            </w:tcBorders>
            <w:hideMark/>
          </w:tcPr>
          <w:p w14:paraId="62AB3F5D" w14:textId="77777777" w:rsidR="00C11DEF" w:rsidRPr="00FA7F06" w:rsidRDefault="00C11DEF" w:rsidP="00CF35EE">
            <w:pPr>
              <w:spacing w:after="0"/>
              <w:jc w:val="both"/>
              <w:rPr>
                <w:sz w:val="16"/>
                <w:szCs w:val="16"/>
              </w:rPr>
            </w:pPr>
            <w:r w:rsidRPr="00FA7F06">
              <w:rPr>
                <w:sz w:val="16"/>
                <w:szCs w:val="16"/>
              </w:rPr>
              <w:t xml:space="preserve">Dopuszczalne odchyłki dla gatunku </w:t>
            </w:r>
          </w:p>
        </w:tc>
      </w:tr>
      <w:tr w:rsidR="00FA7F06" w:rsidRPr="00FA7F06" w14:paraId="11405F82" w14:textId="77777777" w:rsidTr="00CF35EE">
        <w:trPr>
          <w:tblCellSpacing w:w="7" w:type="dxa"/>
        </w:trPr>
        <w:tc>
          <w:tcPr>
            <w:tcW w:w="2848" w:type="dxa"/>
            <w:tcBorders>
              <w:top w:val="outset" w:sz="6" w:space="0" w:color="000000"/>
              <w:left w:val="outset" w:sz="6" w:space="0" w:color="000000"/>
              <w:bottom w:val="outset" w:sz="6" w:space="0" w:color="000000"/>
              <w:right w:val="outset" w:sz="6" w:space="0" w:color="000000"/>
            </w:tcBorders>
            <w:hideMark/>
          </w:tcPr>
          <w:p w14:paraId="56DDCE94" w14:textId="77777777" w:rsidR="00C11DEF" w:rsidRPr="00FA7F06" w:rsidRDefault="00C11DEF" w:rsidP="00CF35EE">
            <w:pPr>
              <w:spacing w:after="0"/>
              <w:jc w:val="both"/>
              <w:rPr>
                <w:sz w:val="16"/>
                <w:szCs w:val="16"/>
              </w:rPr>
            </w:pPr>
          </w:p>
        </w:tc>
        <w:tc>
          <w:tcPr>
            <w:tcW w:w="423" w:type="dxa"/>
            <w:tcBorders>
              <w:top w:val="outset" w:sz="6" w:space="0" w:color="000000"/>
              <w:left w:val="outset" w:sz="6" w:space="0" w:color="000000"/>
              <w:bottom w:val="outset" w:sz="6" w:space="0" w:color="000000"/>
              <w:right w:val="outset" w:sz="6" w:space="0" w:color="000000"/>
            </w:tcBorders>
            <w:hideMark/>
          </w:tcPr>
          <w:p w14:paraId="164ADF2E" w14:textId="77777777" w:rsidR="00C11DEF" w:rsidRPr="00FA7F06" w:rsidRDefault="00C11DEF" w:rsidP="00CF35EE">
            <w:pPr>
              <w:spacing w:after="0"/>
              <w:jc w:val="both"/>
              <w:rPr>
                <w:sz w:val="16"/>
                <w:szCs w:val="16"/>
              </w:rPr>
            </w:pPr>
            <w:r w:rsidRPr="00FA7F06">
              <w:rPr>
                <w:sz w:val="16"/>
                <w:szCs w:val="16"/>
              </w:rPr>
              <w:t>5</w:t>
            </w:r>
          </w:p>
        </w:tc>
        <w:tc>
          <w:tcPr>
            <w:tcW w:w="423" w:type="dxa"/>
            <w:tcBorders>
              <w:top w:val="outset" w:sz="6" w:space="0" w:color="000000"/>
              <w:left w:val="outset" w:sz="6" w:space="0" w:color="000000"/>
              <w:bottom w:val="outset" w:sz="6" w:space="0" w:color="000000"/>
              <w:right w:val="outset" w:sz="6" w:space="0" w:color="000000"/>
            </w:tcBorders>
            <w:hideMark/>
          </w:tcPr>
          <w:p w14:paraId="5160B244" w14:textId="77777777" w:rsidR="00C11DEF" w:rsidRPr="00FA7F06" w:rsidRDefault="00C11DEF" w:rsidP="00CF35EE">
            <w:pPr>
              <w:spacing w:after="0"/>
              <w:jc w:val="both"/>
              <w:rPr>
                <w:sz w:val="16"/>
                <w:szCs w:val="16"/>
              </w:rPr>
            </w:pPr>
            <w:r w:rsidRPr="00FA7F06">
              <w:rPr>
                <w:sz w:val="16"/>
                <w:szCs w:val="16"/>
              </w:rPr>
              <w:t>6</w:t>
            </w:r>
          </w:p>
        </w:tc>
        <w:tc>
          <w:tcPr>
            <w:tcW w:w="423" w:type="dxa"/>
            <w:tcBorders>
              <w:top w:val="outset" w:sz="6" w:space="0" w:color="000000"/>
              <w:left w:val="outset" w:sz="6" w:space="0" w:color="000000"/>
              <w:bottom w:val="outset" w:sz="6" w:space="0" w:color="000000"/>
              <w:right w:val="outset" w:sz="6" w:space="0" w:color="000000"/>
            </w:tcBorders>
            <w:hideMark/>
          </w:tcPr>
          <w:p w14:paraId="05A3AA48" w14:textId="77777777" w:rsidR="00C11DEF" w:rsidRPr="00FA7F06" w:rsidRDefault="00C11DEF" w:rsidP="00CF35EE">
            <w:pPr>
              <w:spacing w:after="0"/>
              <w:jc w:val="both"/>
              <w:rPr>
                <w:sz w:val="16"/>
                <w:szCs w:val="16"/>
              </w:rPr>
            </w:pPr>
            <w:r w:rsidRPr="00FA7F06">
              <w:rPr>
                <w:sz w:val="16"/>
                <w:szCs w:val="16"/>
              </w:rPr>
              <w:t>8</w:t>
            </w:r>
          </w:p>
        </w:tc>
        <w:tc>
          <w:tcPr>
            <w:tcW w:w="879" w:type="dxa"/>
            <w:tcBorders>
              <w:top w:val="outset" w:sz="6" w:space="0" w:color="000000"/>
              <w:left w:val="outset" w:sz="6" w:space="0" w:color="000000"/>
              <w:bottom w:val="outset" w:sz="6" w:space="0" w:color="000000"/>
              <w:right w:val="outset" w:sz="6" w:space="0" w:color="000000"/>
            </w:tcBorders>
            <w:hideMark/>
          </w:tcPr>
          <w:p w14:paraId="72C83BE2" w14:textId="77777777" w:rsidR="00C11DEF" w:rsidRPr="00FA7F06" w:rsidRDefault="00C11DEF" w:rsidP="00CF35EE">
            <w:pPr>
              <w:spacing w:after="0"/>
              <w:jc w:val="both"/>
              <w:rPr>
                <w:sz w:val="16"/>
                <w:szCs w:val="16"/>
              </w:rPr>
            </w:pPr>
            <w:r w:rsidRPr="00FA7F06">
              <w:rPr>
                <w:sz w:val="16"/>
                <w:szCs w:val="16"/>
              </w:rPr>
              <w:t>10</w:t>
            </w:r>
          </w:p>
        </w:tc>
        <w:tc>
          <w:tcPr>
            <w:tcW w:w="563" w:type="dxa"/>
            <w:tcBorders>
              <w:top w:val="outset" w:sz="6" w:space="0" w:color="000000"/>
              <w:left w:val="outset" w:sz="6" w:space="0" w:color="000000"/>
              <w:bottom w:val="outset" w:sz="6" w:space="0" w:color="000000"/>
              <w:right w:val="outset" w:sz="6" w:space="0" w:color="000000"/>
            </w:tcBorders>
            <w:hideMark/>
          </w:tcPr>
          <w:p w14:paraId="06AE41FE" w14:textId="77777777" w:rsidR="00C11DEF" w:rsidRPr="00FA7F06" w:rsidRDefault="00C11DEF" w:rsidP="00CF35EE">
            <w:pPr>
              <w:spacing w:after="0"/>
              <w:jc w:val="both"/>
              <w:rPr>
                <w:sz w:val="16"/>
                <w:szCs w:val="16"/>
              </w:rPr>
            </w:pPr>
            <w:r w:rsidRPr="00FA7F06">
              <w:rPr>
                <w:sz w:val="16"/>
                <w:szCs w:val="16"/>
              </w:rPr>
              <w:t>1</w:t>
            </w:r>
          </w:p>
        </w:tc>
        <w:tc>
          <w:tcPr>
            <w:tcW w:w="704" w:type="dxa"/>
            <w:tcBorders>
              <w:top w:val="outset" w:sz="6" w:space="0" w:color="000000"/>
              <w:left w:val="outset" w:sz="6" w:space="0" w:color="000000"/>
              <w:bottom w:val="outset" w:sz="6" w:space="0" w:color="000000"/>
              <w:right w:val="outset" w:sz="6" w:space="0" w:color="000000"/>
            </w:tcBorders>
            <w:hideMark/>
          </w:tcPr>
          <w:p w14:paraId="66266E89" w14:textId="77777777" w:rsidR="00C11DEF" w:rsidRPr="00FA7F06" w:rsidRDefault="00C11DEF" w:rsidP="00CF35EE">
            <w:pPr>
              <w:spacing w:after="0"/>
              <w:jc w:val="both"/>
              <w:rPr>
                <w:sz w:val="16"/>
                <w:szCs w:val="16"/>
              </w:rPr>
            </w:pPr>
            <w:r w:rsidRPr="00FA7F06">
              <w:rPr>
                <w:sz w:val="16"/>
                <w:szCs w:val="16"/>
              </w:rPr>
              <w:t>2</w:t>
            </w:r>
          </w:p>
        </w:tc>
        <w:tc>
          <w:tcPr>
            <w:tcW w:w="1044" w:type="dxa"/>
            <w:tcBorders>
              <w:top w:val="outset" w:sz="6" w:space="0" w:color="000000"/>
              <w:left w:val="outset" w:sz="6" w:space="0" w:color="000000"/>
              <w:bottom w:val="outset" w:sz="6" w:space="0" w:color="000000"/>
              <w:right w:val="outset" w:sz="6" w:space="0" w:color="000000"/>
            </w:tcBorders>
            <w:hideMark/>
          </w:tcPr>
          <w:p w14:paraId="6B6B5FA0" w14:textId="77777777" w:rsidR="00C11DEF" w:rsidRPr="00FA7F06" w:rsidRDefault="00C11DEF" w:rsidP="00CF35EE">
            <w:pPr>
              <w:spacing w:after="0"/>
              <w:jc w:val="both"/>
              <w:rPr>
                <w:sz w:val="16"/>
                <w:szCs w:val="16"/>
              </w:rPr>
            </w:pPr>
            <w:r w:rsidRPr="00FA7F06">
              <w:rPr>
                <w:sz w:val="16"/>
                <w:szCs w:val="16"/>
              </w:rPr>
              <w:t>3</w:t>
            </w:r>
          </w:p>
        </w:tc>
      </w:tr>
      <w:tr w:rsidR="00FA7F06" w:rsidRPr="00FA7F06" w14:paraId="53466746" w14:textId="77777777" w:rsidTr="00CF35EE">
        <w:trPr>
          <w:tblCellSpacing w:w="7" w:type="dxa"/>
        </w:trPr>
        <w:tc>
          <w:tcPr>
            <w:tcW w:w="2848" w:type="dxa"/>
            <w:tcBorders>
              <w:top w:val="outset" w:sz="6" w:space="0" w:color="000000"/>
              <w:left w:val="outset" w:sz="6" w:space="0" w:color="000000"/>
              <w:bottom w:val="outset" w:sz="6" w:space="0" w:color="000000"/>
              <w:right w:val="outset" w:sz="6" w:space="0" w:color="000000"/>
            </w:tcBorders>
            <w:hideMark/>
          </w:tcPr>
          <w:p w14:paraId="6D9CC4BB" w14:textId="77777777" w:rsidR="00C11DEF" w:rsidRPr="00FA7F06" w:rsidRDefault="00C11DEF" w:rsidP="00CF35EE">
            <w:pPr>
              <w:spacing w:after="0"/>
              <w:jc w:val="both"/>
              <w:rPr>
                <w:sz w:val="16"/>
                <w:szCs w:val="16"/>
              </w:rPr>
            </w:pPr>
            <w:r w:rsidRPr="00FA7F06">
              <w:rPr>
                <w:sz w:val="16"/>
                <w:szCs w:val="16"/>
              </w:rPr>
              <w:t>Wymiar a</w:t>
            </w:r>
          </w:p>
        </w:tc>
        <w:tc>
          <w:tcPr>
            <w:tcW w:w="423" w:type="dxa"/>
            <w:tcBorders>
              <w:top w:val="outset" w:sz="6" w:space="0" w:color="000000"/>
              <w:left w:val="outset" w:sz="6" w:space="0" w:color="000000"/>
              <w:bottom w:val="outset" w:sz="6" w:space="0" w:color="000000"/>
              <w:right w:val="outset" w:sz="6" w:space="0" w:color="000000"/>
            </w:tcBorders>
            <w:hideMark/>
          </w:tcPr>
          <w:p w14:paraId="32343737" w14:textId="77777777" w:rsidR="00C11DEF" w:rsidRPr="00FA7F06" w:rsidRDefault="00C11DEF" w:rsidP="00CF35EE">
            <w:pPr>
              <w:spacing w:after="0"/>
              <w:jc w:val="both"/>
              <w:rPr>
                <w:sz w:val="16"/>
                <w:szCs w:val="16"/>
              </w:rPr>
            </w:pPr>
            <w:r w:rsidRPr="00FA7F06">
              <w:rPr>
                <w:sz w:val="16"/>
                <w:szCs w:val="16"/>
              </w:rPr>
              <w:t>5</w:t>
            </w:r>
          </w:p>
        </w:tc>
        <w:tc>
          <w:tcPr>
            <w:tcW w:w="423" w:type="dxa"/>
            <w:tcBorders>
              <w:top w:val="outset" w:sz="6" w:space="0" w:color="000000"/>
              <w:left w:val="outset" w:sz="6" w:space="0" w:color="000000"/>
              <w:bottom w:val="outset" w:sz="6" w:space="0" w:color="000000"/>
              <w:right w:val="outset" w:sz="6" w:space="0" w:color="000000"/>
            </w:tcBorders>
            <w:hideMark/>
          </w:tcPr>
          <w:p w14:paraId="1837076F" w14:textId="77777777" w:rsidR="00C11DEF" w:rsidRPr="00FA7F06" w:rsidRDefault="00C11DEF" w:rsidP="00CF35EE">
            <w:pPr>
              <w:spacing w:after="0"/>
              <w:jc w:val="both"/>
              <w:rPr>
                <w:sz w:val="16"/>
                <w:szCs w:val="16"/>
              </w:rPr>
            </w:pPr>
            <w:r w:rsidRPr="00FA7F06">
              <w:rPr>
                <w:sz w:val="16"/>
                <w:szCs w:val="16"/>
              </w:rPr>
              <w:t>6</w:t>
            </w:r>
          </w:p>
        </w:tc>
        <w:tc>
          <w:tcPr>
            <w:tcW w:w="423" w:type="dxa"/>
            <w:tcBorders>
              <w:top w:val="outset" w:sz="6" w:space="0" w:color="000000"/>
              <w:left w:val="outset" w:sz="6" w:space="0" w:color="000000"/>
              <w:bottom w:val="outset" w:sz="6" w:space="0" w:color="000000"/>
              <w:right w:val="outset" w:sz="6" w:space="0" w:color="000000"/>
            </w:tcBorders>
            <w:hideMark/>
          </w:tcPr>
          <w:p w14:paraId="1224E79F" w14:textId="77777777" w:rsidR="00C11DEF" w:rsidRPr="00FA7F06" w:rsidRDefault="00C11DEF" w:rsidP="00CF35EE">
            <w:pPr>
              <w:spacing w:after="0"/>
              <w:jc w:val="both"/>
              <w:rPr>
                <w:sz w:val="16"/>
                <w:szCs w:val="16"/>
              </w:rPr>
            </w:pPr>
            <w:r w:rsidRPr="00FA7F06">
              <w:rPr>
                <w:sz w:val="16"/>
                <w:szCs w:val="16"/>
              </w:rPr>
              <w:t>8</w:t>
            </w:r>
          </w:p>
        </w:tc>
        <w:tc>
          <w:tcPr>
            <w:tcW w:w="879" w:type="dxa"/>
            <w:tcBorders>
              <w:top w:val="outset" w:sz="6" w:space="0" w:color="000000"/>
              <w:left w:val="outset" w:sz="6" w:space="0" w:color="000000"/>
              <w:bottom w:val="outset" w:sz="6" w:space="0" w:color="000000"/>
              <w:right w:val="outset" w:sz="6" w:space="0" w:color="000000"/>
            </w:tcBorders>
            <w:hideMark/>
          </w:tcPr>
          <w:p w14:paraId="2CD67E61" w14:textId="77777777" w:rsidR="00C11DEF" w:rsidRPr="00FA7F06" w:rsidRDefault="00C11DEF" w:rsidP="00CF35EE">
            <w:pPr>
              <w:spacing w:after="0"/>
              <w:jc w:val="both"/>
              <w:rPr>
                <w:sz w:val="16"/>
                <w:szCs w:val="16"/>
              </w:rPr>
            </w:pPr>
            <w:r w:rsidRPr="00FA7F06">
              <w:rPr>
                <w:sz w:val="16"/>
                <w:szCs w:val="16"/>
              </w:rPr>
              <w:t>10</w:t>
            </w:r>
          </w:p>
        </w:tc>
        <w:tc>
          <w:tcPr>
            <w:tcW w:w="563" w:type="dxa"/>
            <w:tcBorders>
              <w:top w:val="outset" w:sz="6" w:space="0" w:color="000000"/>
              <w:left w:val="outset" w:sz="6" w:space="0" w:color="000000"/>
              <w:bottom w:val="outset" w:sz="6" w:space="0" w:color="000000"/>
              <w:right w:val="outset" w:sz="6" w:space="0" w:color="000000"/>
            </w:tcBorders>
            <w:hideMark/>
          </w:tcPr>
          <w:p w14:paraId="3BBB0AE2" w14:textId="77777777" w:rsidR="00C11DEF" w:rsidRPr="00FA7F06" w:rsidRDefault="00C11DEF" w:rsidP="00CF35EE">
            <w:pPr>
              <w:spacing w:after="0"/>
              <w:jc w:val="both"/>
              <w:rPr>
                <w:sz w:val="16"/>
                <w:szCs w:val="16"/>
              </w:rPr>
            </w:pPr>
            <w:r w:rsidRPr="00FA7F06">
              <w:rPr>
                <w:sz w:val="16"/>
                <w:szCs w:val="16"/>
              </w:rPr>
              <w:t>± 1,0</w:t>
            </w:r>
          </w:p>
        </w:tc>
        <w:tc>
          <w:tcPr>
            <w:tcW w:w="704" w:type="dxa"/>
            <w:tcBorders>
              <w:top w:val="outset" w:sz="6" w:space="0" w:color="000000"/>
              <w:left w:val="outset" w:sz="6" w:space="0" w:color="000000"/>
              <w:bottom w:val="outset" w:sz="6" w:space="0" w:color="000000"/>
              <w:right w:val="outset" w:sz="6" w:space="0" w:color="000000"/>
            </w:tcBorders>
            <w:hideMark/>
          </w:tcPr>
          <w:p w14:paraId="119D4A0F" w14:textId="77777777" w:rsidR="00C11DEF" w:rsidRPr="00FA7F06" w:rsidRDefault="00C11DEF" w:rsidP="00CF35EE">
            <w:pPr>
              <w:spacing w:after="0"/>
              <w:jc w:val="both"/>
              <w:rPr>
                <w:sz w:val="16"/>
                <w:szCs w:val="16"/>
              </w:rPr>
            </w:pPr>
            <w:r w:rsidRPr="00FA7F06">
              <w:rPr>
                <w:sz w:val="16"/>
                <w:szCs w:val="16"/>
              </w:rPr>
              <w:t>± 1,0</w:t>
            </w:r>
          </w:p>
        </w:tc>
        <w:tc>
          <w:tcPr>
            <w:tcW w:w="1044" w:type="dxa"/>
            <w:tcBorders>
              <w:top w:val="outset" w:sz="6" w:space="0" w:color="000000"/>
              <w:left w:val="outset" w:sz="6" w:space="0" w:color="000000"/>
              <w:bottom w:val="outset" w:sz="6" w:space="0" w:color="000000"/>
              <w:right w:val="outset" w:sz="6" w:space="0" w:color="000000"/>
            </w:tcBorders>
            <w:hideMark/>
          </w:tcPr>
          <w:p w14:paraId="5A2EDFA3" w14:textId="77777777" w:rsidR="00C11DEF" w:rsidRPr="00FA7F06" w:rsidRDefault="00C11DEF" w:rsidP="00CF35EE">
            <w:pPr>
              <w:spacing w:after="0"/>
              <w:jc w:val="both"/>
              <w:rPr>
                <w:sz w:val="16"/>
                <w:szCs w:val="16"/>
              </w:rPr>
            </w:pPr>
            <w:r w:rsidRPr="00FA7F06">
              <w:rPr>
                <w:sz w:val="16"/>
                <w:szCs w:val="16"/>
              </w:rPr>
              <w:t>± 1,0</w:t>
            </w:r>
          </w:p>
        </w:tc>
      </w:tr>
      <w:tr w:rsidR="00FA7F06" w:rsidRPr="00FA7F06" w14:paraId="67BDCEA8" w14:textId="77777777" w:rsidTr="00CF35EE">
        <w:trPr>
          <w:tblCellSpacing w:w="7" w:type="dxa"/>
        </w:trPr>
        <w:tc>
          <w:tcPr>
            <w:tcW w:w="2848" w:type="dxa"/>
            <w:tcBorders>
              <w:top w:val="outset" w:sz="6" w:space="0" w:color="000000"/>
              <w:left w:val="outset" w:sz="6" w:space="0" w:color="000000"/>
              <w:bottom w:val="outset" w:sz="6" w:space="0" w:color="000000"/>
              <w:right w:val="outset" w:sz="6" w:space="0" w:color="000000"/>
            </w:tcBorders>
            <w:hideMark/>
          </w:tcPr>
          <w:p w14:paraId="4EF4DA52" w14:textId="77777777" w:rsidR="00C11DEF" w:rsidRPr="00FA7F06" w:rsidRDefault="00C11DEF" w:rsidP="00CF35EE">
            <w:pPr>
              <w:spacing w:after="0"/>
              <w:jc w:val="both"/>
              <w:rPr>
                <w:sz w:val="16"/>
                <w:szCs w:val="16"/>
              </w:rPr>
            </w:pPr>
            <w:r w:rsidRPr="00FA7F06">
              <w:rPr>
                <w:sz w:val="16"/>
                <w:szCs w:val="16"/>
              </w:rPr>
              <w:t>Stosunek pola powierzchni dolnej (stopki) do górnej (czoła), w cm, nie mniejszy niż</w:t>
            </w:r>
          </w:p>
        </w:tc>
        <w:tc>
          <w:tcPr>
            <w:tcW w:w="423" w:type="dxa"/>
            <w:tcBorders>
              <w:top w:val="outset" w:sz="6" w:space="0" w:color="000000"/>
              <w:left w:val="outset" w:sz="6" w:space="0" w:color="000000"/>
              <w:bottom w:val="outset" w:sz="6" w:space="0" w:color="000000"/>
              <w:right w:val="outset" w:sz="6" w:space="0" w:color="000000"/>
            </w:tcBorders>
            <w:hideMark/>
          </w:tcPr>
          <w:p w14:paraId="2268593A" w14:textId="77777777" w:rsidR="00C11DEF" w:rsidRPr="00FA7F06" w:rsidRDefault="00C11DEF" w:rsidP="00CF35EE">
            <w:pPr>
              <w:spacing w:after="0"/>
              <w:jc w:val="both"/>
              <w:rPr>
                <w:sz w:val="16"/>
                <w:szCs w:val="16"/>
              </w:rPr>
            </w:pPr>
          </w:p>
          <w:p w14:paraId="1833CCF5" w14:textId="77777777" w:rsidR="00C11DEF" w:rsidRPr="00FA7F06" w:rsidRDefault="00C11DEF" w:rsidP="00CF35EE">
            <w:pPr>
              <w:spacing w:after="0"/>
              <w:jc w:val="both"/>
              <w:rPr>
                <w:sz w:val="16"/>
                <w:szCs w:val="16"/>
              </w:rPr>
            </w:pPr>
            <w:r w:rsidRPr="00FA7F06">
              <w:rPr>
                <w:sz w:val="16"/>
                <w:szCs w:val="16"/>
              </w:rPr>
              <w:t>-</w:t>
            </w:r>
          </w:p>
        </w:tc>
        <w:tc>
          <w:tcPr>
            <w:tcW w:w="423" w:type="dxa"/>
            <w:tcBorders>
              <w:top w:val="outset" w:sz="6" w:space="0" w:color="000000"/>
              <w:left w:val="outset" w:sz="6" w:space="0" w:color="000000"/>
              <w:bottom w:val="outset" w:sz="6" w:space="0" w:color="000000"/>
              <w:right w:val="outset" w:sz="6" w:space="0" w:color="000000"/>
            </w:tcBorders>
            <w:hideMark/>
          </w:tcPr>
          <w:p w14:paraId="164A800A" w14:textId="77777777" w:rsidR="00C11DEF" w:rsidRPr="00FA7F06" w:rsidRDefault="00C11DEF" w:rsidP="00CF35EE">
            <w:pPr>
              <w:spacing w:after="0"/>
              <w:jc w:val="both"/>
              <w:rPr>
                <w:sz w:val="16"/>
                <w:szCs w:val="16"/>
              </w:rPr>
            </w:pPr>
          </w:p>
          <w:p w14:paraId="431EB97A" w14:textId="77777777" w:rsidR="00C11DEF" w:rsidRPr="00FA7F06" w:rsidRDefault="00C11DEF" w:rsidP="00CF35EE">
            <w:pPr>
              <w:spacing w:after="0"/>
              <w:jc w:val="both"/>
              <w:rPr>
                <w:sz w:val="16"/>
                <w:szCs w:val="16"/>
              </w:rPr>
            </w:pPr>
            <w:r w:rsidRPr="00FA7F06">
              <w:rPr>
                <w:sz w:val="16"/>
                <w:szCs w:val="16"/>
              </w:rPr>
              <w:t>-</w:t>
            </w:r>
          </w:p>
        </w:tc>
        <w:tc>
          <w:tcPr>
            <w:tcW w:w="423" w:type="dxa"/>
            <w:tcBorders>
              <w:top w:val="outset" w:sz="6" w:space="0" w:color="000000"/>
              <w:left w:val="outset" w:sz="6" w:space="0" w:color="000000"/>
              <w:bottom w:val="outset" w:sz="6" w:space="0" w:color="000000"/>
              <w:right w:val="outset" w:sz="6" w:space="0" w:color="000000"/>
            </w:tcBorders>
            <w:hideMark/>
          </w:tcPr>
          <w:p w14:paraId="0CBE5FDB" w14:textId="77777777" w:rsidR="00C11DEF" w:rsidRPr="00FA7F06" w:rsidRDefault="00C11DEF" w:rsidP="00CF35EE">
            <w:pPr>
              <w:spacing w:after="0"/>
              <w:jc w:val="both"/>
              <w:rPr>
                <w:sz w:val="16"/>
                <w:szCs w:val="16"/>
              </w:rPr>
            </w:pPr>
          </w:p>
          <w:p w14:paraId="7E700290" w14:textId="77777777" w:rsidR="00C11DEF" w:rsidRPr="00FA7F06" w:rsidRDefault="00C11DEF" w:rsidP="00CF35EE">
            <w:pPr>
              <w:spacing w:after="0"/>
              <w:jc w:val="both"/>
              <w:rPr>
                <w:sz w:val="16"/>
                <w:szCs w:val="16"/>
              </w:rPr>
            </w:pPr>
            <w:r w:rsidRPr="00FA7F06">
              <w:rPr>
                <w:sz w:val="16"/>
                <w:szCs w:val="16"/>
              </w:rPr>
              <w:t>-</w:t>
            </w:r>
          </w:p>
        </w:tc>
        <w:tc>
          <w:tcPr>
            <w:tcW w:w="879" w:type="dxa"/>
            <w:tcBorders>
              <w:top w:val="outset" w:sz="6" w:space="0" w:color="000000"/>
              <w:left w:val="outset" w:sz="6" w:space="0" w:color="000000"/>
              <w:bottom w:val="outset" w:sz="6" w:space="0" w:color="000000"/>
              <w:right w:val="outset" w:sz="6" w:space="0" w:color="000000"/>
            </w:tcBorders>
            <w:hideMark/>
          </w:tcPr>
          <w:p w14:paraId="2A1F3C62" w14:textId="77777777" w:rsidR="00C11DEF" w:rsidRPr="00FA7F06" w:rsidRDefault="00C11DEF" w:rsidP="00CF35EE">
            <w:pPr>
              <w:spacing w:after="0"/>
              <w:jc w:val="both"/>
              <w:rPr>
                <w:sz w:val="16"/>
                <w:szCs w:val="16"/>
              </w:rPr>
            </w:pPr>
          </w:p>
          <w:p w14:paraId="0B5C4F00" w14:textId="77777777" w:rsidR="00C11DEF" w:rsidRPr="00FA7F06" w:rsidRDefault="00C11DEF" w:rsidP="00CF35EE">
            <w:pPr>
              <w:spacing w:after="0"/>
              <w:jc w:val="both"/>
              <w:rPr>
                <w:sz w:val="16"/>
                <w:szCs w:val="16"/>
              </w:rPr>
            </w:pPr>
            <w:r w:rsidRPr="00FA7F06">
              <w:rPr>
                <w:sz w:val="16"/>
                <w:szCs w:val="16"/>
              </w:rPr>
              <w:t>-</w:t>
            </w:r>
          </w:p>
        </w:tc>
        <w:tc>
          <w:tcPr>
            <w:tcW w:w="563" w:type="dxa"/>
            <w:tcBorders>
              <w:top w:val="outset" w:sz="6" w:space="0" w:color="000000"/>
              <w:left w:val="outset" w:sz="6" w:space="0" w:color="000000"/>
              <w:bottom w:val="outset" w:sz="6" w:space="0" w:color="000000"/>
              <w:right w:val="outset" w:sz="6" w:space="0" w:color="000000"/>
            </w:tcBorders>
            <w:hideMark/>
          </w:tcPr>
          <w:p w14:paraId="6F4F6CD8" w14:textId="77777777" w:rsidR="00C11DEF" w:rsidRPr="00FA7F06" w:rsidRDefault="00C11DEF" w:rsidP="00CF35EE">
            <w:pPr>
              <w:spacing w:after="0"/>
              <w:jc w:val="both"/>
              <w:rPr>
                <w:sz w:val="16"/>
                <w:szCs w:val="16"/>
              </w:rPr>
            </w:pPr>
          </w:p>
          <w:p w14:paraId="550F7D00" w14:textId="77777777" w:rsidR="00C11DEF" w:rsidRPr="00FA7F06" w:rsidRDefault="00C11DEF" w:rsidP="00CF35EE">
            <w:pPr>
              <w:spacing w:after="0"/>
              <w:jc w:val="both"/>
              <w:rPr>
                <w:sz w:val="16"/>
                <w:szCs w:val="16"/>
              </w:rPr>
            </w:pPr>
            <w:r w:rsidRPr="00FA7F06">
              <w:rPr>
                <w:sz w:val="16"/>
                <w:szCs w:val="16"/>
              </w:rPr>
              <w:t>0,7</w:t>
            </w:r>
          </w:p>
        </w:tc>
        <w:tc>
          <w:tcPr>
            <w:tcW w:w="704" w:type="dxa"/>
            <w:tcBorders>
              <w:top w:val="outset" w:sz="6" w:space="0" w:color="000000"/>
              <w:left w:val="outset" w:sz="6" w:space="0" w:color="000000"/>
              <w:bottom w:val="outset" w:sz="6" w:space="0" w:color="000000"/>
              <w:right w:val="outset" w:sz="6" w:space="0" w:color="000000"/>
            </w:tcBorders>
            <w:hideMark/>
          </w:tcPr>
          <w:p w14:paraId="4E3B3D72" w14:textId="77777777" w:rsidR="00C11DEF" w:rsidRPr="00FA7F06" w:rsidRDefault="00C11DEF" w:rsidP="00CF35EE">
            <w:pPr>
              <w:spacing w:after="0"/>
              <w:jc w:val="both"/>
              <w:rPr>
                <w:sz w:val="16"/>
                <w:szCs w:val="16"/>
              </w:rPr>
            </w:pPr>
          </w:p>
          <w:p w14:paraId="51B10D17" w14:textId="77777777" w:rsidR="00C11DEF" w:rsidRPr="00FA7F06" w:rsidRDefault="00C11DEF" w:rsidP="00CF35EE">
            <w:pPr>
              <w:spacing w:after="0"/>
              <w:jc w:val="both"/>
              <w:rPr>
                <w:sz w:val="16"/>
                <w:szCs w:val="16"/>
              </w:rPr>
            </w:pPr>
            <w:r w:rsidRPr="00FA7F06">
              <w:rPr>
                <w:sz w:val="16"/>
                <w:szCs w:val="16"/>
              </w:rPr>
              <w:t>0,6</w:t>
            </w:r>
          </w:p>
        </w:tc>
        <w:tc>
          <w:tcPr>
            <w:tcW w:w="1044" w:type="dxa"/>
            <w:tcBorders>
              <w:top w:val="outset" w:sz="6" w:space="0" w:color="000000"/>
              <w:left w:val="outset" w:sz="6" w:space="0" w:color="000000"/>
              <w:bottom w:val="outset" w:sz="6" w:space="0" w:color="000000"/>
              <w:right w:val="outset" w:sz="6" w:space="0" w:color="000000"/>
            </w:tcBorders>
            <w:hideMark/>
          </w:tcPr>
          <w:p w14:paraId="104FFA8F" w14:textId="77777777" w:rsidR="00C11DEF" w:rsidRPr="00FA7F06" w:rsidRDefault="00C11DEF" w:rsidP="00CF35EE">
            <w:pPr>
              <w:spacing w:after="0"/>
              <w:jc w:val="both"/>
              <w:rPr>
                <w:sz w:val="16"/>
                <w:szCs w:val="16"/>
              </w:rPr>
            </w:pPr>
          </w:p>
          <w:p w14:paraId="674BF333" w14:textId="77777777" w:rsidR="00C11DEF" w:rsidRPr="00FA7F06" w:rsidRDefault="00C11DEF" w:rsidP="00CF35EE">
            <w:pPr>
              <w:spacing w:after="0"/>
              <w:jc w:val="both"/>
              <w:rPr>
                <w:sz w:val="16"/>
                <w:szCs w:val="16"/>
              </w:rPr>
            </w:pPr>
            <w:r w:rsidRPr="00FA7F06">
              <w:rPr>
                <w:sz w:val="16"/>
                <w:szCs w:val="16"/>
              </w:rPr>
              <w:t>0,5</w:t>
            </w:r>
          </w:p>
        </w:tc>
      </w:tr>
      <w:tr w:rsidR="00FA7F06" w:rsidRPr="00FA7F06" w14:paraId="4C0D4EAE" w14:textId="77777777" w:rsidTr="00CF35EE">
        <w:trPr>
          <w:tblCellSpacing w:w="7" w:type="dxa"/>
        </w:trPr>
        <w:tc>
          <w:tcPr>
            <w:tcW w:w="2848" w:type="dxa"/>
            <w:tcBorders>
              <w:top w:val="outset" w:sz="6" w:space="0" w:color="000000"/>
              <w:left w:val="outset" w:sz="6" w:space="0" w:color="000000"/>
              <w:bottom w:val="outset" w:sz="6" w:space="0" w:color="000000"/>
              <w:right w:val="outset" w:sz="6" w:space="0" w:color="000000"/>
            </w:tcBorders>
            <w:hideMark/>
          </w:tcPr>
          <w:p w14:paraId="77ADE8C8" w14:textId="77777777" w:rsidR="00C11DEF" w:rsidRPr="00FA7F06" w:rsidRDefault="00C11DEF" w:rsidP="00CF35EE">
            <w:pPr>
              <w:spacing w:after="0"/>
              <w:jc w:val="both"/>
              <w:rPr>
                <w:sz w:val="16"/>
                <w:szCs w:val="16"/>
              </w:rPr>
            </w:pPr>
            <w:r w:rsidRPr="00FA7F06">
              <w:rPr>
                <w:sz w:val="16"/>
                <w:szCs w:val="16"/>
              </w:rPr>
              <w:t>Nierówności powierzchni górnej (czoła),w cm, nie większe niż</w:t>
            </w:r>
          </w:p>
        </w:tc>
        <w:tc>
          <w:tcPr>
            <w:tcW w:w="423" w:type="dxa"/>
            <w:tcBorders>
              <w:top w:val="outset" w:sz="6" w:space="0" w:color="000000"/>
              <w:left w:val="outset" w:sz="6" w:space="0" w:color="000000"/>
              <w:bottom w:val="outset" w:sz="6" w:space="0" w:color="000000"/>
              <w:right w:val="outset" w:sz="6" w:space="0" w:color="000000"/>
            </w:tcBorders>
            <w:hideMark/>
          </w:tcPr>
          <w:p w14:paraId="65C8341E" w14:textId="77777777" w:rsidR="00C11DEF" w:rsidRPr="00FA7F06" w:rsidRDefault="00C11DEF" w:rsidP="00CF35EE">
            <w:pPr>
              <w:spacing w:after="0"/>
              <w:jc w:val="both"/>
              <w:rPr>
                <w:sz w:val="16"/>
                <w:szCs w:val="16"/>
              </w:rPr>
            </w:pPr>
            <w:r w:rsidRPr="00FA7F06">
              <w:rPr>
                <w:sz w:val="16"/>
                <w:szCs w:val="16"/>
              </w:rPr>
              <w:t>-</w:t>
            </w:r>
          </w:p>
        </w:tc>
        <w:tc>
          <w:tcPr>
            <w:tcW w:w="423" w:type="dxa"/>
            <w:tcBorders>
              <w:top w:val="outset" w:sz="6" w:space="0" w:color="000000"/>
              <w:left w:val="outset" w:sz="6" w:space="0" w:color="000000"/>
              <w:bottom w:val="outset" w:sz="6" w:space="0" w:color="000000"/>
              <w:right w:val="outset" w:sz="6" w:space="0" w:color="000000"/>
            </w:tcBorders>
            <w:hideMark/>
          </w:tcPr>
          <w:p w14:paraId="4C845FA7" w14:textId="77777777" w:rsidR="00C11DEF" w:rsidRPr="00FA7F06" w:rsidRDefault="00C11DEF" w:rsidP="00CF35EE">
            <w:pPr>
              <w:spacing w:after="0"/>
              <w:jc w:val="both"/>
              <w:rPr>
                <w:sz w:val="16"/>
                <w:szCs w:val="16"/>
              </w:rPr>
            </w:pPr>
            <w:r w:rsidRPr="00FA7F06">
              <w:rPr>
                <w:sz w:val="16"/>
                <w:szCs w:val="16"/>
              </w:rPr>
              <w:t>-</w:t>
            </w:r>
          </w:p>
        </w:tc>
        <w:tc>
          <w:tcPr>
            <w:tcW w:w="423" w:type="dxa"/>
            <w:tcBorders>
              <w:top w:val="outset" w:sz="6" w:space="0" w:color="000000"/>
              <w:left w:val="outset" w:sz="6" w:space="0" w:color="000000"/>
              <w:bottom w:val="outset" w:sz="6" w:space="0" w:color="000000"/>
              <w:right w:val="outset" w:sz="6" w:space="0" w:color="000000"/>
            </w:tcBorders>
            <w:hideMark/>
          </w:tcPr>
          <w:p w14:paraId="0D567412" w14:textId="77777777" w:rsidR="00C11DEF" w:rsidRPr="00FA7F06" w:rsidRDefault="00C11DEF" w:rsidP="00CF35EE">
            <w:pPr>
              <w:spacing w:after="0"/>
              <w:jc w:val="both"/>
              <w:rPr>
                <w:sz w:val="16"/>
                <w:szCs w:val="16"/>
              </w:rPr>
            </w:pPr>
            <w:r w:rsidRPr="00FA7F06">
              <w:rPr>
                <w:sz w:val="16"/>
                <w:szCs w:val="16"/>
              </w:rPr>
              <w:t>-</w:t>
            </w:r>
          </w:p>
        </w:tc>
        <w:tc>
          <w:tcPr>
            <w:tcW w:w="879" w:type="dxa"/>
            <w:tcBorders>
              <w:top w:val="outset" w:sz="6" w:space="0" w:color="000000"/>
              <w:left w:val="outset" w:sz="6" w:space="0" w:color="000000"/>
              <w:bottom w:val="outset" w:sz="6" w:space="0" w:color="000000"/>
              <w:right w:val="outset" w:sz="6" w:space="0" w:color="000000"/>
            </w:tcBorders>
            <w:hideMark/>
          </w:tcPr>
          <w:p w14:paraId="48AF8751" w14:textId="77777777" w:rsidR="00C11DEF" w:rsidRPr="00FA7F06" w:rsidRDefault="00C11DEF" w:rsidP="00CF35EE">
            <w:pPr>
              <w:spacing w:after="0"/>
              <w:jc w:val="both"/>
              <w:rPr>
                <w:sz w:val="16"/>
                <w:szCs w:val="16"/>
              </w:rPr>
            </w:pPr>
            <w:r w:rsidRPr="00FA7F06">
              <w:rPr>
                <w:sz w:val="16"/>
                <w:szCs w:val="16"/>
              </w:rPr>
              <w:t>-</w:t>
            </w:r>
          </w:p>
        </w:tc>
        <w:tc>
          <w:tcPr>
            <w:tcW w:w="563" w:type="dxa"/>
            <w:tcBorders>
              <w:top w:val="outset" w:sz="6" w:space="0" w:color="000000"/>
              <w:left w:val="outset" w:sz="6" w:space="0" w:color="000000"/>
              <w:bottom w:val="outset" w:sz="6" w:space="0" w:color="000000"/>
              <w:right w:val="outset" w:sz="6" w:space="0" w:color="000000"/>
            </w:tcBorders>
            <w:hideMark/>
          </w:tcPr>
          <w:p w14:paraId="10E711C9" w14:textId="77777777" w:rsidR="00C11DEF" w:rsidRPr="00FA7F06" w:rsidRDefault="00C11DEF" w:rsidP="00CF35EE">
            <w:pPr>
              <w:spacing w:after="0"/>
              <w:jc w:val="both"/>
              <w:rPr>
                <w:sz w:val="16"/>
                <w:szCs w:val="16"/>
              </w:rPr>
            </w:pPr>
            <w:r w:rsidRPr="00FA7F06">
              <w:rPr>
                <w:sz w:val="16"/>
                <w:szCs w:val="16"/>
              </w:rPr>
              <w:t>± 0,4</w:t>
            </w:r>
          </w:p>
        </w:tc>
        <w:tc>
          <w:tcPr>
            <w:tcW w:w="704" w:type="dxa"/>
            <w:tcBorders>
              <w:top w:val="outset" w:sz="6" w:space="0" w:color="000000"/>
              <w:left w:val="outset" w:sz="6" w:space="0" w:color="000000"/>
              <w:bottom w:val="outset" w:sz="6" w:space="0" w:color="000000"/>
              <w:right w:val="outset" w:sz="6" w:space="0" w:color="000000"/>
            </w:tcBorders>
            <w:hideMark/>
          </w:tcPr>
          <w:p w14:paraId="0BA1F9F4" w14:textId="77777777" w:rsidR="00C11DEF" w:rsidRPr="00FA7F06" w:rsidRDefault="00C11DEF" w:rsidP="00CF35EE">
            <w:pPr>
              <w:spacing w:after="0"/>
              <w:jc w:val="both"/>
              <w:rPr>
                <w:sz w:val="16"/>
                <w:szCs w:val="16"/>
              </w:rPr>
            </w:pPr>
            <w:r w:rsidRPr="00FA7F06">
              <w:rPr>
                <w:sz w:val="16"/>
                <w:szCs w:val="16"/>
              </w:rPr>
              <w:t>± 0,6</w:t>
            </w:r>
          </w:p>
        </w:tc>
        <w:tc>
          <w:tcPr>
            <w:tcW w:w="1044" w:type="dxa"/>
            <w:tcBorders>
              <w:top w:val="outset" w:sz="6" w:space="0" w:color="000000"/>
              <w:left w:val="outset" w:sz="6" w:space="0" w:color="000000"/>
              <w:bottom w:val="outset" w:sz="6" w:space="0" w:color="000000"/>
              <w:right w:val="outset" w:sz="6" w:space="0" w:color="000000"/>
            </w:tcBorders>
            <w:hideMark/>
          </w:tcPr>
          <w:p w14:paraId="5FFEC661" w14:textId="77777777" w:rsidR="00C11DEF" w:rsidRPr="00FA7F06" w:rsidRDefault="00C11DEF" w:rsidP="00CF35EE">
            <w:pPr>
              <w:spacing w:after="0"/>
              <w:jc w:val="both"/>
              <w:rPr>
                <w:sz w:val="16"/>
                <w:szCs w:val="16"/>
              </w:rPr>
            </w:pPr>
            <w:r w:rsidRPr="00FA7F06">
              <w:rPr>
                <w:sz w:val="16"/>
                <w:szCs w:val="16"/>
              </w:rPr>
              <w:t>± 0,8</w:t>
            </w:r>
          </w:p>
        </w:tc>
      </w:tr>
      <w:tr w:rsidR="00FA7F06" w:rsidRPr="00FA7F06" w14:paraId="7C253C3A" w14:textId="77777777" w:rsidTr="00CF35EE">
        <w:trPr>
          <w:tblCellSpacing w:w="7" w:type="dxa"/>
        </w:trPr>
        <w:tc>
          <w:tcPr>
            <w:tcW w:w="2848" w:type="dxa"/>
            <w:tcBorders>
              <w:top w:val="outset" w:sz="6" w:space="0" w:color="000000"/>
              <w:left w:val="outset" w:sz="6" w:space="0" w:color="000000"/>
              <w:bottom w:val="outset" w:sz="6" w:space="0" w:color="000000"/>
              <w:right w:val="outset" w:sz="6" w:space="0" w:color="000000"/>
            </w:tcBorders>
            <w:hideMark/>
          </w:tcPr>
          <w:p w14:paraId="35904214" w14:textId="77777777" w:rsidR="00C11DEF" w:rsidRPr="00FA7F06" w:rsidRDefault="00C11DEF" w:rsidP="00CF35EE">
            <w:pPr>
              <w:spacing w:after="0"/>
              <w:jc w:val="both"/>
              <w:rPr>
                <w:sz w:val="16"/>
                <w:szCs w:val="16"/>
              </w:rPr>
            </w:pPr>
            <w:r w:rsidRPr="00FA7F06">
              <w:rPr>
                <w:sz w:val="16"/>
                <w:szCs w:val="16"/>
              </w:rPr>
              <w:t>Wypukłość powierzchni bocznej, w cm, nie większa niż</w:t>
            </w:r>
          </w:p>
        </w:tc>
        <w:tc>
          <w:tcPr>
            <w:tcW w:w="423" w:type="dxa"/>
            <w:tcBorders>
              <w:top w:val="outset" w:sz="6" w:space="0" w:color="000000"/>
              <w:left w:val="outset" w:sz="6" w:space="0" w:color="000000"/>
              <w:bottom w:val="outset" w:sz="6" w:space="0" w:color="000000"/>
              <w:right w:val="outset" w:sz="6" w:space="0" w:color="000000"/>
            </w:tcBorders>
            <w:hideMark/>
          </w:tcPr>
          <w:p w14:paraId="7A43BD13" w14:textId="77777777" w:rsidR="00C11DEF" w:rsidRPr="00FA7F06" w:rsidRDefault="00C11DEF" w:rsidP="00CF35EE">
            <w:pPr>
              <w:spacing w:after="0"/>
              <w:jc w:val="both"/>
              <w:rPr>
                <w:sz w:val="16"/>
                <w:szCs w:val="16"/>
              </w:rPr>
            </w:pPr>
            <w:r w:rsidRPr="00FA7F06">
              <w:rPr>
                <w:sz w:val="16"/>
                <w:szCs w:val="16"/>
              </w:rPr>
              <w:t>-</w:t>
            </w:r>
          </w:p>
        </w:tc>
        <w:tc>
          <w:tcPr>
            <w:tcW w:w="423" w:type="dxa"/>
            <w:tcBorders>
              <w:top w:val="outset" w:sz="6" w:space="0" w:color="000000"/>
              <w:left w:val="outset" w:sz="6" w:space="0" w:color="000000"/>
              <w:bottom w:val="outset" w:sz="6" w:space="0" w:color="000000"/>
              <w:right w:val="outset" w:sz="6" w:space="0" w:color="000000"/>
            </w:tcBorders>
            <w:hideMark/>
          </w:tcPr>
          <w:p w14:paraId="13B96A81" w14:textId="77777777" w:rsidR="00C11DEF" w:rsidRPr="00FA7F06" w:rsidRDefault="00C11DEF" w:rsidP="00CF35EE">
            <w:pPr>
              <w:spacing w:after="0"/>
              <w:jc w:val="both"/>
              <w:rPr>
                <w:sz w:val="16"/>
                <w:szCs w:val="16"/>
              </w:rPr>
            </w:pPr>
            <w:r w:rsidRPr="00FA7F06">
              <w:rPr>
                <w:sz w:val="16"/>
                <w:szCs w:val="16"/>
              </w:rPr>
              <w:t>-</w:t>
            </w:r>
          </w:p>
        </w:tc>
        <w:tc>
          <w:tcPr>
            <w:tcW w:w="423" w:type="dxa"/>
            <w:tcBorders>
              <w:top w:val="outset" w:sz="6" w:space="0" w:color="000000"/>
              <w:left w:val="outset" w:sz="6" w:space="0" w:color="000000"/>
              <w:bottom w:val="outset" w:sz="6" w:space="0" w:color="000000"/>
              <w:right w:val="outset" w:sz="6" w:space="0" w:color="000000"/>
            </w:tcBorders>
            <w:hideMark/>
          </w:tcPr>
          <w:p w14:paraId="4B37A038" w14:textId="77777777" w:rsidR="00C11DEF" w:rsidRPr="00FA7F06" w:rsidRDefault="00C11DEF" w:rsidP="00CF35EE">
            <w:pPr>
              <w:spacing w:after="0"/>
              <w:jc w:val="both"/>
              <w:rPr>
                <w:sz w:val="16"/>
                <w:szCs w:val="16"/>
              </w:rPr>
            </w:pPr>
            <w:r w:rsidRPr="00FA7F06">
              <w:rPr>
                <w:sz w:val="16"/>
                <w:szCs w:val="16"/>
              </w:rPr>
              <w:t>-</w:t>
            </w:r>
          </w:p>
        </w:tc>
        <w:tc>
          <w:tcPr>
            <w:tcW w:w="879" w:type="dxa"/>
            <w:tcBorders>
              <w:top w:val="outset" w:sz="6" w:space="0" w:color="000000"/>
              <w:left w:val="outset" w:sz="6" w:space="0" w:color="000000"/>
              <w:bottom w:val="outset" w:sz="6" w:space="0" w:color="000000"/>
              <w:right w:val="outset" w:sz="6" w:space="0" w:color="000000"/>
            </w:tcBorders>
            <w:hideMark/>
          </w:tcPr>
          <w:p w14:paraId="300A5784" w14:textId="77777777" w:rsidR="00C11DEF" w:rsidRPr="00FA7F06" w:rsidRDefault="00C11DEF" w:rsidP="00CF35EE">
            <w:pPr>
              <w:spacing w:after="0"/>
              <w:jc w:val="both"/>
              <w:rPr>
                <w:sz w:val="16"/>
                <w:szCs w:val="16"/>
              </w:rPr>
            </w:pPr>
            <w:r w:rsidRPr="00FA7F06">
              <w:rPr>
                <w:sz w:val="16"/>
                <w:szCs w:val="16"/>
              </w:rPr>
              <w:t>-</w:t>
            </w:r>
          </w:p>
        </w:tc>
        <w:tc>
          <w:tcPr>
            <w:tcW w:w="563" w:type="dxa"/>
            <w:tcBorders>
              <w:top w:val="outset" w:sz="6" w:space="0" w:color="000000"/>
              <w:left w:val="outset" w:sz="6" w:space="0" w:color="000000"/>
              <w:bottom w:val="outset" w:sz="6" w:space="0" w:color="000000"/>
              <w:right w:val="outset" w:sz="6" w:space="0" w:color="000000"/>
            </w:tcBorders>
            <w:hideMark/>
          </w:tcPr>
          <w:p w14:paraId="17CC2E42" w14:textId="77777777" w:rsidR="00C11DEF" w:rsidRPr="00FA7F06" w:rsidRDefault="00C11DEF" w:rsidP="00CF35EE">
            <w:pPr>
              <w:spacing w:after="0"/>
              <w:jc w:val="both"/>
              <w:rPr>
                <w:sz w:val="16"/>
                <w:szCs w:val="16"/>
              </w:rPr>
            </w:pPr>
            <w:r w:rsidRPr="00FA7F06">
              <w:rPr>
                <w:sz w:val="16"/>
                <w:szCs w:val="16"/>
              </w:rPr>
              <w:t>0,6</w:t>
            </w:r>
          </w:p>
        </w:tc>
        <w:tc>
          <w:tcPr>
            <w:tcW w:w="704" w:type="dxa"/>
            <w:tcBorders>
              <w:top w:val="outset" w:sz="6" w:space="0" w:color="000000"/>
              <w:left w:val="outset" w:sz="6" w:space="0" w:color="000000"/>
              <w:bottom w:val="outset" w:sz="6" w:space="0" w:color="000000"/>
              <w:right w:val="outset" w:sz="6" w:space="0" w:color="000000"/>
            </w:tcBorders>
            <w:hideMark/>
          </w:tcPr>
          <w:p w14:paraId="0F176283" w14:textId="77777777" w:rsidR="00C11DEF" w:rsidRPr="00FA7F06" w:rsidRDefault="00C11DEF" w:rsidP="00CF35EE">
            <w:pPr>
              <w:spacing w:after="0"/>
              <w:jc w:val="both"/>
              <w:rPr>
                <w:sz w:val="16"/>
                <w:szCs w:val="16"/>
              </w:rPr>
            </w:pPr>
            <w:r w:rsidRPr="00FA7F06">
              <w:rPr>
                <w:sz w:val="16"/>
                <w:szCs w:val="16"/>
              </w:rPr>
              <w:t>0,6</w:t>
            </w:r>
          </w:p>
        </w:tc>
        <w:tc>
          <w:tcPr>
            <w:tcW w:w="1044" w:type="dxa"/>
            <w:tcBorders>
              <w:top w:val="outset" w:sz="6" w:space="0" w:color="000000"/>
              <w:left w:val="outset" w:sz="6" w:space="0" w:color="000000"/>
              <w:bottom w:val="outset" w:sz="6" w:space="0" w:color="000000"/>
              <w:right w:val="outset" w:sz="6" w:space="0" w:color="000000"/>
            </w:tcBorders>
            <w:hideMark/>
          </w:tcPr>
          <w:p w14:paraId="0F2AE87A" w14:textId="77777777" w:rsidR="00C11DEF" w:rsidRPr="00FA7F06" w:rsidRDefault="00C11DEF" w:rsidP="00CF35EE">
            <w:pPr>
              <w:spacing w:after="0"/>
              <w:jc w:val="both"/>
              <w:rPr>
                <w:sz w:val="16"/>
                <w:szCs w:val="16"/>
              </w:rPr>
            </w:pPr>
            <w:r w:rsidRPr="00FA7F06">
              <w:rPr>
                <w:sz w:val="16"/>
                <w:szCs w:val="16"/>
              </w:rPr>
              <w:t>0,8</w:t>
            </w:r>
          </w:p>
        </w:tc>
      </w:tr>
      <w:tr w:rsidR="00FA7F06" w:rsidRPr="00FA7F06" w14:paraId="2EF3FA15" w14:textId="77777777" w:rsidTr="00CF35EE">
        <w:trPr>
          <w:tblCellSpacing w:w="7" w:type="dxa"/>
        </w:trPr>
        <w:tc>
          <w:tcPr>
            <w:tcW w:w="2848" w:type="dxa"/>
            <w:tcBorders>
              <w:top w:val="outset" w:sz="6" w:space="0" w:color="000000"/>
              <w:left w:val="outset" w:sz="6" w:space="0" w:color="000000"/>
              <w:bottom w:val="outset" w:sz="6" w:space="0" w:color="000000"/>
              <w:right w:val="outset" w:sz="6" w:space="0" w:color="000000"/>
            </w:tcBorders>
            <w:hideMark/>
          </w:tcPr>
          <w:p w14:paraId="3B8467D8" w14:textId="77777777" w:rsidR="00C11DEF" w:rsidRPr="00FA7F06" w:rsidRDefault="00C11DEF" w:rsidP="00CF35EE">
            <w:pPr>
              <w:spacing w:after="0"/>
              <w:jc w:val="both"/>
              <w:rPr>
                <w:sz w:val="16"/>
                <w:szCs w:val="16"/>
              </w:rPr>
            </w:pPr>
            <w:r w:rsidRPr="00FA7F06">
              <w:rPr>
                <w:sz w:val="16"/>
                <w:szCs w:val="16"/>
              </w:rPr>
              <w:t>Odchyłki od kąta prostego krawędzi powierzchni górnej (czoła), w stopniach, nie większe niż</w:t>
            </w:r>
          </w:p>
        </w:tc>
        <w:tc>
          <w:tcPr>
            <w:tcW w:w="423" w:type="dxa"/>
            <w:tcBorders>
              <w:top w:val="outset" w:sz="6" w:space="0" w:color="000000"/>
              <w:left w:val="outset" w:sz="6" w:space="0" w:color="000000"/>
              <w:bottom w:val="outset" w:sz="6" w:space="0" w:color="000000"/>
              <w:right w:val="outset" w:sz="6" w:space="0" w:color="000000"/>
            </w:tcBorders>
            <w:hideMark/>
          </w:tcPr>
          <w:p w14:paraId="61909D29" w14:textId="77777777" w:rsidR="00C11DEF" w:rsidRPr="00FA7F06" w:rsidRDefault="00C11DEF" w:rsidP="00CF35EE">
            <w:pPr>
              <w:spacing w:after="0"/>
              <w:jc w:val="both"/>
              <w:rPr>
                <w:sz w:val="16"/>
                <w:szCs w:val="16"/>
              </w:rPr>
            </w:pPr>
            <w:r w:rsidRPr="00FA7F06">
              <w:rPr>
                <w:sz w:val="16"/>
                <w:szCs w:val="16"/>
              </w:rPr>
              <w:t>-</w:t>
            </w:r>
          </w:p>
        </w:tc>
        <w:tc>
          <w:tcPr>
            <w:tcW w:w="423" w:type="dxa"/>
            <w:tcBorders>
              <w:top w:val="outset" w:sz="6" w:space="0" w:color="000000"/>
              <w:left w:val="outset" w:sz="6" w:space="0" w:color="000000"/>
              <w:bottom w:val="outset" w:sz="6" w:space="0" w:color="000000"/>
              <w:right w:val="outset" w:sz="6" w:space="0" w:color="000000"/>
            </w:tcBorders>
            <w:hideMark/>
          </w:tcPr>
          <w:p w14:paraId="03EA29FB" w14:textId="77777777" w:rsidR="00C11DEF" w:rsidRPr="00FA7F06" w:rsidRDefault="00C11DEF" w:rsidP="00CF35EE">
            <w:pPr>
              <w:spacing w:after="0"/>
              <w:jc w:val="both"/>
              <w:rPr>
                <w:sz w:val="16"/>
                <w:szCs w:val="16"/>
              </w:rPr>
            </w:pPr>
            <w:r w:rsidRPr="00FA7F06">
              <w:rPr>
                <w:sz w:val="16"/>
                <w:szCs w:val="16"/>
              </w:rPr>
              <w:t>-</w:t>
            </w:r>
          </w:p>
        </w:tc>
        <w:tc>
          <w:tcPr>
            <w:tcW w:w="423" w:type="dxa"/>
            <w:tcBorders>
              <w:top w:val="outset" w:sz="6" w:space="0" w:color="000000"/>
              <w:left w:val="outset" w:sz="6" w:space="0" w:color="000000"/>
              <w:bottom w:val="outset" w:sz="6" w:space="0" w:color="000000"/>
              <w:right w:val="outset" w:sz="6" w:space="0" w:color="000000"/>
            </w:tcBorders>
            <w:hideMark/>
          </w:tcPr>
          <w:p w14:paraId="49592DDE" w14:textId="77777777" w:rsidR="00C11DEF" w:rsidRPr="00FA7F06" w:rsidRDefault="00C11DEF" w:rsidP="00CF35EE">
            <w:pPr>
              <w:spacing w:after="0"/>
              <w:jc w:val="both"/>
              <w:rPr>
                <w:sz w:val="16"/>
                <w:szCs w:val="16"/>
              </w:rPr>
            </w:pPr>
            <w:r w:rsidRPr="00FA7F06">
              <w:rPr>
                <w:sz w:val="16"/>
                <w:szCs w:val="16"/>
              </w:rPr>
              <w:t>-</w:t>
            </w:r>
          </w:p>
        </w:tc>
        <w:tc>
          <w:tcPr>
            <w:tcW w:w="879" w:type="dxa"/>
            <w:tcBorders>
              <w:top w:val="outset" w:sz="6" w:space="0" w:color="000000"/>
              <w:left w:val="outset" w:sz="6" w:space="0" w:color="000000"/>
              <w:bottom w:val="outset" w:sz="6" w:space="0" w:color="000000"/>
              <w:right w:val="outset" w:sz="6" w:space="0" w:color="000000"/>
            </w:tcBorders>
            <w:hideMark/>
          </w:tcPr>
          <w:p w14:paraId="7D417383" w14:textId="77777777" w:rsidR="00C11DEF" w:rsidRPr="00FA7F06" w:rsidRDefault="00C11DEF" w:rsidP="00CF35EE">
            <w:pPr>
              <w:spacing w:after="0"/>
              <w:jc w:val="both"/>
              <w:rPr>
                <w:sz w:val="16"/>
                <w:szCs w:val="16"/>
              </w:rPr>
            </w:pPr>
            <w:r w:rsidRPr="00FA7F06">
              <w:rPr>
                <w:sz w:val="16"/>
                <w:szCs w:val="16"/>
              </w:rPr>
              <w:t>-</w:t>
            </w:r>
          </w:p>
        </w:tc>
        <w:tc>
          <w:tcPr>
            <w:tcW w:w="563" w:type="dxa"/>
            <w:tcBorders>
              <w:top w:val="outset" w:sz="6" w:space="0" w:color="000000"/>
              <w:left w:val="outset" w:sz="6" w:space="0" w:color="000000"/>
              <w:bottom w:val="outset" w:sz="6" w:space="0" w:color="000000"/>
              <w:right w:val="outset" w:sz="6" w:space="0" w:color="000000"/>
            </w:tcBorders>
            <w:hideMark/>
          </w:tcPr>
          <w:p w14:paraId="52F96EEF" w14:textId="77777777" w:rsidR="00C11DEF" w:rsidRPr="00FA7F06" w:rsidRDefault="00C11DEF" w:rsidP="00CF35EE">
            <w:pPr>
              <w:spacing w:after="0"/>
              <w:jc w:val="both"/>
              <w:rPr>
                <w:sz w:val="16"/>
                <w:szCs w:val="16"/>
              </w:rPr>
            </w:pPr>
            <w:r w:rsidRPr="00FA7F06">
              <w:rPr>
                <w:sz w:val="16"/>
                <w:szCs w:val="16"/>
              </w:rPr>
              <w:t>± 6</w:t>
            </w:r>
          </w:p>
        </w:tc>
        <w:tc>
          <w:tcPr>
            <w:tcW w:w="704" w:type="dxa"/>
            <w:tcBorders>
              <w:top w:val="outset" w:sz="6" w:space="0" w:color="000000"/>
              <w:left w:val="outset" w:sz="6" w:space="0" w:color="000000"/>
              <w:bottom w:val="outset" w:sz="6" w:space="0" w:color="000000"/>
              <w:right w:val="outset" w:sz="6" w:space="0" w:color="000000"/>
            </w:tcBorders>
            <w:hideMark/>
          </w:tcPr>
          <w:p w14:paraId="4621BAE3" w14:textId="77777777" w:rsidR="00C11DEF" w:rsidRPr="00FA7F06" w:rsidRDefault="00C11DEF" w:rsidP="00CF35EE">
            <w:pPr>
              <w:spacing w:after="0"/>
              <w:jc w:val="both"/>
              <w:rPr>
                <w:sz w:val="16"/>
                <w:szCs w:val="16"/>
              </w:rPr>
            </w:pPr>
            <w:r w:rsidRPr="00FA7F06">
              <w:rPr>
                <w:sz w:val="16"/>
                <w:szCs w:val="16"/>
              </w:rPr>
              <w:t>± 8</w:t>
            </w:r>
          </w:p>
        </w:tc>
        <w:tc>
          <w:tcPr>
            <w:tcW w:w="1044" w:type="dxa"/>
            <w:tcBorders>
              <w:top w:val="outset" w:sz="6" w:space="0" w:color="000000"/>
              <w:left w:val="outset" w:sz="6" w:space="0" w:color="000000"/>
              <w:bottom w:val="outset" w:sz="6" w:space="0" w:color="000000"/>
              <w:right w:val="outset" w:sz="6" w:space="0" w:color="000000"/>
            </w:tcBorders>
            <w:hideMark/>
          </w:tcPr>
          <w:p w14:paraId="170B7E2B" w14:textId="77777777" w:rsidR="00C11DEF" w:rsidRPr="00FA7F06" w:rsidRDefault="00C11DEF" w:rsidP="00CF35EE">
            <w:pPr>
              <w:spacing w:after="0"/>
              <w:jc w:val="both"/>
              <w:rPr>
                <w:sz w:val="16"/>
                <w:szCs w:val="16"/>
              </w:rPr>
            </w:pPr>
            <w:r w:rsidRPr="00FA7F06">
              <w:rPr>
                <w:sz w:val="16"/>
                <w:szCs w:val="16"/>
              </w:rPr>
              <w:t>±10</w:t>
            </w:r>
          </w:p>
        </w:tc>
      </w:tr>
      <w:tr w:rsidR="00FA7F06" w:rsidRPr="00FA7F06" w14:paraId="7059B6F6" w14:textId="77777777" w:rsidTr="00CF35EE">
        <w:trPr>
          <w:tblCellSpacing w:w="7" w:type="dxa"/>
        </w:trPr>
        <w:tc>
          <w:tcPr>
            <w:tcW w:w="2848" w:type="dxa"/>
            <w:tcBorders>
              <w:top w:val="outset" w:sz="6" w:space="0" w:color="000000"/>
              <w:left w:val="outset" w:sz="6" w:space="0" w:color="000000"/>
              <w:bottom w:val="outset" w:sz="6" w:space="0" w:color="000000"/>
              <w:right w:val="outset" w:sz="6" w:space="0" w:color="000000"/>
            </w:tcBorders>
            <w:hideMark/>
          </w:tcPr>
          <w:p w14:paraId="60CDD5E3" w14:textId="77777777" w:rsidR="00C11DEF" w:rsidRPr="00FA7F06" w:rsidRDefault="00C11DEF" w:rsidP="00CF35EE">
            <w:pPr>
              <w:spacing w:after="0"/>
              <w:jc w:val="both"/>
              <w:rPr>
                <w:sz w:val="16"/>
                <w:szCs w:val="16"/>
              </w:rPr>
            </w:pPr>
            <w:r w:rsidRPr="00FA7F06">
              <w:rPr>
                <w:sz w:val="16"/>
                <w:szCs w:val="16"/>
              </w:rPr>
              <w:lastRenderedPageBreak/>
              <w:t>Odchylenie od równoległości płaszczyzny powierzchni dolnej w stosunku do górnej, w stopniach, nie większe niż</w:t>
            </w:r>
          </w:p>
        </w:tc>
        <w:tc>
          <w:tcPr>
            <w:tcW w:w="423" w:type="dxa"/>
            <w:tcBorders>
              <w:top w:val="outset" w:sz="6" w:space="0" w:color="000000"/>
              <w:left w:val="outset" w:sz="6" w:space="0" w:color="000000"/>
              <w:bottom w:val="outset" w:sz="6" w:space="0" w:color="000000"/>
              <w:right w:val="outset" w:sz="6" w:space="0" w:color="000000"/>
            </w:tcBorders>
            <w:hideMark/>
          </w:tcPr>
          <w:p w14:paraId="539352A2" w14:textId="77777777" w:rsidR="00C11DEF" w:rsidRPr="00FA7F06" w:rsidRDefault="00C11DEF" w:rsidP="00CF35EE">
            <w:pPr>
              <w:spacing w:after="0"/>
              <w:jc w:val="both"/>
              <w:rPr>
                <w:sz w:val="16"/>
                <w:szCs w:val="16"/>
              </w:rPr>
            </w:pPr>
            <w:r w:rsidRPr="00FA7F06">
              <w:rPr>
                <w:sz w:val="16"/>
                <w:szCs w:val="16"/>
              </w:rPr>
              <w:t>-</w:t>
            </w:r>
          </w:p>
        </w:tc>
        <w:tc>
          <w:tcPr>
            <w:tcW w:w="423" w:type="dxa"/>
            <w:tcBorders>
              <w:top w:val="outset" w:sz="6" w:space="0" w:color="000000"/>
              <w:left w:val="outset" w:sz="6" w:space="0" w:color="000000"/>
              <w:bottom w:val="outset" w:sz="6" w:space="0" w:color="000000"/>
              <w:right w:val="outset" w:sz="6" w:space="0" w:color="000000"/>
            </w:tcBorders>
            <w:hideMark/>
          </w:tcPr>
          <w:p w14:paraId="55D603A4" w14:textId="77777777" w:rsidR="00C11DEF" w:rsidRPr="00FA7F06" w:rsidRDefault="00C11DEF" w:rsidP="00CF35EE">
            <w:pPr>
              <w:spacing w:after="0"/>
              <w:jc w:val="both"/>
              <w:rPr>
                <w:sz w:val="16"/>
                <w:szCs w:val="16"/>
              </w:rPr>
            </w:pPr>
            <w:r w:rsidRPr="00FA7F06">
              <w:rPr>
                <w:sz w:val="16"/>
                <w:szCs w:val="16"/>
              </w:rPr>
              <w:t>-</w:t>
            </w:r>
          </w:p>
        </w:tc>
        <w:tc>
          <w:tcPr>
            <w:tcW w:w="423" w:type="dxa"/>
            <w:tcBorders>
              <w:top w:val="outset" w:sz="6" w:space="0" w:color="000000"/>
              <w:left w:val="outset" w:sz="6" w:space="0" w:color="000000"/>
              <w:bottom w:val="outset" w:sz="6" w:space="0" w:color="000000"/>
              <w:right w:val="outset" w:sz="6" w:space="0" w:color="000000"/>
            </w:tcBorders>
            <w:hideMark/>
          </w:tcPr>
          <w:p w14:paraId="0E568EE9" w14:textId="77777777" w:rsidR="00C11DEF" w:rsidRPr="00FA7F06" w:rsidRDefault="00C11DEF" w:rsidP="00CF35EE">
            <w:pPr>
              <w:spacing w:after="0"/>
              <w:jc w:val="both"/>
              <w:rPr>
                <w:sz w:val="16"/>
                <w:szCs w:val="16"/>
              </w:rPr>
            </w:pPr>
            <w:r w:rsidRPr="00FA7F06">
              <w:rPr>
                <w:sz w:val="16"/>
                <w:szCs w:val="16"/>
              </w:rPr>
              <w:t>-</w:t>
            </w:r>
          </w:p>
        </w:tc>
        <w:tc>
          <w:tcPr>
            <w:tcW w:w="879" w:type="dxa"/>
            <w:tcBorders>
              <w:top w:val="outset" w:sz="6" w:space="0" w:color="000000"/>
              <w:left w:val="outset" w:sz="6" w:space="0" w:color="000000"/>
              <w:bottom w:val="outset" w:sz="6" w:space="0" w:color="000000"/>
              <w:right w:val="outset" w:sz="6" w:space="0" w:color="000000"/>
            </w:tcBorders>
            <w:hideMark/>
          </w:tcPr>
          <w:p w14:paraId="29B53C70" w14:textId="77777777" w:rsidR="00C11DEF" w:rsidRPr="00FA7F06" w:rsidRDefault="00C11DEF" w:rsidP="00CF35EE">
            <w:pPr>
              <w:spacing w:after="0"/>
              <w:jc w:val="both"/>
              <w:rPr>
                <w:sz w:val="16"/>
                <w:szCs w:val="16"/>
              </w:rPr>
            </w:pPr>
            <w:r w:rsidRPr="00FA7F06">
              <w:rPr>
                <w:sz w:val="16"/>
                <w:szCs w:val="16"/>
              </w:rPr>
              <w:t>-</w:t>
            </w:r>
          </w:p>
        </w:tc>
        <w:tc>
          <w:tcPr>
            <w:tcW w:w="563" w:type="dxa"/>
            <w:tcBorders>
              <w:top w:val="outset" w:sz="6" w:space="0" w:color="000000"/>
              <w:left w:val="outset" w:sz="6" w:space="0" w:color="000000"/>
              <w:bottom w:val="outset" w:sz="6" w:space="0" w:color="000000"/>
              <w:right w:val="outset" w:sz="6" w:space="0" w:color="000000"/>
            </w:tcBorders>
            <w:hideMark/>
          </w:tcPr>
          <w:p w14:paraId="28DC6C95" w14:textId="77777777" w:rsidR="00C11DEF" w:rsidRPr="00FA7F06" w:rsidRDefault="00C11DEF" w:rsidP="00CF35EE">
            <w:pPr>
              <w:spacing w:after="0"/>
              <w:jc w:val="both"/>
              <w:rPr>
                <w:sz w:val="16"/>
                <w:szCs w:val="16"/>
              </w:rPr>
            </w:pPr>
            <w:r w:rsidRPr="00FA7F06">
              <w:rPr>
                <w:sz w:val="16"/>
                <w:szCs w:val="16"/>
              </w:rPr>
              <w:t>± 6</w:t>
            </w:r>
          </w:p>
        </w:tc>
        <w:tc>
          <w:tcPr>
            <w:tcW w:w="704" w:type="dxa"/>
            <w:tcBorders>
              <w:top w:val="outset" w:sz="6" w:space="0" w:color="000000"/>
              <w:left w:val="outset" w:sz="6" w:space="0" w:color="000000"/>
              <w:bottom w:val="outset" w:sz="6" w:space="0" w:color="000000"/>
              <w:right w:val="outset" w:sz="6" w:space="0" w:color="000000"/>
            </w:tcBorders>
            <w:hideMark/>
          </w:tcPr>
          <w:p w14:paraId="2B3E4614" w14:textId="77777777" w:rsidR="00C11DEF" w:rsidRPr="00FA7F06" w:rsidRDefault="00C11DEF" w:rsidP="00CF35EE">
            <w:pPr>
              <w:spacing w:after="0"/>
              <w:jc w:val="both"/>
              <w:rPr>
                <w:sz w:val="16"/>
                <w:szCs w:val="16"/>
              </w:rPr>
            </w:pPr>
            <w:r w:rsidRPr="00FA7F06">
              <w:rPr>
                <w:sz w:val="16"/>
                <w:szCs w:val="16"/>
              </w:rPr>
              <w:t>± 8</w:t>
            </w:r>
          </w:p>
        </w:tc>
        <w:tc>
          <w:tcPr>
            <w:tcW w:w="1044" w:type="dxa"/>
            <w:tcBorders>
              <w:top w:val="outset" w:sz="6" w:space="0" w:color="000000"/>
              <w:left w:val="outset" w:sz="6" w:space="0" w:color="000000"/>
              <w:bottom w:val="outset" w:sz="6" w:space="0" w:color="000000"/>
              <w:right w:val="outset" w:sz="6" w:space="0" w:color="000000"/>
            </w:tcBorders>
            <w:hideMark/>
          </w:tcPr>
          <w:p w14:paraId="0F133EB7" w14:textId="77777777" w:rsidR="00C11DEF" w:rsidRPr="00FA7F06" w:rsidRDefault="00C11DEF" w:rsidP="00CF35EE">
            <w:pPr>
              <w:spacing w:after="0"/>
              <w:jc w:val="both"/>
              <w:rPr>
                <w:sz w:val="16"/>
                <w:szCs w:val="16"/>
              </w:rPr>
            </w:pPr>
            <w:r w:rsidRPr="00FA7F06">
              <w:rPr>
                <w:sz w:val="16"/>
                <w:szCs w:val="16"/>
              </w:rPr>
              <w:t>±10</w:t>
            </w:r>
          </w:p>
        </w:tc>
      </w:tr>
    </w:tbl>
    <w:p w14:paraId="3CCCFC52" w14:textId="77777777" w:rsidR="00C11DEF" w:rsidRPr="00FA7F06" w:rsidRDefault="00C11DEF" w:rsidP="00C11DEF">
      <w:pPr>
        <w:spacing w:after="0"/>
        <w:jc w:val="both"/>
        <w:rPr>
          <w:sz w:val="16"/>
          <w:szCs w:val="16"/>
        </w:rPr>
      </w:pPr>
    </w:p>
    <w:p w14:paraId="1EF8A07F" w14:textId="77777777" w:rsidR="00C11DEF" w:rsidRPr="00FA7F06" w:rsidRDefault="00C11DEF" w:rsidP="00C11DEF">
      <w:pPr>
        <w:spacing w:after="0"/>
        <w:jc w:val="both"/>
        <w:rPr>
          <w:b/>
          <w:sz w:val="16"/>
          <w:szCs w:val="16"/>
        </w:rPr>
      </w:pPr>
      <w:r w:rsidRPr="00FA7F06">
        <w:rPr>
          <w:b/>
          <w:sz w:val="16"/>
          <w:szCs w:val="16"/>
        </w:rPr>
        <w:t>2.3. Krawężniki</w:t>
      </w:r>
    </w:p>
    <w:p w14:paraId="19BB87C1" w14:textId="77777777" w:rsidR="00C11DEF" w:rsidRPr="00FA7F06" w:rsidRDefault="00C11DEF" w:rsidP="00C11DEF">
      <w:pPr>
        <w:spacing w:after="0"/>
        <w:jc w:val="both"/>
        <w:rPr>
          <w:sz w:val="16"/>
          <w:szCs w:val="16"/>
        </w:rPr>
      </w:pPr>
      <w:r w:rsidRPr="00FA7F06">
        <w:rPr>
          <w:sz w:val="16"/>
          <w:szCs w:val="16"/>
        </w:rPr>
        <w:t xml:space="preserve">Wykonanie krawężników kamiennych powinno odpowiadać wymaganiom podanym w </w:t>
      </w:r>
      <w:proofErr w:type="spellStart"/>
      <w:r w:rsidRPr="00FA7F06">
        <w:rPr>
          <w:sz w:val="16"/>
          <w:szCs w:val="16"/>
        </w:rPr>
        <w:t>STWiORB</w:t>
      </w:r>
      <w:proofErr w:type="spellEnd"/>
      <w:r w:rsidRPr="00FA7F06">
        <w:rPr>
          <w:sz w:val="16"/>
          <w:szCs w:val="16"/>
        </w:rPr>
        <w:t xml:space="preserve"> D-08.01.02 „Krawężniki kamienne”.</w:t>
      </w:r>
    </w:p>
    <w:p w14:paraId="4A53BDC5" w14:textId="77777777" w:rsidR="00C11DEF" w:rsidRPr="00FA7F06" w:rsidRDefault="00C11DEF" w:rsidP="00C11DEF">
      <w:pPr>
        <w:spacing w:after="0"/>
        <w:jc w:val="both"/>
        <w:rPr>
          <w:b/>
          <w:sz w:val="16"/>
          <w:szCs w:val="16"/>
        </w:rPr>
      </w:pPr>
      <w:r w:rsidRPr="00FA7F06">
        <w:rPr>
          <w:b/>
          <w:sz w:val="16"/>
          <w:szCs w:val="16"/>
        </w:rPr>
        <w:t>2.4. Cement</w:t>
      </w:r>
    </w:p>
    <w:p w14:paraId="09A4136C" w14:textId="552014CE" w:rsidR="00C11DEF" w:rsidRPr="00FA7F06" w:rsidRDefault="00C11DEF" w:rsidP="00C11DEF">
      <w:pPr>
        <w:spacing w:after="0"/>
        <w:jc w:val="both"/>
        <w:rPr>
          <w:sz w:val="16"/>
          <w:szCs w:val="16"/>
        </w:rPr>
      </w:pPr>
      <w:r w:rsidRPr="00FA7F06">
        <w:rPr>
          <w:sz w:val="16"/>
          <w:szCs w:val="16"/>
        </w:rPr>
        <w:t>Cement stosowany do podsypki i wypełnienia spoin powinien być cementem portlandzkim klasy 32,5, odpowiadający wymaganiom PN-EN 197-1.</w:t>
      </w:r>
    </w:p>
    <w:p w14:paraId="21DABC76" w14:textId="77777777" w:rsidR="00C11DEF" w:rsidRPr="00FA7F06" w:rsidRDefault="00C11DEF" w:rsidP="00C11DEF">
      <w:pPr>
        <w:spacing w:after="0"/>
        <w:jc w:val="both"/>
        <w:rPr>
          <w:b/>
          <w:sz w:val="16"/>
          <w:szCs w:val="16"/>
        </w:rPr>
      </w:pPr>
      <w:r w:rsidRPr="00FA7F06">
        <w:rPr>
          <w:b/>
          <w:sz w:val="16"/>
          <w:szCs w:val="16"/>
        </w:rPr>
        <w:t>2.5. Kruszywo</w:t>
      </w:r>
    </w:p>
    <w:p w14:paraId="5F7CB370" w14:textId="7C8E16E8" w:rsidR="00C11DEF" w:rsidRPr="00FA7F06" w:rsidRDefault="00C11DEF" w:rsidP="00C11DEF">
      <w:pPr>
        <w:spacing w:after="0"/>
        <w:jc w:val="both"/>
        <w:rPr>
          <w:sz w:val="16"/>
          <w:szCs w:val="16"/>
        </w:rPr>
      </w:pPr>
      <w:r w:rsidRPr="00FA7F06">
        <w:rPr>
          <w:sz w:val="16"/>
          <w:szCs w:val="16"/>
        </w:rPr>
        <w:t>Kruszywo na podsypkę i do wypełniania spoin powinno odpowiadać wymaganiom normy PN-EN 13139.</w:t>
      </w:r>
    </w:p>
    <w:p w14:paraId="4DFCAED9" w14:textId="77777777" w:rsidR="00C11DEF" w:rsidRPr="00FA7F06" w:rsidRDefault="00C11DEF" w:rsidP="00C11DEF">
      <w:pPr>
        <w:spacing w:after="0"/>
        <w:jc w:val="both"/>
        <w:rPr>
          <w:sz w:val="16"/>
          <w:szCs w:val="16"/>
        </w:rPr>
      </w:pPr>
      <w:r w:rsidRPr="00FA7F06">
        <w:rPr>
          <w:sz w:val="16"/>
          <w:szCs w:val="16"/>
        </w:rPr>
        <w:t>Na podsypkę stosuje się mieszankę kruszywa naturalnego o frakcji od 0 do 8 mm, a do zaprawy cementowo-piaskowej o frakcji od 0 do 4 mm.</w:t>
      </w:r>
    </w:p>
    <w:p w14:paraId="71CC8888" w14:textId="77777777" w:rsidR="00C11DEF" w:rsidRPr="00FA7F06" w:rsidRDefault="00C11DEF" w:rsidP="00C11DEF">
      <w:pPr>
        <w:spacing w:after="0"/>
        <w:jc w:val="both"/>
        <w:rPr>
          <w:sz w:val="16"/>
          <w:szCs w:val="16"/>
        </w:rPr>
      </w:pPr>
      <w:r w:rsidRPr="00FA7F06">
        <w:rPr>
          <w:sz w:val="16"/>
          <w:szCs w:val="16"/>
        </w:rPr>
        <w:t>Zawartość pyłów w kruszywie na podsypkę cementowo-żwirową i do zaprawy cementowo-piaskowej nie może przekraczać 3%, a na podsypkę żwirową - 8%.</w:t>
      </w:r>
    </w:p>
    <w:p w14:paraId="4E9EB11B" w14:textId="77777777" w:rsidR="00C11DEF" w:rsidRPr="00FA7F06" w:rsidRDefault="00C11DEF" w:rsidP="00C11DEF">
      <w:pPr>
        <w:spacing w:after="0"/>
        <w:jc w:val="both"/>
        <w:rPr>
          <w:sz w:val="16"/>
          <w:szCs w:val="16"/>
        </w:rPr>
      </w:pPr>
      <w:r w:rsidRPr="00FA7F06">
        <w:rPr>
          <w:sz w:val="16"/>
          <w:szCs w:val="16"/>
        </w:rPr>
        <w:t>Kruszywo należy przechowywać w warunkach zabezpieczających je przed zanieczyszczeniem oraz zmieszaniem z kruszywami innych klas, gatunków, frakcji (grupy frakcji).</w:t>
      </w:r>
    </w:p>
    <w:p w14:paraId="38FD41A2" w14:textId="77777777" w:rsidR="00C11DEF" w:rsidRPr="00FA7F06" w:rsidRDefault="00C11DEF" w:rsidP="00C11DEF">
      <w:pPr>
        <w:spacing w:after="0"/>
        <w:jc w:val="both"/>
        <w:rPr>
          <w:sz w:val="16"/>
          <w:szCs w:val="16"/>
        </w:rPr>
      </w:pPr>
      <w:r w:rsidRPr="00FA7F06">
        <w:rPr>
          <w:sz w:val="16"/>
          <w:szCs w:val="16"/>
        </w:rPr>
        <w:t>Pozostałe wymagania i badania wg PN-B-06712 [7].</w:t>
      </w:r>
    </w:p>
    <w:p w14:paraId="66CBC21C" w14:textId="77777777" w:rsidR="00C11DEF" w:rsidRPr="00FA7F06" w:rsidRDefault="00C11DEF" w:rsidP="00C11DEF">
      <w:pPr>
        <w:spacing w:after="0"/>
        <w:jc w:val="both"/>
        <w:rPr>
          <w:b/>
          <w:sz w:val="16"/>
          <w:szCs w:val="16"/>
        </w:rPr>
      </w:pPr>
      <w:r w:rsidRPr="00FA7F06">
        <w:rPr>
          <w:b/>
          <w:sz w:val="16"/>
          <w:szCs w:val="16"/>
        </w:rPr>
        <w:t>2.6. Woda</w:t>
      </w:r>
    </w:p>
    <w:p w14:paraId="31E29958" w14:textId="6B1DEB19" w:rsidR="00C11DEF" w:rsidRPr="00FA7F06" w:rsidRDefault="00C11DEF" w:rsidP="00C11DEF">
      <w:pPr>
        <w:spacing w:after="0"/>
        <w:jc w:val="both"/>
        <w:rPr>
          <w:sz w:val="16"/>
          <w:szCs w:val="16"/>
        </w:rPr>
      </w:pPr>
      <w:r w:rsidRPr="00FA7F06">
        <w:rPr>
          <w:sz w:val="16"/>
          <w:szCs w:val="16"/>
        </w:rPr>
        <w:t>Woda stosowana do podsypki i zaprawy cementowo-piaskowej, powinna odpowiadać wymaganiom PN-EN 1008.</w:t>
      </w:r>
    </w:p>
    <w:p w14:paraId="5D219165" w14:textId="77777777" w:rsidR="00C11DEF" w:rsidRPr="00FA7F06" w:rsidRDefault="00C11DEF" w:rsidP="00C11DEF">
      <w:pPr>
        <w:spacing w:after="0"/>
        <w:jc w:val="both"/>
        <w:rPr>
          <w:sz w:val="16"/>
          <w:szCs w:val="16"/>
        </w:rPr>
      </w:pPr>
      <w:r w:rsidRPr="00FA7F06">
        <w:rPr>
          <w:sz w:val="16"/>
          <w:szCs w:val="16"/>
        </w:rPr>
        <w:t>Badania wody należy wykonywać:</w:t>
      </w:r>
    </w:p>
    <w:p w14:paraId="6BD3B405" w14:textId="77777777" w:rsidR="00C11DEF" w:rsidRPr="00FA7F06" w:rsidRDefault="00C11DEF" w:rsidP="00C11DEF">
      <w:pPr>
        <w:pStyle w:val="Akapitzlist"/>
        <w:numPr>
          <w:ilvl w:val="0"/>
          <w:numId w:val="227"/>
        </w:numPr>
        <w:spacing w:after="0"/>
        <w:jc w:val="both"/>
        <w:rPr>
          <w:sz w:val="16"/>
          <w:szCs w:val="16"/>
        </w:rPr>
      </w:pPr>
      <w:r w:rsidRPr="00FA7F06">
        <w:rPr>
          <w:sz w:val="16"/>
          <w:szCs w:val="16"/>
        </w:rPr>
        <w:t>w przypadku nowego źródła poboru wody,</w:t>
      </w:r>
    </w:p>
    <w:p w14:paraId="33AE05F9" w14:textId="77777777" w:rsidR="00C11DEF" w:rsidRPr="00FA7F06" w:rsidRDefault="00C11DEF" w:rsidP="00C11DEF">
      <w:pPr>
        <w:pStyle w:val="Akapitzlist"/>
        <w:numPr>
          <w:ilvl w:val="0"/>
          <w:numId w:val="227"/>
        </w:numPr>
        <w:spacing w:after="0"/>
        <w:jc w:val="both"/>
        <w:rPr>
          <w:sz w:val="16"/>
          <w:szCs w:val="16"/>
        </w:rPr>
      </w:pPr>
      <w:r w:rsidRPr="00FA7F06">
        <w:rPr>
          <w:sz w:val="16"/>
          <w:szCs w:val="16"/>
        </w:rPr>
        <w:t>w przypadku podejrzeń dotyczących zmiany parametrów wody, np. zmętnienia, zapachu, barwy.</w:t>
      </w:r>
    </w:p>
    <w:p w14:paraId="3627F980" w14:textId="77777777" w:rsidR="00C11DEF" w:rsidRPr="00FA7F06" w:rsidRDefault="00C11DEF" w:rsidP="00C11DEF">
      <w:pPr>
        <w:spacing w:after="0"/>
        <w:jc w:val="both"/>
        <w:rPr>
          <w:b/>
          <w:bCs/>
          <w:sz w:val="16"/>
          <w:szCs w:val="16"/>
        </w:rPr>
      </w:pPr>
      <w:r w:rsidRPr="00FA7F06">
        <w:rPr>
          <w:b/>
          <w:bCs/>
          <w:sz w:val="16"/>
          <w:szCs w:val="16"/>
        </w:rPr>
        <w:t>2.7. Masa zalewowa</w:t>
      </w:r>
    </w:p>
    <w:p w14:paraId="369B6763" w14:textId="77777777" w:rsidR="00C11DEF" w:rsidRPr="00FA7F06" w:rsidRDefault="00C11DEF" w:rsidP="00C11DEF">
      <w:pPr>
        <w:spacing w:after="0"/>
        <w:jc w:val="both"/>
        <w:rPr>
          <w:sz w:val="16"/>
          <w:szCs w:val="16"/>
        </w:rPr>
      </w:pPr>
      <w:r w:rsidRPr="00FA7F06">
        <w:rPr>
          <w:sz w:val="16"/>
          <w:szCs w:val="16"/>
        </w:rPr>
        <w:t>Masa zalewowa do wypełniania spoin i szczelin dylatacyjnych w nawierzchniach z kostki kamiennej powinna być stosowana na gorąco i odpowiadać wymaganiom normy BN-74/6771-04 [14] lub aprobaty technicznej.</w:t>
      </w:r>
    </w:p>
    <w:p w14:paraId="02DA0A2D" w14:textId="77777777" w:rsidR="00C11DEF" w:rsidRPr="00FA7F06" w:rsidRDefault="00C11DEF" w:rsidP="00C11DEF">
      <w:pPr>
        <w:spacing w:after="0"/>
        <w:jc w:val="both"/>
        <w:rPr>
          <w:sz w:val="16"/>
          <w:szCs w:val="16"/>
        </w:rPr>
      </w:pPr>
    </w:p>
    <w:p w14:paraId="01C4FF39" w14:textId="77777777" w:rsidR="00C11DEF" w:rsidRPr="00FA7F06" w:rsidRDefault="00C11DEF" w:rsidP="00C11DEF">
      <w:pPr>
        <w:spacing w:after="0"/>
        <w:jc w:val="both"/>
        <w:rPr>
          <w:b/>
          <w:sz w:val="16"/>
          <w:szCs w:val="16"/>
        </w:rPr>
      </w:pPr>
      <w:r w:rsidRPr="00FA7F06">
        <w:rPr>
          <w:b/>
          <w:sz w:val="16"/>
          <w:szCs w:val="16"/>
        </w:rPr>
        <w:t>3. SPRZĘT</w:t>
      </w:r>
    </w:p>
    <w:p w14:paraId="7D7FDAE3" w14:textId="77777777" w:rsidR="00C11DEF" w:rsidRPr="00FA7F06" w:rsidRDefault="00C11DEF" w:rsidP="00C11DEF">
      <w:pPr>
        <w:spacing w:after="0"/>
        <w:jc w:val="both"/>
        <w:rPr>
          <w:b/>
          <w:sz w:val="16"/>
          <w:szCs w:val="16"/>
        </w:rPr>
      </w:pPr>
      <w:r w:rsidRPr="00FA7F06">
        <w:rPr>
          <w:b/>
          <w:sz w:val="16"/>
          <w:szCs w:val="16"/>
        </w:rPr>
        <w:t>3.1. Ogólne wymagania dotyczące sprzętu</w:t>
      </w:r>
    </w:p>
    <w:p w14:paraId="2CFD3B9C" w14:textId="77777777" w:rsidR="00C11DEF" w:rsidRPr="00FA7F06" w:rsidRDefault="00C11DEF" w:rsidP="00C11DEF">
      <w:pPr>
        <w:spacing w:after="0"/>
        <w:jc w:val="both"/>
        <w:rPr>
          <w:sz w:val="16"/>
          <w:szCs w:val="16"/>
        </w:rPr>
      </w:pPr>
      <w:r w:rsidRPr="00FA7F06">
        <w:rPr>
          <w:sz w:val="16"/>
          <w:szCs w:val="16"/>
        </w:rPr>
        <w:t xml:space="preserve">Ogólne wymagania dotyczące sprzętu podano w </w:t>
      </w:r>
      <w:proofErr w:type="spellStart"/>
      <w:r w:rsidRPr="00FA7F06">
        <w:rPr>
          <w:sz w:val="16"/>
          <w:szCs w:val="16"/>
        </w:rPr>
        <w:t>STWiORB</w:t>
      </w:r>
      <w:proofErr w:type="spellEnd"/>
      <w:r w:rsidRPr="00FA7F06">
        <w:rPr>
          <w:sz w:val="16"/>
          <w:szCs w:val="16"/>
        </w:rPr>
        <w:t xml:space="preserve"> D-M-00.00.00 „Wymagania ogólne” pkt 3.</w:t>
      </w:r>
    </w:p>
    <w:p w14:paraId="09E49954" w14:textId="77777777" w:rsidR="00C11DEF" w:rsidRPr="00FA7F06" w:rsidRDefault="00C11DEF" w:rsidP="00C11DEF">
      <w:pPr>
        <w:spacing w:after="0"/>
        <w:jc w:val="both"/>
        <w:rPr>
          <w:b/>
          <w:sz w:val="16"/>
          <w:szCs w:val="16"/>
        </w:rPr>
      </w:pPr>
      <w:r w:rsidRPr="00FA7F06">
        <w:rPr>
          <w:b/>
          <w:sz w:val="16"/>
          <w:szCs w:val="16"/>
        </w:rPr>
        <w:t>3.2. Sprzęt do wykonania nawierzchni z kostki kamiennej</w:t>
      </w:r>
    </w:p>
    <w:p w14:paraId="21DAF433" w14:textId="77777777" w:rsidR="00C11DEF" w:rsidRPr="00FA7F06" w:rsidRDefault="00C11DEF" w:rsidP="00C11DEF">
      <w:pPr>
        <w:spacing w:after="0"/>
        <w:jc w:val="both"/>
        <w:rPr>
          <w:sz w:val="16"/>
          <w:szCs w:val="16"/>
        </w:rPr>
      </w:pPr>
      <w:r w:rsidRPr="00FA7F06">
        <w:rPr>
          <w:sz w:val="16"/>
          <w:szCs w:val="16"/>
        </w:rPr>
        <w:t>Wykonawca przystępujący do wykonania nawierzchni z kostek kamiennych powinien wykazać się możliwością korzystania z następującego sprzętu:</w:t>
      </w:r>
    </w:p>
    <w:p w14:paraId="67D70358" w14:textId="77777777" w:rsidR="00C11DEF" w:rsidRPr="00FA7F06" w:rsidRDefault="00C11DEF" w:rsidP="00C11DEF">
      <w:pPr>
        <w:pStyle w:val="Akapitzlist"/>
        <w:numPr>
          <w:ilvl w:val="0"/>
          <w:numId w:val="228"/>
        </w:numPr>
        <w:spacing w:after="0"/>
        <w:jc w:val="both"/>
        <w:rPr>
          <w:sz w:val="16"/>
          <w:szCs w:val="16"/>
        </w:rPr>
      </w:pPr>
      <w:r w:rsidRPr="00FA7F06">
        <w:rPr>
          <w:sz w:val="16"/>
          <w:szCs w:val="16"/>
        </w:rPr>
        <w:t>betoniarki, do wytwarzania betonu i zapraw oraz przygotowywania podsypki cementowo-piaskowej,</w:t>
      </w:r>
    </w:p>
    <w:p w14:paraId="3EA8375D" w14:textId="77777777" w:rsidR="00C11DEF" w:rsidRPr="00FA7F06" w:rsidRDefault="00C11DEF" w:rsidP="00C11DEF">
      <w:pPr>
        <w:pStyle w:val="Akapitzlist"/>
        <w:numPr>
          <w:ilvl w:val="0"/>
          <w:numId w:val="228"/>
        </w:numPr>
        <w:spacing w:after="0"/>
        <w:jc w:val="both"/>
        <w:rPr>
          <w:sz w:val="16"/>
          <w:szCs w:val="16"/>
        </w:rPr>
      </w:pPr>
      <w:r w:rsidRPr="00FA7F06">
        <w:rPr>
          <w:sz w:val="16"/>
          <w:szCs w:val="16"/>
        </w:rPr>
        <w:t>ubijaków ręcznych i mechanicznych, do ubijania kostki,</w:t>
      </w:r>
    </w:p>
    <w:p w14:paraId="5660AFF1" w14:textId="77777777" w:rsidR="00C11DEF" w:rsidRPr="00FA7F06" w:rsidRDefault="00C11DEF" w:rsidP="00C11DEF">
      <w:pPr>
        <w:pStyle w:val="Akapitzlist"/>
        <w:numPr>
          <w:ilvl w:val="0"/>
          <w:numId w:val="228"/>
        </w:numPr>
        <w:spacing w:after="0"/>
        <w:jc w:val="both"/>
        <w:rPr>
          <w:sz w:val="16"/>
          <w:szCs w:val="16"/>
        </w:rPr>
      </w:pPr>
      <w:r w:rsidRPr="00FA7F06">
        <w:rPr>
          <w:sz w:val="16"/>
          <w:szCs w:val="16"/>
        </w:rPr>
        <w:t>wibratorów płytowych i lekkich walców wibracyjnych, do ubijania kostki po pierwszym ubiciu ręcznym.</w:t>
      </w:r>
    </w:p>
    <w:p w14:paraId="564AA37D" w14:textId="77777777" w:rsidR="00C11DEF" w:rsidRPr="00FA7F06" w:rsidRDefault="00C11DEF" w:rsidP="00C11DEF">
      <w:pPr>
        <w:spacing w:after="0"/>
        <w:jc w:val="both"/>
        <w:rPr>
          <w:sz w:val="16"/>
          <w:szCs w:val="16"/>
        </w:rPr>
      </w:pPr>
    </w:p>
    <w:p w14:paraId="086EE4AE" w14:textId="77777777" w:rsidR="00C11DEF" w:rsidRPr="00FA7F06" w:rsidRDefault="00C11DEF" w:rsidP="00C11DEF">
      <w:pPr>
        <w:spacing w:after="0"/>
        <w:jc w:val="both"/>
        <w:rPr>
          <w:b/>
          <w:sz w:val="16"/>
          <w:szCs w:val="16"/>
        </w:rPr>
      </w:pPr>
      <w:r w:rsidRPr="00FA7F06">
        <w:rPr>
          <w:b/>
          <w:sz w:val="16"/>
          <w:szCs w:val="16"/>
        </w:rPr>
        <w:t>4. TRANSPORT</w:t>
      </w:r>
    </w:p>
    <w:p w14:paraId="21479AC4" w14:textId="77777777" w:rsidR="00C11DEF" w:rsidRPr="00FA7F06" w:rsidRDefault="00C11DEF" w:rsidP="00C11DEF">
      <w:pPr>
        <w:spacing w:after="0"/>
        <w:jc w:val="both"/>
        <w:rPr>
          <w:b/>
          <w:sz w:val="16"/>
          <w:szCs w:val="16"/>
        </w:rPr>
      </w:pPr>
      <w:r w:rsidRPr="00FA7F06">
        <w:rPr>
          <w:b/>
          <w:sz w:val="16"/>
          <w:szCs w:val="16"/>
        </w:rPr>
        <w:t>4.1. Ogólne wymagania dotyczące transportu</w:t>
      </w:r>
    </w:p>
    <w:p w14:paraId="5309037B" w14:textId="77777777" w:rsidR="00C11DEF" w:rsidRPr="00FA7F06" w:rsidRDefault="00C11DEF" w:rsidP="00C11DEF">
      <w:pPr>
        <w:spacing w:after="0"/>
        <w:jc w:val="both"/>
        <w:rPr>
          <w:sz w:val="16"/>
          <w:szCs w:val="16"/>
        </w:rPr>
      </w:pPr>
      <w:r w:rsidRPr="00FA7F06">
        <w:rPr>
          <w:sz w:val="16"/>
          <w:szCs w:val="16"/>
        </w:rPr>
        <w:t xml:space="preserve">Ogólne wymagania dotyczące transportu podano w </w:t>
      </w:r>
      <w:proofErr w:type="spellStart"/>
      <w:r w:rsidRPr="00FA7F06">
        <w:rPr>
          <w:sz w:val="16"/>
          <w:szCs w:val="16"/>
        </w:rPr>
        <w:t>STWiORB</w:t>
      </w:r>
      <w:proofErr w:type="spellEnd"/>
      <w:r w:rsidRPr="00FA7F06">
        <w:rPr>
          <w:sz w:val="16"/>
          <w:szCs w:val="16"/>
        </w:rPr>
        <w:t xml:space="preserve"> D-M-00.00.00 „Wymagania ogólne” pkt 4.</w:t>
      </w:r>
    </w:p>
    <w:p w14:paraId="1BD75AF4" w14:textId="77777777" w:rsidR="00C11DEF" w:rsidRPr="00FA7F06" w:rsidRDefault="00C11DEF" w:rsidP="00C11DEF">
      <w:pPr>
        <w:spacing w:after="0"/>
        <w:jc w:val="both"/>
        <w:rPr>
          <w:b/>
          <w:sz w:val="16"/>
          <w:szCs w:val="16"/>
        </w:rPr>
      </w:pPr>
      <w:r w:rsidRPr="00FA7F06">
        <w:rPr>
          <w:b/>
          <w:sz w:val="16"/>
          <w:szCs w:val="16"/>
        </w:rPr>
        <w:t>4.2. Transport materiałów</w:t>
      </w:r>
    </w:p>
    <w:p w14:paraId="2FC9113E" w14:textId="77777777" w:rsidR="00C11DEF" w:rsidRPr="00FA7F06" w:rsidRDefault="00C11DEF" w:rsidP="00C11DEF">
      <w:pPr>
        <w:spacing w:after="0"/>
        <w:jc w:val="both"/>
        <w:rPr>
          <w:sz w:val="16"/>
          <w:szCs w:val="16"/>
        </w:rPr>
      </w:pPr>
      <w:r w:rsidRPr="00FA7F06">
        <w:rPr>
          <w:sz w:val="16"/>
          <w:szCs w:val="16"/>
        </w:rPr>
        <w:t>4.2.1. Transport kostek kamiennych</w:t>
      </w:r>
    </w:p>
    <w:p w14:paraId="4FA73FC1" w14:textId="77777777" w:rsidR="00C11DEF" w:rsidRPr="00FA7F06" w:rsidRDefault="00C11DEF" w:rsidP="00C11DEF">
      <w:pPr>
        <w:spacing w:after="0"/>
        <w:jc w:val="both"/>
        <w:rPr>
          <w:sz w:val="16"/>
          <w:szCs w:val="16"/>
        </w:rPr>
      </w:pPr>
      <w:r w:rsidRPr="00FA7F06">
        <w:rPr>
          <w:sz w:val="16"/>
          <w:szCs w:val="16"/>
        </w:rPr>
        <w:t>Kostki kamienne przewozi się dowolnymi środkami transportowymi.</w:t>
      </w:r>
    </w:p>
    <w:p w14:paraId="5E45ACD9" w14:textId="77777777" w:rsidR="00C11DEF" w:rsidRPr="00FA7F06" w:rsidRDefault="00C11DEF" w:rsidP="00C11DEF">
      <w:pPr>
        <w:spacing w:after="0"/>
        <w:jc w:val="both"/>
        <w:rPr>
          <w:sz w:val="16"/>
          <w:szCs w:val="16"/>
        </w:rPr>
      </w:pPr>
      <w:r w:rsidRPr="00FA7F06">
        <w:rPr>
          <w:sz w:val="16"/>
          <w:szCs w:val="16"/>
        </w:rPr>
        <w:t>Kostkę regularną i rzędową należy układać na podłodze obok siebie tak, aby wypełniła całą powierzchnię środka transportowego. Na tak ułożonej warstwie należy bezpośrednio układać następne warstwy.</w:t>
      </w:r>
    </w:p>
    <w:p w14:paraId="3204E397" w14:textId="77777777" w:rsidR="00C11DEF" w:rsidRPr="00FA7F06" w:rsidRDefault="00C11DEF" w:rsidP="00C11DEF">
      <w:pPr>
        <w:spacing w:after="0"/>
        <w:jc w:val="both"/>
        <w:rPr>
          <w:sz w:val="16"/>
          <w:szCs w:val="16"/>
        </w:rPr>
      </w:pPr>
      <w:r w:rsidRPr="00FA7F06">
        <w:rPr>
          <w:sz w:val="16"/>
          <w:szCs w:val="16"/>
        </w:rPr>
        <w:t>Kostkę nieregularną przewozi się luźno usypaną. Ładowanie ręczne kostek regularnych i rzędowych powinno być wykonywane bez rzucania. Przy użyciu przenośników taśmowych, kostki regularne i rzędowe powinny być podawane i odbierane ręcznie.</w:t>
      </w:r>
    </w:p>
    <w:p w14:paraId="009BDAC5" w14:textId="77777777" w:rsidR="00C11DEF" w:rsidRPr="00FA7F06" w:rsidRDefault="00C11DEF" w:rsidP="00C11DEF">
      <w:pPr>
        <w:spacing w:after="0"/>
        <w:jc w:val="both"/>
        <w:rPr>
          <w:sz w:val="16"/>
          <w:szCs w:val="16"/>
        </w:rPr>
      </w:pPr>
      <w:r w:rsidRPr="00FA7F06">
        <w:rPr>
          <w:sz w:val="16"/>
          <w:szCs w:val="16"/>
        </w:rPr>
        <w:t>Kostkę regularną i rzędową należy ustawiać w stosy. Kostkę nieregularną można składować w pryzmach.</w:t>
      </w:r>
    </w:p>
    <w:p w14:paraId="762472E8" w14:textId="77777777" w:rsidR="00C11DEF" w:rsidRPr="00FA7F06" w:rsidRDefault="00C11DEF" w:rsidP="00C11DEF">
      <w:pPr>
        <w:spacing w:after="0"/>
        <w:jc w:val="both"/>
        <w:rPr>
          <w:sz w:val="16"/>
          <w:szCs w:val="16"/>
        </w:rPr>
      </w:pPr>
      <w:r w:rsidRPr="00FA7F06">
        <w:rPr>
          <w:sz w:val="16"/>
          <w:szCs w:val="16"/>
        </w:rPr>
        <w:t>Wysokość stosu lub pryzm nie powinna przekraczać 1 m.</w:t>
      </w:r>
    </w:p>
    <w:p w14:paraId="6F592916" w14:textId="77777777" w:rsidR="00C11DEF" w:rsidRPr="00FA7F06" w:rsidRDefault="00C11DEF" w:rsidP="00C11DEF">
      <w:pPr>
        <w:spacing w:after="0"/>
        <w:jc w:val="both"/>
        <w:rPr>
          <w:sz w:val="16"/>
          <w:szCs w:val="16"/>
        </w:rPr>
      </w:pPr>
      <w:r w:rsidRPr="00FA7F06">
        <w:rPr>
          <w:sz w:val="16"/>
          <w:szCs w:val="16"/>
        </w:rPr>
        <w:t>4.2.2. Transport kruszywa</w:t>
      </w:r>
    </w:p>
    <w:p w14:paraId="4A8A31A5" w14:textId="71307786" w:rsidR="00C11DEF" w:rsidRPr="00FA7F06" w:rsidRDefault="00C11DEF" w:rsidP="00C11DEF">
      <w:pPr>
        <w:spacing w:after="0"/>
        <w:jc w:val="both"/>
        <w:rPr>
          <w:sz w:val="16"/>
          <w:szCs w:val="16"/>
        </w:rPr>
      </w:pPr>
      <w:r w:rsidRPr="00FA7F06">
        <w:rPr>
          <w:sz w:val="16"/>
          <w:szCs w:val="16"/>
        </w:rPr>
        <w:t>Kruszywo można przewozić dowolnymi środkami transportowymi w warunkach zabezpieczających je przed rozsypywaniem</w:t>
      </w:r>
      <w:r w:rsidRPr="00FA7F06">
        <w:rPr>
          <w:sz w:val="16"/>
          <w:szCs w:val="16"/>
        </w:rPr>
        <w:br/>
        <w:t>i zanieczyszczeniem.</w:t>
      </w:r>
    </w:p>
    <w:p w14:paraId="27958CB0" w14:textId="77777777" w:rsidR="00C11DEF" w:rsidRPr="00FA7F06" w:rsidRDefault="00C11DEF" w:rsidP="00C11DEF">
      <w:pPr>
        <w:spacing w:after="0"/>
        <w:jc w:val="both"/>
        <w:rPr>
          <w:sz w:val="16"/>
          <w:szCs w:val="16"/>
        </w:rPr>
      </w:pPr>
    </w:p>
    <w:p w14:paraId="2F42F2F0" w14:textId="77777777" w:rsidR="00C11DEF" w:rsidRPr="00FA7F06" w:rsidRDefault="00C11DEF" w:rsidP="00C11DEF">
      <w:pPr>
        <w:spacing w:after="0"/>
        <w:jc w:val="both"/>
        <w:rPr>
          <w:b/>
          <w:sz w:val="16"/>
          <w:szCs w:val="16"/>
        </w:rPr>
      </w:pPr>
      <w:r w:rsidRPr="00FA7F06">
        <w:rPr>
          <w:b/>
          <w:sz w:val="16"/>
          <w:szCs w:val="16"/>
        </w:rPr>
        <w:t>5. WYKONANIE ROBÓT</w:t>
      </w:r>
    </w:p>
    <w:p w14:paraId="366EA11A" w14:textId="77777777" w:rsidR="00C11DEF" w:rsidRPr="00FA7F06" w:rsidRDefault="00C11DEF" w:rsidP="00C11DEF">
      <w:pPr>
        <w:spacing w:after="0"/>
        <w:jc w:val="both"/>
        <w:rPr>
          <w:b/>
          <w:sz w:val="16"/>
          <w:szCs w:val="16"/>
        </w:rPr>
      </w:pPr>
      <w:r w:rsidRPr="00FA7F06">
        <w:rPr>
          <w:b/>
          <w:sz w:val="16"/>
          <w:szCs w:val="16"/>
        </w:rPr>
        <w:t>5.1. Ogólne zasady wykonania robót</w:t>
      </w:r>
    </w:p>
    <w:p w14:paraId="4D2739F6" w14:textId="77777777" w:rsidR="00C11DEF" w:rsidRPr="00FA7F06" w:rsidRDefault="00C11DEF" w:rsidP="00C11DEF">
      <w:pPr>
        <w:spacing w:after="0"/>
        <w:jc w:val="both"/>
        <w:rPr>
          <w:sz w:val="16"/>
          <w:szCs w:val="16"/>
        </w:rPr>
      </w:pPr>
      <w:r w:rsidRPr="00FA7F06">
        <w:rPr>
          <w:sz w:val="16"/>
          <w:szCs w:val="16"/>
        </w:rPr>
        <w:t xml:space="preserve">Ogólne zasady wykonania robót podano w </w:t>
      </w:r>
      <w:proofErr w:type="spellStart"/>
      <w:r w:rsidRPr="00FA7F06">
        <w:rPr>
          <w:sz w:val="16"/>
          <w:szCs w:val="16"/>
        </w:rPr>
        <w:t>STWiORB</w:t>
      </w:r>
      <w:proofErr w:type="spellEnd"/>
      <w:r w:rsidRPr="00FA7F06">
        <w:rPr>
          <w:sz w:val="16"/>
          <w:szCs w:val="16"/>
        </w:rPr>
        <w:t xml:space="preserve"> D-M-00.00.00 „Wymagania ogólne” pkt 5.</w:t>
      </w:r>
    </w:p>
    <w:p w14:paraId="74E77233" w14:textId="77777777" w:rsidR="00C11DEF" w:rsidRPr="00FA7F06" w:rsidRDefault="00C11DEF" w:rsidP="00C11DEF">
      <w:pPr>
        <w:spacing w:after="0"/>
        <w:jc w:val="both"/>
        <w:rPr>
          <w:b/>
          <w:sz w:val="16"/>
          <w:szCs w:val="16"/>
        </w:rPr>
      </w:pPr>
      <w:r w:rsidRPr="00FA7F06">
        <w:rPr>
          <w:b/>
          <w:sz w:val="16"/>
          <w:szCs w:val="16"/>
        </w:rPr>
        <w:t>5.2. Przygotowanie podbudowy</w:t>
      </w:r>
    </w:p>
    <w:p w14:paraId="6E14F494" w14:textId="77777777" w:rsidR="00C11DEF" w:rsidRPr="00FA7F06" w:rsidRDefault="00C11DEF" w:rsidP="00C11DEF">
      <w:pPr>
        <w:spacing w:after="0"/>
        <w:jc w:val="both"/>
        <w:rPr>
          <w:sz w:val="16"/>
          <w:szCs w:val="16"/>
        </w:rPr>
      </w:pPr>
      <w:r w:rsidRPr="00FA7F06">
        <w:rPr>
          <w:sz w:val="16"/>
          <w:szCs w:val="16"/>
        </w:rPr>
        <w:t xml:space="preserve">Jeżeli w dokumentacji projektowej lub </w:t>
      </w:r>
      <w:proofErr w:type="spellStart"/>
      <w:r w:rsidRPr="00FA7F06">
        <w:rPr>
          <w:sz w:val="16"/>
          <w:szCs w:val="16"/>
        </w:rPr>
        <w:t>STWiORB</w:t>
      </w:r>
      <w:proofErr w:type="spellEnd"/>
      <w:r w:rsidRPr="00FA7F06">
        <w:rPr>
          <w:sz w:val="16"/>
          <w:szCs w:val="16"/>
        </w:rPr>
        <w:t xml:space="preserve"> przewidziano wykonanie nawierzchni z kostki kamiennej na podbudowie np. z chudego betonu, gruntu stabilizowanego cementem, tłucznia itp. to warunki wykonania podbudowy powinny odpowiadać wymaganiom zawartym w odpowiednich </w:t>
      </w:r>
      <w:proofErr w:type="spellStart"/>
      <w:r w:rsidRPr="00FA7F06">
        <w:rPr>
          <w:sz w:val="16"/>
          <w:szCs w:val="16"/>
        </w:rPr>
        <w:t>STWiORB</w:t>
      </w:r>
      <w:proofErr w:type="spellEnd"/>
      <w:r w:rsidRPr="00FA7F06">
        <w:rPr>
          <w:sz w:val="16"/>
          <w:szCs w:val="16"/>
        </w:rPr>
        <w:t>:</w:t>
      </w:r>
    </w:p>
    <w:p w14:paraId="34F7BAE4" w14:textId="77777777" w:rsidR="00C11DEF" w:rsidRPr="00FA7F06" w:rsidRDefault="00C11DEF" w:rsidP="00C11DEF">
      <w:pPr>
        <w:spacing w:after="0"/>
        <w:jc w:val="both"/>
        <w:rPr>
          <w:sz w:val="16"/>
          <w:szCs w:val="16"/>
        </w:rPr>
      </w:pPr>
      <w:r w:rsidRPr="00FA7F06">
        <w:rPr>
          <w:sz w:val="16"/>
          <w:szCs w:val="16"/>
        </w:rPr>
        <w:t>D-04.06.01 Podbudowa z chudego betonu,</w:t>
      </w:r>
    </w:p>
    <w:p w14:paraId="1EC990AD" w14:textId="77777777" w:rsidR="00C11DEF" w:rsidRPr="00FA7F06" w:rsidRDefault="00C11DEF" w:rsidP="00C11DEF">
      <w:pPr>
        <w:spacing w:after="0"/>
        <w:jc w:val="both"/>
        <w:rPr>
          <w:sz w:val="16"/>
          <w:szCs w:val="16"/>
        </w:rPr>
      </w:pPr>
      <w:r w:rsidRPr="00FA7F06">
        <w:rPr>
          <w:sz w:val="16"/>
          <w:szCs w:val="16"/>
        </w:rPr>
        <w:t>D-04.05.01 Podbudowa z gruntu lub kruszywa stabilizowanego cementem,</w:t>
      </w:r>
    </w:p>
    <w:p w14:paraId="35BFFA24" w14:textId="77777777" w:rsidR="00C11DEF" w:rsidRPr="00FA7F06" w:rsidRDefault="00C11DEF" w:rsidP="00C11DEF">
      <w:pPr>
        <w:spacing w:after="0"/>
        <w:jc w:val="both"/>
        <w:rPr>
          <w:sz w:val="16"/>
          <w:szCs w:val="16"/>
        </w:rPr>
      </w:pPr>
      <w:r w:rsidRPr="00FA7F06">
        <w:rPr>
          <w:sz w:val="16"/>
          <w:szCs w:val="16"/>
        </w:rPr>
        <w:lastRenderedPageBreak/>
        <w:t>D-04.04.04 Podbudowa z tłucznia kamiennego.</w:t>
      </w:r>
    </w:p>
    <w:p w14:paraId="20EC00E2" w14:textId="77777777" w:rsidR="00C11DEF" w:rsidRPr="00FA7F06" w:rsidRDefault="00C11DEF" w:rsidP="00C11DEF">
      <w:pPr>
        <w:spacing w:after="0"/>
        <w:jc w:val="both"/>
        <w:rPr>
          <w:b/>
          <w:sz w:val="16"/>
          <w:szCs w:val="16"/>
        </w:rPr>
      </w:pPr>
      <w:r w:rsidRPr="00FA7F06">
        <w:rPr>
          <w:b/>
          <w:sz w:val="16"/>
          <w:szCs w:val="16"/>
        </w:rPr>
        <w:t>5.3. Obramowanie nawierzchni</w:t>
      </w:r>
    </w:p>
    <w:p w14:paraId="18EAB4B9" w14:textId="77777777" w:rsidR="00C11DEF" w:rsidRPr="00FA7F06" w:rsidRDefault="00C11DEF" w:rsidP="00C11DEF">
      <w:pPr>
        <w:spacing w:after="0"/>
        <w:jc w:val="both"/>
        <w:rPr>
          <w:sz w:val="16"/>
          <w:szCs w:val="16"/>
        </w:rPr>
      </w:pPr>
      <w:r w:rsidRPr="00FA7F06">
        <w:rPr>
          <w:sz w:val="16"/>
          <w:szCs w:val="16"/>
        </w:rPr>
        <w:t>Do obramowania nawierzchni kostkowych stosuje się krawężniki betonowe uliczne, betonowe drogowe i kamienne drogowe, odpowiadające wymaganiom norm wymienionych w pkt 2.3.</w:t>
      </w:r>
    </w:p>
    <w:p w14:paraId="7F23CFC8" w14:textId="77777777" w:rsidR="00C11DEF" w:rsidRPr="00FA7F06" w:rsidRDefault="00C11DEF" w:rsidP="00C11DEF">
      <w:pPr>
        <w:spacing w:after="0"/>
        <w:jc w:val="both"/>
        <w:rPr>
          <w:sz w:val="16"/>
          <w:szCs w:val="16"/>
        </w:rPr>
      </w:pPr>
      <w:r w:rsidRPr="00FA7F06">
        <w:rPr>
          <w:sz w:val="16"/>
          <w:szCs w:val="16"/>
        </w:rPr>
        <w:t xml:space="preserve">Rodzaj obramowania nawierzchni powinien być zgodny z dokumentacją projektową, </w:t>
      </w:r>
      <w:proofErr w:type="spellStart"/>
      <w:r w:rsidRPr="00FA7F06">
        <w:rPr>
          <w:sz w:val="16"/>
          <w:szCs w:val="16"/>
        </w:rPr>
        <w:t>STWiORB</w:t>
      </w:r>
      <w:proofErr w:type="spellEnd"/>
      <w:r w:rsidRPr="00FA7F06">
        <w:rPr>
          <w:sz w:val="16"/>
          <w:szCs w:val="16"/>
        </w:rPr>
        <w:t xml:space="preserve"> lub wskazaniami Inżyniera.</w:t>
      </w:r>
    </w:p>
    <w:p w14:paraId="1BE71CCD" w14:textId="77777777" w:rsidR="00C11DEF" w:rsidRPr="00FA7F06" w:rsidRDefault="00C11DEF" w:rsidP="00C11DEF">
      <w:pPr>
        <w:spacing w:after="0"/>
        <w:jc w:val="both"/>
        <w:rPr>
          <w:sz w:val="16"/>
          <w:szCs w:val="16"/>
        </w:rPr>
      </w:pPr>
      <w:r w:rsidRPr="00FA7F06">
        <w:rPr>
          <w:sz w:val="16"/>
          <w:szCs w:val="16"/>
        </w:rPr>
        <w:t xml:space="preserve">Ustawienie krawężników powinno być zgodne z wymaganiami zawartymi w </w:t>
      </w:r>
      <w:proofErr w:type="spellStart"/>
      <w:r w:rsidRPr="00FA7F06">
        <w:rPr>
          <w:sz w:val="16"/>
          <w:szCs w:val="16"/>
        </w:rPr>
        <w:t>STWiORB</w:t>
      </w:r>
      <w:proofErr w:type="spellEnd"/>
      <w:r w:rsidRPr="00FA7F06">
        <w:rPr>
          <w:sz w:val="16"/>
          <w:szCs w:val="16"/>
        </w:rPr>
        <w:t xml:space="preserve"> D-08.01.01 „Krawężniki betonowe” lub </w:t>
      </w:r>
      <w:proofErr w:type="spellStart"/>
      <w:r w:rsidRPr="00FA7F06">
        <w:rPr>
          <w:sz w:val="16"/>
          <w:szCs w:val="16"/>
        </w:rPr>
        <w:t>STWiORB</w:t>
      </w:r>
      <w:proofErr w:type="spellEnd"/>
      <w:r w:rsidRPr="00FA7F06">
        <w:rPr>
          <w:sz w:val="16"/>
          <w:szCs w:val="16"/>
        </w:rPr>
        <w:t xml:space="preserve"> D-08.01.02 „Krawężniki kamienne”.</w:t>
      </w:r>
    </w:p>
    <w:p w14:paraId="0C48A2BE" w14:textId="77777777" w:rsidR="00C11DEF" w:rsidRPr="00FA7F06" w:rsidRDefault="00C11DEF" w:rsidP="00C11DEF">
      <w:pPr>
        <w:spacing w:after="0"/>
        <w:jc w:val="both"/>
        <w:rPr>
          <w:b/>
          <w:sz w:val="16"/>
          <w:szCs w:val="16"/>
        </w:rPr>
      </w:pPr>
      <w:r w:rsidRPr="00FA7F06">
        <w:rPr>
          <w:b/>
          <w:sz w:val="16"/>
          <w:szCs w:val="16"/>
        </w:rPr>
        <w:t>5.4. Podsypka</w:t>
      </w:r>
    </w:p>
    <w:p w14:paraId="59980453" w14:textId="77777777" w:rsidR="00C11DEF" w:rsidRPr="00FA7F06" w:rsidRDefault="00C11DEF" w:rsidP="00C11DEF">
      <w:pPr>
        <w:spacing w:after="0"/>
        <w:jc w:val="both"/>
        <w:rPr>
          <w:sz w:val="16"/>
          <w:szCs w:val="16"/>
        </w:rPr>
      </w:pPr>
      <w:r w:rsidRPr="00FA7F06">
        <w:rPr>
          <w:sz w:val="16"/>
          <w:szCs w:val="16"/>
        </w:rPr>
        <w:t>Do wykonania nawierzchni z kostki kamiennej można stosować jeden z następujących rodzajów podsypki:</w:t>
      </w:r>
    </w:p>
    <w:p w14:paraId="37EAD1EC" w14:textId="77777777" w:rsidR="00C11DEF" w:rsidRPr="00FA7F06" w:rsidRDefault="00C11DEF" w:rsidP="00C11DEF">
      <w:pPr>
        <w:pStyle w:val="Akapitzlist"/>
        <w:numPr>
          <w:ilvl w:val="0"/>
          <w:numId w:val="229"/>
        </w:numPr>
        <w:spacing w:after="0"/>
        <w:jc w:val="both"/>
        <w:rPr>
          <w:sz w:val="16"/>
          <w:szCs w:val="16"/>
        </w:rPr>
      </w:pPr>
      <w:r w:rsidRPr="00FA7F06">
        <w:rPr>
          <w:sz w:val="16"/>
          <w:szCs w:val="16"/>
        </w:rPr>
        <w:t>podsypka cementowo-żwirowa, cementowo-piaskowa,</w:t>
      </w:r>
    </w:p>
    <w:p w14:paraId="4684288B" w14:textId="77777777" w:rsidR="00C11DEF" w:rsidRPr="00FA7F06" w:rsidRDefault="00C11DEF" w:rsidP="00C11DEF">
      <w:pPr>
        <w:pStyle w:val="Akapitzlist"/>
        <w:numPr>
          <w:ilvl w:val="0"/>
          <w:numId w:val="229"/>
        </w:numPr>
        <w:spacing w:after="0"/>
        <w:jc w:val="both"/>
        <w:rPr>
          <w:sz w:val="16"/>
          <w:szCs w:val="16"/>
        </w:rPr>
      </w:pPr>
      <w:r w:rsidRPr="00FA7F06">
        <w:rPr>
          <w:sz w:val="16"/>
          <w:szCs w:val="16"/>
        </w:rPr>
        <w:t>podsypka bitumiczno-żwirowa,</w:t>
      </w:r>
    </w:p>
    <w:p w14:paraId="57144638" w14:textId="77777777" w:rsidR="00C11DEF" w:rsidRPr="00FA7F06" w:rsidRDefault="00C11DEF" w:rsidP="00C11DEF">
      <w:pPr>
        <w:pStyle w:val="Akapitzlist"/>
        <w:numPr>
          <w:ilvl w:val="0"/>
          <w:numId w:val="229"/>
        </w:numPr>
        <w:spacing w:after="0"/>
        <w:jc w:val="both"/>
        <w:rPr>
          <w:sz w:val="16"/>
          <w:szCs w:val="16"/>
        </w:rPr>
      </w:pPr>
      <w:r w:rsidRPr="00FA7F06">
        <w:rPr>
          <w:sz w:val="16"/>
          <w:szCs w:val="16"/>
        </w:rPr>
        <w:t>podsypka żwirowa lub piaskowa.</w:t>
      </w:r>
    </w:p>
    <w:p w14:paraId="3FD6B77F" w14:textId="77777777" w:rsidR="00C11DEF" w:rsidRPr="00FA7F06" w:rsidRDefault="00C11DEF" w:rsidP="00C11DEF">
      <w:pPr>
        <w:spacing w:after="0"/>
        <w:jc w:val="both"/>
        <w:rPr>
          <w:sz w:val="16"/>
          <w:szCs w:val="16"/>
        </w:rPr>
      </w:pPr>
      <w:r w:rsidRPr="00FA7F06">
        <w:rPr>
          <w:sz w:val="16"/>
          <w:szCs w:val="16"/>
        </w:rPr>
        <w:t xml:space="preserve">Rodzaj zastosowanej podsypki powinien być zgodny z dokumentacją projektową, </w:t>
      </w:r>
      <w:proofErr w:type="spellStart"/>
      <w:r w:rsidRPr="00FA7F06">
        <w:rPr>
          <w:sz w:val="16"/>
          <w:szCs w:val="16"/>
        </w:rPr>
        <w:t>STWiORB</w:t>
      </w:r>
      <w:proofErr w:type="spellEnd"/>
      <w:r w:rsidRPr="00FA7F06">
        <w:rPr>
          <w:sz w:val="16"/>
          <w:szCs w:val="16"/>
        </w:rPr>
        <w:t xml:space="preserve"> lub wskazaniami Inżyniera.</w:t>
      </w:r>
    </w:p>
    <w:p w14:paraId="2B4A6538" w14:textId="77777777" w:rsidR="00C11DEF" w:rsidRPr="00FA7F06" w:rsidRDefault="00C11DEF" w:rsidP="00C11DEF">
      <w:pPr>
        <w:spacing w:after="0"/>
        <w:jc w:val="both"/>
        <w:rPr>
          <w:sz w:val="16"/>
          <w:szCs w:val="16"/>
        </w:rPr>
      </w:pPr>
      <w:r w:rsidRPr="00FA7F06">
        <w:rPr>
          <w:sz w:val="16"/>
          <w:szCs w:val="16"/>
        </w:rPr>
        <w:t xml:space="preserve">Wymagania dla materiałów stosowanych na podsypkę powinny być zgodne z pkt 2 niniejszej </w:t>
      </w:r>
      <w:proofErr w:type="spellStart"/>
      <w:r w:rsidRPr="00FA7F06">
        <w:rPr>
          <w:sz w:val="16"/>
          <w:szCs w:val="16"/>
        </w:rPr>
        <w:t>STWiORB</w:t>
      </w:r>
      <w:proofErr w:type="spellEnd"/>
      <w:r w:rsidRPr="00FA7F06">
        <w:rPr>
          <w:sz w:val="16"/>
          <w:szCs w:val="16"/>
        </w:rPr>
        <w:t xml:space="preserve"> oraz z PN-S-96026 [12].</w:t>
      </w:r>
    </w:p>
    <w:p w14:paraId="6019E644" w14:textId="77777777" w:rsidR="00C11DEF" w:rsidRPr="00FA7F06" w:rsidRDefault="00C11DEF" w:rsidP="00C11DEF">
      <w:pPr>
        <w:spacing w:after="0"/>
        <w:jc w:val="both"/>
        <w:rPr>
          <w:sz w:val="16"/>
          <w:szCs w:val="16"/>
        </w:rPr>
      </w:pPr>
      <w:r w:rsidRPr="00FA7F06">
        <w:rPr>
          <w:sz w:val="16"/>
          <w:szCs w:val="16"/>
        </w:rPr>
        <w:t xml:space="preserve">Grubość podsypki powinna być zgodna z dokumentacją projektową i </w:t>
      </w:r>
      <w:proofErr w:type="spellStart"/>
      <w:r w:rsidRPr="00FA7F06">
        <w:rPr>
          <w:sz w:val="16"/>
          <w:szCs w:val="16"/>
        </w:rPr>
        <w:t>STWiORB</w:t>
      </w:r>
      <w:proofErr w:type="spellEnd"/>
      <w:r w:rsidRPr="00FA7F06">
        <w:rPr>
          <w:sz w:val="16"/>
          <w:szCs w:val="16"/>
        </w:rPr>
        <w:t>.</w:t>
      </w:r>
    </w:p>
    <w:p w14:paraId="5CA39F22" w14:textId="77777777" w:rsidR="00C11DEF" w:rsidRPr="00FA7F06" w:rsidRDefault="00C11DEF" w:rsidP="00C11DEF">
      <w:pPr>
        <w:spacing w:after="0"/>
        <w:jc w:val="both"/>
        <w:rPr>
          <w:sz w:val="16"/>
          <w:szCs w:val="16"/>
        </w:rPr>
      </w:pPr>
      <w:r w:rsidRPr="00FA7F06">
        <w:rPr>
          <w:sz w:val="16"/>
          <w:szCs w:val="16"/>
        </w:rPr>
        <w:t xml:space="preserve">Współczynnik wodnocementowy dla podsypki cementowo-piaskowej lub cementowo-żwirowej, powinien wynosić od 0,20 do 0,25, a wytrzymałość na ściskanie R7 = 10 </w:t>
      </w:r>
      <w:proofErr w:type="spellStart"/>
      <w:r w:rsidRPr="00FA7F06">
        <w:rPr>
          <w:sz w:val="16"/>
          <w:szCs w:val="16"/>
        </w:rPr>
        <w:t>MPa</w:t>
      </w:r>
      <w:proofErr w:type="spellEnd"/>
      <w:r w:rsidRPr="00FA7F06">
        <w:rPr>
          <w:sz w:val="16"/>
          <w:szCs w:val="16"/>
        </w:rPr>
        <w:t xml:space="preserve">, R28 = 14 </w:t>
      </w:r>
      <w:proofErr w:type="spellStart"/>
      <w:r w:rsidRPr="00FA7F06">
        <w:rPr>
          <w:sz w:val="16"/>
          <w:szCs w:val="16"/>
        </w:rPr>
        <w:t>MPa</w:t>
      </w:r>
      <w:proofErr w:type="spellEnd"/>
      <w:r w:rsidRPr="00FA7F06">
        <w:rPr>
          <w:sz w:val="16"/>
          <w:szCs w:val="16"/>
        </w:rPr>
        <w:t xml:space="preserve">. Podsypka bitumiczno-żwirowa powinna być wykonana ze żwiru odpowiadającego wymaganiom PN-S-96026 [12], zmieszanego z emulsją asfaltową </w:t>
      </w:r>
      <w:proofErr w:type="spellStart"/>
      <w:r w:rsidRPr="00FA7F06">
        <w:rPr>
          <w:sz w:val="16"/>
          <w:szCs w:val="16"/>
        </w:rPr>
        <w:t>szybkorozpadową</w:t>
      </w:r>
      <w:proofErr w:type="spellEnd"/>
      <w:r w:rsidRPr="00FA7F06">
        <w:rPr>
          <w:sz w:val="16"/>
          <w:szCs w:val="16"/>
        </w:rPr>
        <w:t xml:space="preserve"> w ilości od 10 do 12% ciężaru kruszywa, spełniającą wymagania określone w WT.EmA-94 [19].</w:t>
      </w:r>
    </w:p>
    <w:p w14:paraId="0C1CD2CA" w14:textId="77777777" w:rsidR="00C11DEF" w:rsidRPr="00FA7F06" w:rsidRDefault="00C11DEF" w:rsidP="00C11DEF">
      <w:pPr>
        <w:spacing w:after="0"/>
        <w:jc w:val="both"/>
        <w:rPr>
          <w:b/>
          <w:sz w:val="16"/>
          <w:szCs w:val="16"/>
        </w:rPr>
      </w:pPr>
      <w:r w:rsidRPr="00FA7F06">
        <w:rPr>
          <w:b/>
          <w:sz w:val="16"/>
          <w:szCs w:val="16"/>
        </w:rPr>
        <w:t>5.5. Układanie nawierzchni z kostki kamiennej</w:t>
      </w:r>
    </w:p>
    <w:p w14:paraId="48CF5764" w14:textId="77777777" w:rsidR="00C11DEF" w:rsidRPr="00FA7F06" w:rsidRDefault="00C11DEF" w:rsidP="00C11DEF">
      <w:pPr>
        <w:spacing w:after="0"/>
        <w:jc w:val="both"/>
        <w:rPr>
          <w:sz w:val="16"/>
          <w:szCs w:val="16"/>
        </w:rPr>
      </w:pPr>
      <w:r w:rsidRPr="00FA7F06">
        <w:rPr>
          <w:sz w:val="16"/>
          <w:szCs w:val="16"/>
        </w:rPr>
        <w:t>5.5.1. Układanie kostki nieregularnej</w:t>
      </w:r>
    </w:p>
    <w:p w14:paraId="55586028" w14:textId="77777777" w:rsidR="00C11DEF" w:rsidRPr="00FA7F06" w:rsidRDefault="00C11DEF" w:rsidP="00C11DEF">
      <w:pPr>
        <w:spacing w:after="0"/>
        <w:jc w:val="both"/>
        <w:rPr>
          <w:sz w:val="16"/>
          <w:szCs w:val="16"/>
        </w:rPr>
      </w:pPr>
      <w:r w:rsidRPr="00FA7F06">
        <w:rPr>
          <w:sz w:val="16"/>
          <w:szCs w:val="16"/>
        </w:rPr>
        <w:t>Kostkę można układać w różne desenie:</w:t>
      </w:r>
    </w:p>
    <w:p w14:paraId="3A6DCDA7" w14:textId="77777777" w:rsidR="00C11DEF" w:rsidRPr="00FA7F06" w:rsidRDefault="00C11DEF" w:rsidP="00C11DEF">
      <w:pPr>
        <w:pStyle w:val="Akapitzlist"/>
        <w:numPr>
          <w:ilvl w:val="0"/>
          <w:numId w:val="230"/>
        </w:numPr>
        <w:spacing w:after="0"/>
        <w:jc w:val="both"/>
        <w:rPr>
          <w:sz w:val="16"/>
          <w:szCs w:val="16"/>
        </w:rPr>
      </w:pPr>
      <w:r w:rsidRPr="00FA7F06">
        <w:rPr>
          <w:sz w:val="16"/>
          <w:szCs w:val="16"/>
        </w:rPr>
        <w:t>deseń rzędowy prosty, który uzyskuje się przez układanie kostki rzędami prostopadłymi do osi drogi,</w:t>
      </w:r>
    </w:p>
    <w:p w14:paraId="21774175" w14:textId="77777777" w:rsidR="00C11DEF" w:rsidRPr="00FA7F06" w:rsidRDefault="00C11DEF" w:rsidP="00C11DEF">
      <w:pPr>
        <w:pStyle w:val="Akapitzlist"/>
        <w:numPr>
          <w:ilvl w:val="0"/>
          <w:numId w:val="230"/>
        </w:numPr>
        <w:spacing w:after="0"/>
        <w:jc w:val="both"/>
        <w:rPr>
          <w:sz w:val="16"/>
          <w:szCs w:val="16"/>
        </w:rPr>
      </w:pPr>
      <w:r w:rsidRPr="00FA7F06">
        <w:rPr>
          <w:sz w:val="16"/>
          <w:szCs w:val="16"/>
        </w:rPr>
        <w:t>deseń rzędowy ukośny, który otrzymuje się przez układanie kostki rzędami pod kątem 45o do osi drogi,</w:t>
      </w:r>
    </w:p>
    <w:p w14:paraId="7716EB69" w14:textId="77777777" w:rsidR="00C11DEF" w:rsidRPr="00FA7F06" w:rsidRDefault="00C11DEF" w:rsidP="00C11DEF">
      <w:pPr>
        <w:pStyle w:val="Akapitzlist"/>
        <w:numPr>
          <w:ilvl w:val="0"/>
          <w:numId w:val="230"/>
        </w:numPr>
        <w:spacing w:after="0"/>
        <w:jc w:val="both"/>
        <w:rPr>
          <w:sz w:val="16"/>
          <w:szCs w:val="16"/>
        </w:rPr>
      </w:pPr>
      <w:r w:rsidRPr="00FA7F06">
        <w:rPr>
          <w:sz w:val="16"/>
          <w:szCs w:val="16"/>
        </w:rPr>
        <w:t>deseń w jodełkę, który otrzymuje się przez układanie kostki pod kątem 45o w przeciwne strony na każdej połowie jezdni,</w:t>
      </w:r>
    </w:p>
    <w:p w14:paraId="4552070B" w14:textId="77777777" w:rsidR="00C11DEF" w:rsidRPr="00FA7F06" w:rsidRDefault="00C11DEF" w:rsidP="00C11DEF">
      <w:pPr>
        <w:pStyle w:val="Akapitzlist"/>
        <w:numPr>
          <w:ilvl w:val="0"/>
          <w:numId w:val="230"/>
        </w:numPr>
        <w:spacing w:after="0"/>
        <w:jc w:val="both"/>
        <w:rPr>
          <w:sz w:val="16"/>
          <w:szCs w:val="16"/>
        </w:rPr>
      </w:pPr>
      <w:r w:rsidRPr="00FA7F06">
        <w:rPr>
          <w:sz w:val="16"/>
          <w:szCs w:val="16"/>
        </w:rPr>
        <w:t>deseń łukowy, który otrzymuje się przez układanie kostki w kształcie łuku lub innych krzywych.</w:t>
      </w:r>
    </w:p>
    <w:p w14:paraId="76E4FA0C" w14:textId="77777777" w:rsidR="00C11DEF" w:rsidRPr="00FA7F06" w:rsidRDefault="00C11DEF" w:rsidP="00C11DEF">
      <w:pPr>
        <w:spacing w:after="0"/>
        <w:jc w:val="both"/>
        <w:rPr>
          <w:sz w:val="16"/>
          <w:szCs w:val="16"/>
        </w:rPr>
      </w:pPr>
      <w:r w:rsidRPr="00FA7F06">
        <w:rPr>
          <w:sz w:val="16"/>
          <w:szCs w:val="16"/>
        </w:rPr>
        <w:t>Deseń nawierzchni z kostki kamiennej nieregularnej powinien być dostosowany do wielkości kostki. Przy różnych wymiarach kostki, zaleca się układanie jej w formie desenia łukowego, który poza tym nie wymaga przycinania kostek przy krawężnikach.</w:t>
      </w:r>
    </w:p>
    <w:p w14:paraId="4959A262" w14:textId="77777777" w:rsidR="00C11DEF" w:rsidRPr="00FA7F06" w:rsidRDefault="00C11DEF" w:rsidP="00C11DEF">
      <w:pPr>
        <w:spacing w:after="0"/>
        <w:jc w:val="both"/>
        <w:rPr>
          <w:sz w:val="16"/>
          <w:szCs w:val="16"/>
        </w:rPr>
      </w:pPr>
      <w:r w:rsidRPr="00FA7F06">
        <w:rPr>
          <w:sz w:val="16"/>
          <w:szCs w:val="16"/>
        </w:rPr>
        <w:t>Szerokość spoin między kostkami nie powinna przekraczać 12 mm. Spoiny w sąsiednich rzędach powinny się mijać co najmniej o 1/4 szerokości kostki.</w:t>
      </w:r>
    </w:p>
    <w:p w14:paraId="0EB7658B" w14:textId="77777777" w:rsidR="00C11DEF" w:rsidRPr="00FA7F06" w:rsidRDefault="00C11DEF" w:rsidP="00C11DEF">
      <w:pPr>
        <w:spacing w:after="0"/>
        <w:jc w:val="both"/>
        <w:rPr>
          <w:sz w:val="16"/>
          <w:szCs w:val="16"/>
        </w:rPr>
      </w:pPr>
      <w:r w:rsidRPr="00FA7F06">
        <w:rPr>
          <w:sz w:val="16"/>
          <w:szCs w:val="16"/>
        </w:rPr>
        <w:t>Kostka użyta do układania nawierzchni powinna być jednego gatunku i z jednego rodzaju skał. Dla rozgraniczenia kierunków ruchu na jezdni, powinien być ułożony pas podłużny z jednego lub dwóch rzędów kostek o odmiennym kolorze.</w:t>
      </w:r>
    </w:p>
    <w:p w14:paraId="2CBF341A" w14:textId="77777777" w:rsidR="00C11DEF" w:rsidRPr="00FA7F06" w:rsidRDefault="00C11DEF" w:rsidP="00C11DEF">
      <w:pPr>
        <w:spacing w:after="0"/>
        <w:jc w:val="both"/>
        <w:rPr>
          <w:sz w:val="16"/>
          <w:szCs w:val="16"/>
        </w:rPr>
      </w:pPr>
      <w:r w:rsidRPr="00FA7F06">
        <w:rPr>
          <w:sz w:val="16"/>
          <w:szCs w:val="16"/>
        </w:rPr>
        <w:t>5.5.2. Układanie kostki regularnej</w:t>
      </w:r>
    </w:p>
    <w:p w14:paraId="3E3EA289" w14:textId="77777777" w:rsidR="00C11DEF" w:rsidRPr="00FA7F06" w:rsidRDefault="00C11DEF" w:rsidP="00C11DEF">
      <w:pPr>
        <w:spacing w:after="0"/>
        <w:jc w:val="both"/>
        <w:rPr>
          <w:sz w:val="16"/>
          <w:szCs w:val="16"/>
        </w:rPr>
      </w:pPr>
      <w:r w:rsidRPr="00FA7F06">
        <w:rPr>
          <w:sz w:val="16"/>
          <w:szCs w:val="16"/>
        </w:rPr>
        <w:t>Kostka regularna może być układana:</w:t>
      </w:r>
    </w:p>
    <w:p w14:paraId="03EE3A7D" w14:textId="77777777" w:rsidR="00C11DEF" w:rsidRPr="00FA7F06" w:rsidRDefault="00C11DEF" w:rsidP="00C11DEF">
      <w:pPr>
        <w:pStyle w:val="Akapitzlist"/>
        <w:numPr>
          <w:ilvl w:val="0"/>
          <w:numId w:val="231"/>
        </w:numPr>
        <w:spacing w:after="0"/>
        <w:jc w:val="both"/>
        <w:rPr>
          <w:sz w:val="16"/>
          <w:szCs w:val="16"/>
        </w:rPr>
      </w:pPr>
      <w:r w:rsidRPr="00FA7F06">
        <w:rPr>
          <w:sz w:val="16"/>
          <w:szCs w:val="16"/>
        </w:rPr>
        <w:t>w rzędy poprzeczne, prostopadłe do osi drogi,</w:t>
      </w:r>
    </w:p>
    <w:p w14:paraId="65468348" w14:textId="77777777" w:rsidR="00C11DEF" w:rsidRPr="00FA7F06" w:rsidRDefault="00C11DEF" w:rsidP="00C11DEF">
      <w:pPr>
        <w:pStyle w:val="Akapitzlist"/>
        <w:numPr>
          <w:ilvl w:val="0"/>
          <w:numId w:val="231"/>
        </w:numPr>
        <w:spacing w:after="0"/>
        <w:jc w:val="both"/>
        <w:rPr>
          <w:sz w:val="16"/>
          <w:szCs w:val="16"/>
        </w:rPr>
      </w:pPr>
      <w:r w:rsidRPr="00FA7F06">
        <w:rPr>
          <w:sz w:val="16"/>
          <w:szCs w:val="16"/>
        </w:rPr>
        <w:t>w rzędy ukośne, pod kątem 45o do osi drogi,</w:t>
      </w:r>
    </w:p>
    <w:p w14:paraId="5D2751FF" w14:textId="77777777" w:rsidR="00C11DEF" w:rsidRPr="00FA7F06" w:rsidRDefault="00C11DEF" w:rsidP="00C11DEF">
      <w:pPr>
        <w:pStyle w:val="Akapitzlist"/>
        <w:numPr>
          <w:ilvl w:val="0"/>
          <w:numId w:val="231"/>
        </w:numPr>
        <w:spacing w:after="0"/>
        <w:jc w:val="both"/>
        <w:rPr>
          <w:sz w:val="16"/>
          <w:szCs w:val="16"/>
        </w:rPr>
      </w:pPr>
      <w:r w:rsidRPr="00FA7F06">
        <w:rPr>
          <w:sz w:val="16"/>
          <w:szCs w:val="16"/>
        </w:rPr>
        <w:t>w jodełkę.</w:t>
      </w:r>
    </w:p>
    <w:p w14:paraId="4881929B" w14:textId="77777777" w:rsidR="00C11DEF" w:rsidRPr="00FA7F06" w:rsidRDefault="00C11DEF" w:rsidP="00C11DEF">
      <w:pPr>
        <w:spacing w:after="0"/>
        <w:jc w:val="both"/>
        <w:rPr>
          <w:sz w:val="16"/>
          <w:szCs w:val="16"/>
        </w:rPr>
      </w:pPr>
      <w:r w:rsidRPr="00FA7F06">
        <w:rPr>
          <w:sz w:val="16"/>
          <w:szCs w:val="16"/>
        </w:rPr>
        <w:t>Deseń nawierzchni z kostki regularnej powinien być dostosowany do wymiarów kostki. Kostki duże o wysokości kostki od 16 do 18 cm powinny być układane w rzędy poprzeczne. Kostki średnie o wysokości od 12 do 14 cm oraz kostki małe, o wysokości od 8 do 10 cm, mogą być układane w rzędy poprzeczne, w rzędy ukośne lub w jodełkę.</w:t>
      </w:r>
    </w:p>
    <w:p w14:paraId="2DE21E86" w14:textId="77777777" w:rsidR="00C11DEF" w:rsidRPr="00FA7F06" w:rsidRDefault="00C11DEF" w:rsidP="00C11DEF">
      <w:pPr>
        <w:spacing w:after="0"/>
        <w:jc w:val="both"/>
        <w:rPr>
          <w:sz w:val="16"/>
          <w:szCs w:val="16"/>
        </w:rPr>
      </w:pPr>
      <w:r w:rsidRPr="00FA7F06">
        <w:rPr>
          <w:sz w:val="16"/>
          <w:szCs w:val="16"/>
        </w:rPr>
        <w:t>Układanie kostek przy krawężnikach wymaga stosowania kostek regularnych łącznikowych dla uzyskania mijania się spoin w kierunku podłużnym.</w:t>
      </w:r>
    </w:p>
    <w:p w14:paraId="56B9C8D4" w14:textId="77777777" w:rsidR="00C11DEF" w:rsidRPr="00FA7F06" w:rsidRDefault="00C11DEF" w:rsidP="00C11DEF">
      <w:pPr>
        <w:spacing w:after="0"/>
        <w:jc w:val="both"/>
        <w:rPr>
          <w:sz w:val="16"/>
          <w:szCs w:val="16"/>
        </w:rPr>
      </w:pPr>
      <w:r w:rsidRPr="00FA7F06">
        <w:rPr>
          <w:sz w:val="16"/>
          <w:szCs w:val="16"/>
        </w:rPr>
        <w:t>Warunki układania kostki rzędowej są takie same jak dla kostki regularnej.</w:t>
      </w:r>
    </w:p>
    <w:p w14:paraId="305A582A" w14:textId="77777777" w:rsidR="00C11DEF" w:rsidRPr="00FA7F06" w:rsidRDefault="00C11DEF" w:rsidP="00C11DEF">
      <w:pPr>
        <w:spacing w:after="0"/>
        <w:jc w:val="both"/>
        <w:rPr>
          <w:sz w:val="16"/>
          <w:szCs w:val="16"/>
        </w:rPr>
      </w:pPr>
      <w:r w:rsidRPr="00FA7F06">
        <w:rPr>
          <w:sz w:val="16"/>
          <w:szCs w:val="16"/>
        </w:rPr>
        <w:t>Kostkę rzędową układa się w rzędy poprzeczne prostopadłe do osi drogi. Dopuszcza się układanie kostek w rzędy ukośne lub jodełkę.</w:t>
      </w:r>
    </w:p>
    <w:p w14:paraId="14F5135C" w14:textId="77777777" w:rsidR="00C11DEF" w:rsidRPr="00FA7F06" w:rsidRDefault="00C11DEF" w:rsidP="00C11DEF">
      <w:pPr>
        <w:spacing w:after="0"/>
        <w:jc w:val="both"/>
        <w:rPr>
          <w:sz w:val="16"/>
          <w:szCs w:val="16"/>
        </w:rPr>
      </w:pPr>
      <w:r w:rsidRPr="00FA7F06">
        <w:rPr>
          <w:sz w:val="16"/>
          <w:szCs w:val="16"/>
        </w:rPr>
        <w:t>5.5.3. Szczeliny dylatacyjne</w:t>
      </w:r>
    </w:p>
    <w:p w14:paraId="18F46A92" w14:textId="77777777" w:rsidR="00C11DEF" w:rsidRPr="00FA7F06" w:rsidRDefault="00C11DEF" w:rsidP="00C11DEF">
      <w:pPr>
        <w:spacing w:after="0"/>
        <w:jc w:val="both"/>
        <w:rPr>
          <w:sz w:val="16"/>
          <w:szCs w:val="16"/>
        </w:rPr>
      </w:pPr>
      <w:r w:rsidRPr="00FA7F06">
        <w:rPr>
          <w:sz w:val="16"/>
          <w:szCs w:val="16"/>
        </w:rPr>
        <w:t>Szczeliny dylatacyjne poprzeczne należy stosować w nawierzchniach z kostki na zaprawie cementowej w odległości od 10 do 15 m oraz w takich miejscach, w których występuje dylatacja podbudowy lub zmiana sztywności podłoża.</w:t>
      </w:r>
    </w:p>
    <w:p w14:paraId="73A914B7" w14:textId="77777777" w:rsidR="00C11DEF" w:rsidRPr="00FA7F06" w:rsidRDefault="00C11DEF" w:rsidP="00C11DEF">
      <w:pPr>
        <w:spacing w:after="0"/>
        <w:jc w:val="both"/>
        <w:rPr>
          <w:sz w:val="16"/>
          <w:szCs w:val="16"/>
        </w:rPr>
      </w:pPr>
      <w:r w:rsidRPr="00FA7F06">
        <w:rPr>
          <w:sz w:val="16"/>
          <w:szCs w:val="16"/>
        </w:rPr>
        <w:t>Szczeliny podłużne należy stosować przy ściekach na jezdniach wszelkich szerokości oraz pośrodku jezdni, jeżeli szerokość jej przekracza 10 m lub w przypadku układania nawierzchni połową szerokości jezdni.</w:t>
      </w:r>
    </w:p>
    <w:p w14:paraId="388C9ABB" w14:textId="77777777" w:rsidR="00C11DEF" w:rsidRPr="00FA7F06" w:rsidRDefault="00C11DEF" w:rsidP="00C11DEF">
      <w:pPr>
        <w:spacing w:after="0"/>
        <w:jc w:val="both"/>
        <w:rPr>
          <w:sz w:val="16"/>
          <w:szCs w:val="16"/>
        </w:rPr>
      </w:pPr>
      <w:r w:rsidRPr="00FA7F06">
        <w:rPr>
          <w:sz w:val="16"/>
          <w:szCs w:val="16"/>
        </w:rPr>
        <w:t>Przy układaniu nawierzchni z kostki na podbudowie betonowej - na podsypce cementowo-żwirowej z zalaniem spoin zaprawą cementowo-piaskową, szczeliny dylatacyjne warstwy jezdnej należy wykonywać nad szczelinami podbudowy. Szerokość szczelin dylatacyjnych powinna wynosić od 8 do 12 mm.</w:t>
      </w:r>
    </w:p>
    <w:p w14:paraId="45676F64" w14:textId="77777777" w:rsidR="00C11DEF" w:rsidRPr="00FA7F06" w:rsidRDefault="00C11DEF" w:rsidP="00C11DEF">
      <w:pPr>
        <w:spacing w:after="0"/>
        <w:jc w:val="both"/>
        <w:rPr>
          <w:sz w:val="16"/>
          <w:szCs w:val="16"/>
        </w:rPr>
      </w:pPr>
      <w:r w:rsidRPr="00FA7F06">
        <w:rPr>
          <w:sz w:val="16"/>
          <w:szCs w:val="16"/>
        </w:rPr>
        <w:t>5.5.4. Warunki przystąpienia do robót</w:t>
      </w:r>
    </w:p>
    <w:p w14:paraId="2C2917DC" w14:textId="77777777" w:rsidR="00C11DEF" w:rsidRPr="00FA7F06" w:rsidRDefault="00C11DEF" w:rsidP="00C11DEF">
      <w:pPr>
        <w:spacing w:after="0"/>
        <w:jc w:val="both"/>
        <w:rPr>
          <w:sz w:val="16"/>
          <w:szCs w:val="16"/>
        </w:rPr>
      </w:pPr>
      <w:r w:rsidRPr="00FA7F06">
        <w:rPr>
          <w:sz w:val="16"/>
          <w:szCs w:val="16"/>
        </w:rPr>
        <w:t>Kostkę na zaprawie cementowo-piaskowej i cementowo-żwirowej można układać bez środków ochronnych przed mrozem, jeżeli temperatura otoczenia jest +5oC lub wyższa. Nie należy układać kostki w temperaturze 0oC lub niższej. Jeżeli w ciągu dnia temperatura utrzymuje się w granicach od 0 do +5oC, a w nocy spodziewane są przymrozki, kostkę należy zabezpieczyć przez nakrycie materiałem o złym przewodnictwie cieplnym. Świeżo wykonaną nawierzchnię na podsypce cementowo-żwirowej należy chronić w sposób podany w PN-B-06251 [6].</w:t>
      </w:r>
    </w:p>
    <w:p w14:paraId="3F85262B" w14:textId="77777777" w:rsidR="00C11DEF" w:rsidRPr="00FA7F06" w:rsidRDefault="00C11DEF" w:rsidP="00C11DEF">
      <w:pPr>
        <w:spacing w:after="0"/>
        <w:jc w:val="both"/>
        <w:rPr>
          <w:sz w:val="16"/>
          <w:szCs w:val="16"/>
        </w:rPr>
      </w:pPr>
      <w:r w:rsidRPr="00FA7F06">
        <w:rPr>
          <w:sz w:val="16"/>
          <w:szCs w:val="16"/>
        </w:rPr>
        <w:t>5.5.5. Ubijanie kostki</w:t>
      </w:r>
    </w:p>
    <w:p w14:paraId="721611E4" w14:textId="77777777" w:rsidR="00C11DEF" w:rsidRPr="00FA7F06" w:rsidRDefault="00C11DEF" w:rsidP="00C11DEF">
      <w:pPr>
        <w:spacing w:after="0"/>
        <w:jc w:val="both"/>
        <w:rPr>
          <w:sz w:val="16"/>
          <w:szCs w:val="16"/>
        </w:rPr>
      </w:pPr>
      <w:r w:rsidRPr="00FA7F06">
        <w:rPr>
          <w:sz w:val="16"/>
          <w:szCs w:val="16"/>
        </w:rPr>
        <w:t>Sposób ubijania kostki powinien być dostosowany do rodzaju podsypki oraz materiału do wypełnienia spoin.</w:t>
      </w:r>
    </w:p>
    <w:p w14:paraId="53B9429A" w14:textId="77777777" w:rsidR="00C11DEF" w:rsidRPr="00FA7F06" w:rsidRDefault="00C11DEF" w:rsidP="00C11DEF">
      <w:pPr>
        <w:spacing w:after="0"/>
        <w:jc w:val="both"/>
        <w:rPr>
          <w:sz w:val="16"/>
          <w:szCs w:val="16"/>
        </w:rPr>
      </w:pPr>
      <w:r w:rsidRPr="00FA7F06">
        <w:rPr>
          <w:sz w:val="16"/>
          <w:szCs w:val="16"/>
        </w:rPr>
        <w:t>Kostkę na podsypce żwirowej lub piaskowej przy wypełnieniu spoin żwirem lub piaskiem należy ubijać trzykrotnie.</w:t>
      </w:r>
    </w:p>
    <w:p w14:paraId="053CE1A5" w14:textId="77777777" w:rsidR="00C11DEF" w:rsidRPr="00FA7F06" w:rsidRDefault="00C11DEF" w:rsidP="00C11DEF">
      <w:pPr>
        <w:spacing w:after="0"/>
        <w:jc w:val="both"/>
        <w:rPr>
          <w:sz w:val="16"/>
          <w:szCs w:val="16"/>
        </w:rPr>
      </w:pPr>
      <w:r w:rsidRPr="00FA7F06">
        <w:rPr>
          <w:sz w:val="16"/>
          <w:szCs w:val="16"/>
        </w:rPr>
        <w:t>Pierwsze ubicie ma na celu osadzenie kostek w podsypce i wypełnienie dolnych części spoin materiałem z podsypki. Obniżenie kostki w czasie pierwszego ubijania powinno wynosić od 1,5 do 2,0 cm.</w:t>
      </w:r>
    </w:p>
    <w:p w14:paraId="0BA9264D" w14:textId="77777777" w:rsidR="00C11DEF" w:rsidRPr="00FA7F06" w:rsidRDefault="00C11DEF" w:rsidP="00C11DEF">
      <w:pPr>
        <w:spacing w:after="0"/>
        <w:jc w:val="both"/>
        <w:rPr>
          <w:sz w:val="16"/>
          <w:szCs w:val="16"/>
        </w:rPr>
      </w:pPr>
      <w:r w:rsidRPr="00FA7F06">
        <w:rPr>
          <w:sz w:val="16"/>
          <w:szCs w:val="16"/>
        </w:rPr>
        <w:lastRenderedPageBreak/>
        <w:t>Ułożoną nawierzchnię z kostki zasypuje się mieszaniną piasku i żwiru o uziarnieniu od 0 do 4 mm, polewa wodą i szczotkami wprowadza się kruszywo w spoiny. Po wypełnieniu spoin trzeba nawierzchnię oczyścić szczotkami, aby każda kostka była widoczna, po czym należy przystąpić do ubijania.</w:t>
      </w:r>
    </w:p>
    <w:p w14:paraId="732F03A7" w14:textId="77777777" w:rsidR="00C11DEF" w:rsidRPr="00FA7F06" w:rsidRDefault="00C11DEF" w:rsidP="00C11DEF">
      <w:pPr>
        <w:spacing w:after="0"/>
        <w:jc w:val="both"/>
        <w:rPr>
          <w:sz w:val="16"/>
          <w:szCs w:val="16"/>
        </w:rPr>
      </w:pPr>
      <w:r w:rsidRPr="00FA7F06">
        <w:rPr>
          <w:sz w:val="16"/>
          <w:szCs w:val="16"/>
        </w:rPr>
        <w:t>Ubijanie kostek wykonuje się ubijakami stalowymi o ciężarze około 30 kg, uderzając ubijakiem każdą kostkę oddzielnie. Ubijanie w przekroju poprzecznym prowadzi się od krawężnika do środka jezdni.</w:t>
      </w:r>
    </w:p>
    <w:p w14:paraId="6DAC19E6" w14:textId="77777777" w:rsidR="00C11DEF" w:rsidRPr="00FA7F06" w:rsidRDefault="00C11DEF" w:rsidP="00C11DEF">
      <w:pPr>
        <w:spacing w:after="0"/>
        <w:jc w:val="both"/>
        <w:rPr>
          <w:sz w:val="16"/>
          <w:szCs w:val="16"/>
        </w:rPr>
      </w:pPr>
      <w:r w:rsidRPr="00FA7F06">
        <w:rPr>
          <w:sz w:val="16"/>
          <w:szCs w:val="16"/>
        </w:rPr>
        <w:t>Drugie ubicie należy poprzedzić uzupełnieniem spoin i polać wodą.</w:t>
      </w:r>
    </w:p>
    <w:p w14:paraId="7E6A6CAF" w14:textId="77777777" w:rsidR="00C11DEF" w:rsidRPr="00FA7F06" w:rsidRDefault="00C11DEF" w:rsidP="00C11DEF">
      <w:pPr>
        <w:spacing w:after="0"/>
        <w:jc w:val="both"/>
        <w:rPr>
          <w:sz w:val="16"/>
          <w:szCs w:val="16"/>
        </w:rPr>
      </w:pPr>
      <w:r w:rsidRPr="00FA7F06">
        <w:rPr>
          <w:sz w:val="16"/>
          <w:szCs w:val="16"/>
        </w:rPr>
        <w:t>Trzecie ubicie ma na celu doprowadzenie nawierzchni kostkowej do wymaganego przekroju poprzecznego i podłużnego jezdni. Zamiast trzeciego ubijania można stosować wałowanie walcem o masie do 10 t - najpierw w kierunku podłużnym, postępując od krawężników w kierunku osi, a następnie w kierunku poprzecznym.</w:t>
      </w:r>
    </w:p>
    <w:p w14:paraId="53D87793" w14:textId="77777777" w:rsidR="00C11DEF" w:rsidRPr="00FA7F06" w:rsidRDefault="00C11DEF" w:rsidP="00C11DEF">
      <w:pPr>
        <w:spacing w:after="0"/>
        <w:jc w:val="both"/>
        <w:rPr>
          <w:sz w:val="16"/>
          <w:szCs w:val="16"/>
        </w:rPr>
      </w:pPr>
      <w:r w:rsidRPr="00FA7F06">
        <w:rPr>
          <w:sz w:val="16"/>
          <w:szCs w:val="16"/>
        </w:rPr>
        <w:t>Kostkę na podsypce żwirowo-cementowej przy wypełnianiu spoin zaprawą cementowo-piaskową, należy ubijać dwukrotnie.</w:t>
      </w:r>
    </w:p>
    <w:p w14:paraId="327021F0" w14:textId="77777777" w:rsidR="00C11DEF" w:rsidRPr="00FA7F06" w:rsidRDefault="00C11DEF" w:rsidP="00C11DEF">
      <w:pPr>
        <w:spacing w:after="0"/>
        <w:jc w:val="both"/>
        <w:rPr>
          <w:sz w:val="16"/>
          <w:szCs w:val="16"/>
        </w:rPr>
      </w:pPr>
      <w:r w:rsidRPr="00FA7F06">
        <w:rPr>
          <w:sz w:val="16"/>
          <w:szCs w:val="16"/>
        </w:rPr>
        <w:t>Pierwsze mocne ubicie powinno nastąpić przed zalaniem spoin i spowodować obniżenie kostek do wymaganej niwelety.</w:t>
      </w:r>
    </w:p>
    <w:p w14:paraId="12D2BE5F" w14:textId="77777777" w:rsidR="00C11DEF" w:rsidRPr="00FA7F06" w:rsidRDefault="00C11DEF" w:rsidP="00C11DEF">
      <w:pPr>
        <w:spacing w:after="0"/>
        <w:jc w:val="both"/>
        <w:rPr>
          <w:sz w:val="16"/>
          <w:szCs w:val="16"/>
        </w:rPr>
      </w:pPr>
      <w:r w:rsidRPr="00FA7F06">
        <w:rPr>
          <w:sz w:val="16"/>
          <w:szCs w:val="16"/>
        </w:rPr>
        <w:t>Drugie - lekkie ubicie, ma na celu doprowadzenie ubijanej powierzchni kostek do wymaganego przekroju poprzecznego jezdni. Drugi ubicie następuje bezpośrednio po zalaniu spoin zaprawą cementowo-piaskową. Zamiast drugiego ubijania można stosować wibratory płytowe lub lekkie walce wibracyjne.</w:t>
      </w:r>
    </w:p>
    <w:p w14:paraId="39DDEF3F" w14:textId="77777777" w:rsidR="00C11DEF" w:rsidRPr="00FA7F06" w:rsidRDefault="00C11DEF" w:rsidP="00C11DEF">
      <w:pPr>
        <w:spacing w:after="0"/>
        <w:jc w:val="both"/>
        <w:rPr>
          <w:sz w:val="16"/>
          <w:szCs w:val="16"/>
        </w:rPr>
      </w:pPr>
      <w:r w:rsidRPr="00FA7F06">
        <w:rPr>
          <w:sz w:val="16"/>
          <w:szCs w:val="16"/>
        </w:rPr>
        <w:t>Kostkę na podsypce żwirowej przy wypełnieniu spoin masą zalewową należy ubijać trzykrotnie. Spoiny zalewa się po całkowitym trzykrotnym ubiciu nawierzchni.</w:t>
      </w:r>
    </w:p>
    <w:p w14:paraId="12300839" w14:textId="77777777" w:rsidR="00C11DEF" w:rsidRPr="00FA7F06" w:rsidRDefault="00C11DEF" w:rsidP="00C11DEF">
      <w:pPr>
        <w:spacing w:after="0"/>
        <w:jc w:val="both"/>
        <w:rPr>
          <w:sz w:val="16"/>
          <w:szCs w:val="16"/>
        </w:rPr>
      </w:pPr>
      <w:r w:rsidRPr="00FA7F06">
        <w:rPr>
          <w:sz w:val="16"/>
          <w:szCs w:val="16"/>
        </w:rPr>
        <w:t>Kostki, które pękną podczas ubijania powinny być wymienione na całe. Ostatni rząd kostek na zakończenie działki roboczej, przy ubijaniu należy zabezpieczyć przed przesunięciem za pomocą np. belki drewnianej umocowanej szpilkami stalowymi w podłożu.</w:t>
      </w:r>
    </w:p>
    <w:p w14:paraId="57B83F5C" w14:textId="77777777" w:rsidR="00C11DEF" w:rsidRPr="00FA7F06" w:rsidRDefault="00C11DEF" w:rsidP="00C11DEF">
      <w:pPr>
        <w:spacing w:after="0"/>
        <w:jc w:val="both"/>
        <w:rPr>
          <w:sz w:val="16"/>
          <w:szCs w:val="16"/>
        </w:rPr>
      </w:pPr>
      <w:r w:rsidRPr="00FA7F06">
        <w:rPr>
          <w:sz w:val="16"/>
          <w:szCs w:val="16"/>
        </w:rPr>
        <w:t>5.5.6. Wypełnienie spoin</w:t>
      </w:r>
    </w:p>
    <w:p w14:paraId="52637F4B" w14:textId="77777777" w:rsidR="00C11DEF" w:rsidRPr="00FA7F06" w:rsidRDefault="00C11DEF" w:rsidP="00C11DEF">
      <w:pPr>
        <w:spacing w:after="0"/>
        <w:jc w:val="both"/>
        <w:rPr>
          <w:sz w:val="16"/>
          <w:szCs w:val="16"/>
        </w:rPr>
      </w:pPr>
      <w:r w:rsidRPr="00FA7F06">
        <w:rPr>
          <w:sz w:val="16"/>
          <w:szCs w:val="16"/>
        </w:rPr>
        <w:t>Zaprawę cementowo-piaskową można stosować przy nawierzchniach z kostki każdego typu układanej na podsypce cementowo-żwirowej. Bitumiczną masę zalewową należy stosować przy nawierzchniach z kostki nieregularnej układanej na podsypce bitumiczno-żwirowej, żwirowej lub piaskowej. Wypełnienie spoin piaskiem można stosować przy nawierzchniach z kostki nieregularnej układanej na podsypce żwirowej lub piaskowej.</w:t>
      </w:r>
    </w:p>
    <w:p w14:paraId="4E17360A" w14:textId="77777777" w:rsidR="00C11DEF" w:rsidRPr="00FA7F06" w:rsidRDefault="00C11DEF" w:rsidP="00C11DEF">
      <w:pPr>
        <w:spacing w:after="0"/>
        <w:jc w:val="both"/>
        <w:rPr>
          <w:sz w:val="16"/>
          <w:szCs w:val="16"/>
        </w:rPr>
      </w:pPr>
      <w:r w:rsidRPr="00FA7F06">
        <w:rPr>
          <w:sz w:val="16"/>
          <w:szCs w:val="16"/>
        </w:rPr>
        <w:t>Wypełnienie spoin zaprawą cementowo-piaskową powinno być wykonane z zachowaniem następujących wymagań:</w:t>
      </w:r>
    </w:p>
    <w:p w14:paraId="6B80F6A5" w14:textId="77777777" w:rsidR="00C11DEF" w:rsidRPr="00FA7F06" w:rsidRDefault="00C11DEF" w:rsidP="00C11DEF">
      <w:pPr>
        <w:spacing w:after="0"/>
        <w:jc w:val="both"/>
        <w:rPr>
          <w:sz w:val="16"/>
          <w:szCs w:val="16"/>
        </w:rPr>
      </w:pPr>
      <w:r w:rsidRPr="00FA7F06">
        <w:rPr>
          <w:sz w:val="16"/>
          <w:szCs w:val="16"/>
        </w:rPr>
        <w:t>piasek powinien odpowiadać wymaganiom wg pkt 2.5,</w:t>
      </w:r>
    </w:p>
    <w:p w14:paraId="4D83100D" w14:textId="77777777" w:rsidR="00C11DEF" w:rsidRPr="00FA7F06" w:rsidRDefault="00C11DEF" w:rsidP="00C11DEF">
      <w:pPr>
        <w:spacing w:after="0"/>
        <w:jc w:val="both"/>
        <w:rPr>
          <w:sz w:val="16"/>
          <w:szCs w:val="16"/>
        </w:rPr>
      </w:pPr>
      <w:r w:rsidRPr="00FA7F06">
        <w:rPr>
          <w:sz w:val="16"/>
          <w:szCs w:val="16"/>
        </w:rPr>
        <w:t>cement powinien odpowiadać wymaganiom wg pkt 2.4,</w:t>
      </w:r>
    </w:p>
    <w:p w14:paraId="380BA328" w14:textId="77777777" w:rsidR="00C11DEF" w:rsidRPr="00FA7F06" w:rsidRDefault="00C11DEF" w:rsidP="00C11DEF">
      <w:pPr>
        <w:spacing w:after="0"/>
        <w:jc w:val="both"/>
        <w:rPr>
          <w:sz w:val="16"/>
          <w:szCs w:val="16"/>
        </w:rPr>
      </w:pPr>
      <w:r w:rsidRPr="00FA7F06">
        <w:rPr>
          <w:sz w:val="16"/>
          <w:szCs w:val="16"/>
        </w:rPr>
        <w:t xml:space="preserve">wytrzymałość zaprawy na ściskanie powinna wynosić nie mniej niż 30 </w:t>
      </w:r>
      <w:proofErr w:type="spellStart"/>
      <w:r w:rsidRPr="00FA7F06">
        <w:rPr>
          <w:sz w:val="16"/>
          <w:szCs w:val="16"/>
        </w:rPr>
        <w:t>MPa</w:t>
      </w:r>
      <w:proofErr w:type="spellEnd"/>
      <w:r w:rsidRPr="00FA7F06">
        <w:rPr>
          <w:sz w:val="16"/>
          <w:szCs w:val="16"/>
        </w:rPr>
        <w:t>,</w:t>
      </w:r>
    </w:p>
    <w:p w14:paraId="317F069B" w14:textId="77777777" w:rsidR="00C11DEF" w:rsidRPr="00FA7F06" w:rsidRDefault="00C11DEF" w:rsidP="00C11DEF">
      <w:pPr>
        <w:spacing w:after="0"/>
        <w:jc w:val="both"/>
        <w:rPr>
          <w:sz w:val="16"/>
          <w:szCs w:val="16"/>
        </w:rPr>
      </w:pPr>
      <w:r w:rsidRPr="00FA7F06">
        <w:rPr>
          <w:sz w:val="16"/>
          <w:szCs w:val="16"/>
        </w:rPr>
        <w:t>przed rozpoczęciem zalewania kostka powinna być oczyszczona i dobrze zwilżona wodą z dodatkiem 1% cementu w stosunku objętościowym,</w:t>
      </w:r>
    </w:p>
    <w:p w14:paraId="712D3050" w14:textId="77777777" w:rsidR="00C11DEF" w:rsidRPr="00FA7F06" w:rsidRDefault="00C11DEF" w:rsidP="00C11DEF">
      <w:pPr>
        <w:spacing w:after="0"/>
        <w:jc w:val="both"/>
        <w:rPr>
          <w:sz w:val="16"/>
          <w:szCs w:val="16"/>
        </w:rPr>
      </w:pPr>
      <w:r w:rsidRPr="00FA7F06">
        <w:rPr>
          <w:sz w:val="16"/>
          <w:szCs w:val="16"/>
        </w:rPr>
        <w:t>głębokość wypełnienia spoin zaprawą cementowo-piaskową powinna wynosić około 5 cm,</w:t>
      </w:r>
    </w:p>
    <w:p w14:paraId="6DA35C41" w14:textId="77777777" w:rsidR="00C11DEF" w:rsidRPr="00FA7F06" w:rsidRDefault="00C11DEF" w:rsidP="00C11DEF">
      <w:pPr>
        <w:spacing w:after="0"/>
        <w:jc w:val="both"/>
        <w:rPr>
          <w:sz w:val="16"/>
          <w:szCs w:val="16"/>
        </w:rPr>
      </w:pPr>
      <w:r w:rsidRPr="00FA7F06">
        <w:rPr>
          <w:sz w:val="16"/>
          <w:szCs w:val="16"/>
        </w:rPr>
        <w:t>zaprawa cementowo-piaskowa powinna całkowicie wypełnić spoiny i tworzyć monolit z kostką.</w:t>
      </w:r>
    </w:p>
    <w:p w14:paraId="2F1718BC" w14:textId="77777777" w:rsidR="00C11DEF" w:rsidRPr="00FA7F06" w:rsidRDefault="00C11DEF" w:rsidP="00C11DEF">
      <w:pPr>
        <w:spacing w:after="0"/>
        <w:jc w:val="both"/>
        <w:rPr>
          <w:sz w:val="16"/>
          <w:szCs w:val="16"/>
        </w:rPr>
      </w:pPr>
      <w:r w:rsidRPr="00FA7F06">
        <w:rPr>
          <w:sz w:val="16"/>
          <w:szCs w:val="16"/>
        </w:rPr>
        <w:t>Wypełnienie spoin masą zalewową powinno być wykonane z zachowaniem następujących wymagań:</w:t>
      </w:r>
    </w:p>
    <w:p w14:paraId="241CA629" w14:textId="77777777" w:rsidR="00C11DEF" w:rsidRPr="00FA7F06" w:rsidRDefault="00C11DEF" w:rsidP="00C11DEF">
      <w:pPr>
        <w:spacing w:after="0"/>
        <w:jc w:val="both"/>
        <w:rPr>
          <w:sz w:val="16"/>
          <w:szCs w:val="16"/>
        </w:rPr>
      </w:pPr>
      <w:r w:rsidRPr="00FA7F06">
        <w:rPr>
          <w:sz w:val="16"/>
          <w:szCs w:val="16"/>
        </w:rPr>
        <w:t>masa zalewowa powinna odpowiadać wymaganiom wg pkt 2.7,</w:t>
      </w:r>
    </w:p>
    <w:p w14:paraId="7A1F3FC5" w14:textId="77777777" w:rsidR="00C11DEF" w:rsidRPr="00FA7F06" w:rsidRDefault="00C11DEF" w:rsidP="00C11DEF">
      <w:pPr>
        <w:spacing w:after="0"/>
        <w:jc w:val="both"/>
        <w:rPr>
          <w:sz w:val="16"/>
          <w:szCs w:val="16"/>
        </w:rPr>
      </w:pPr>
      <w:r w:rsidRPr="00FA7F06">
        <w:rPr>
          <w:sz w:val="16"/>
          <w:szCs w:val="16"/>
        </w:rPr>
        <w:t>spoiny przed zalaniem masą zalewową powinny być suche i dokładnie oczyszczone na głębokość około 5 cm,</w:t>
      </w:r>
    </w:p>
    <w:p w14:paraId="1BDE5058" w14:textId="77777777" w:rsidR="00C11DEF" w:rsidRPr="00FA7F06" w:rsidRDefault="00C11DEF" w:rsidP="00C11DEF">
      <w:pPr>
        <w:spacing w:after="0"/>
        <w:jc w:val="both"/>
        <w:rPr>
          <w:sz w:val="16"/>
          <w:szCs w:val="16"/>
        </w:rPr>
      </w:pPr>
      <w:r w:rsidRPr="00FA7F06">
        <w:rPr>
          <w:sz w:val="16"/>
          <w:szCs w:val="16"/>
        </w:rPr>
        <w:t>bezpośrednio przed zalaniem masa powinna być podgrzana do temperatury od 150 do 180oC,</w:t>
      </w:r>
    </w:p>
    <w:p w14:paraId="3ABD0979" w14:textId="77777777" w:rsidR="00C11DEF" w:rsidRPr="00FA7F06" w:rsidRDefault="00C11DEF" w:rsidP="00C11DEF">
      <w:pPr>
        <w:spacing w:after="0"/>
        <w:jc w:val="both"/>
        <w:rPr>
          <w:sz w:val="16"/>
          <w:szCs w:val="16"/>
        </w:rPr>
      </w:pPr>
      <w:r w:rsidRPr="00FA7F06">
        <w:rPr>
          <w:sz w:val="16"/>
          <w:szCs w:val="16"/>
        </w:rPr>
        <w:t>masa powinna dokładnie wypełniać spoiny i wykazywać dobrą przyczepność do kostek.</w:t>
      </w:r>
    </w:p>
    <w:p w14:paraId="01214811" w14:textId="77777777" w:rsidR="00C11DEF" w:rsidRPr="00FA7F06" w:rsidRDefault="00C11DEF" w:rsidP="00C11DEF">
      <w:pPr>
        <w:spacing w:after="0"/>
        <w:jc w:val="both"/>
        <w:rPr>
          <w:sz w:val="16"/>
          <w:szCs w:val="16"/>
        </w:rPr>
      </w:pPr>
      <w:r w:rsidRPr="00FA7F06">
        <w:rPr>
          <w:sz w:val="16"/>
          <w:szCs w:val="16"/>
        </w:rPr>
        <w:t>Wypełnianie spoin przez zamulanie piaskiem powinno być wykonane z zachowaniem następujących wymagań:</w:t>
      </w:r>
    </w:p>
    <w:p w14:paraId="74D6773C" w14:textId="77777777" w:rsidR="00C11DEF" w:rsidRPr="00FA7F06" w:rsidRDefault="00C11DEF" w:rsidP="00C11DEF">
      <w:pPr>
        <w:spacing w:after="0"/>
        <w:jc w:val="both"/>
        <w:rPr>
          <w:sz w:val="16"/>
          <w:szCs w:val="16"/>
        </w:rPr>
      </w:pPr>
      <w:r w:rsidRPr="00FA7F06">
        <w:rPr>
          <w:sz w:val="16"/>
          <w:szCs w:val="16"/>
        </w:rPr>
        <w:t>piasek powinien odpowiadać wymaganiom wg pkt 2.5,</w:t>
      </w:r>
    </w:p>
    <w:p w14:paraId="62A92870" w14:textId="77777777" w:rsidR="00C11DEF" w:rsidRPr="00FA7F06" w:rsidRDefault="00C11DEF" w:rsidP="00C11DEF">
      <w:pPr>
        <w:spacing w:after="0"/>
        <w:jc w:val="both"/>
        <w:rPr>
          <w:sz w:val="16"/>
          <w:szCs w:val="16"/>
        </w:rPr>
      </w:pPr>
      <w:r w:rsidRPr="00FA7F06">
        <w:rPr>
          <w:sz w:val="16"/>
          <w:szCs w:val="16"/>
        </w:rPr>
        <w:t>w czasie zamulania piasek powinien być obficie polewany wodą, aby wypełnił całkowicie spoiny.</w:t>
      </w:r>
    </w:p>
    <w:p w14:paraId="0E814ECC" w14:textId="77777777" w:rsidR="00C11DEF" w:rsidRPr="00FA7F06" w:rsidRDefault="00C11DEF" w:rsidP="00C11DEF">
      <w:pPr>
        <w:spacing w:after="0"/>
        <w:jc w:val="both"/>
        <w:rPr>
          <w:b/>
          <w:sz w:val="16"/>
          <w:szCs w:val="16"/>
        </w:rPr>
      </w:pPr>
      <w:r w:rsidRPr="00FA7F06">
        <w:rPr>
          <w:b/>
          <w:sz w:val="16"/>
          <w:szCs w:val="16"/>
        </w:rPr>
        <w:t>5.6. Pielęgnacja nawierzchni</w:t>
      </w:r>
    </w:p>
    <w:p w14:paraId="11B89020" w14:textId="77777777" w:rsidR="00C11DEF" w:rsidRPr="00FA7F06" w:rsidRDefault="00C11DEF" w:rsidP="00C11DEF">
      <w:pPr>
        <w:spacing w:after="0"/>
        <w:jc w:val="both"/>
        <w:rPr>
          <w:sz w:val="16"/>
          <w:szCs w:val="16"/>
        </w:rPr>
      </w:pPr>
      <w:r w:rsidRPr="00FA7F06">
        <w:rPr>
          <w:sz w:val="16"/>
          <w:szCs w:val="16"/>
        </w:rPr>
        <w:t>Sposób pielęgnacji nawierzchni zależy od rodzaju wypełnienia spoin i od rodzaju podsypki.</w:t>
      </w:r>
    </w:p>
    <w:p w14:paraId="707DCEF3" w14:textId="77777777" w:rsidR="00C11DEF" w:rsidRPr="00FA7F06" w:rsidRDefault="00C11DEF" w:rsidP="00C11DEF">
      <w:pPr>
        <w:spacing w:after="0"/>
        <w:jc w:val="both"/>
        <w:rPr>
          <w:sz w:val="16"/>
          <w:szCs w:val="16"/>
        </w:rPr>
      </w:pPr>
      <w:r w:rsidRPr="00FA7F06">
        <w:rPr>
          <w:sz w:val="16"/>
          <w:szCs w:val="16"/>
        </w:rPr>
        <w:t>Pielęgnacja nawierzchni kostkowej, której spoiny są wypełnione zaprawą cementowo-piaskową polega na polaniu nawierzchni wodą w kilka godzin po zalaniu spoin i utrzymaniu jej w stałej wilgotności przez okres jednej doby. Następnie nawierzchnię należy przykryć piaskiem i utrzymywać w stałej wilgotności przez okres 7 dni. Po upływie od 2 do 3 tygodni - w zależności od warunków atmosferycznych, nawierzchnię należy oczyścić dokładnie z piasku i można oddać do ruchu.</w:t>
      </w:r>
    </w:p>
    <w:p w14:paraId="25792A61" w14:textId="77777777" w:rsidR="00C11DEF" w:rsidRPr="00FA7F06" w:rsidRDefault="00C11DEF" w:rsidP="00C11DEF">
      <w:pPr>
        <w:spacing w:after="0"/>
        <w:jc w:val="both"/>
        <w:rPr>
          <w:sz w:val="16"/>
          <w:szCs w:val="16"/>
        </w:rPr>
      </w:pPr>
      <w:r w:rsidRPr="00FA7F06">
        <w:rPr>
          <w:sz w:val="16"/>
          <w:szCs w:val="16"/>
        </w:rPr>
        <w:t>Nawierzchnia kostkowa, której spoiny zostały wypełnione masą zalewową, może być oddana do ruchu bezpośrednio po wykonaniu, bez czynności pielęgnacyjnych.</w:t>
      </w:r>
    </w:p>
    <w:p w14:paraId="345B8682" w14:textId="77777777" w:rsidR="00C11DEF" w:rsidRPr="00FA7F06" w:rsidRDefault="00C11DEF" w:rsidP="00C11DEF">
      <w:pPr>
        <w:spacing w:after="0"/>
        <w:jc w:val="both"/>
        <w:rPr>
          <w:sz w:val="16"/>
          <w:szCs w:val="16"/>
        </w:rPr>
      </w:pPr>
      <w:r w:rsidRPr="00FA7F06">
        <w:rPr>
          <w:sz w:val="16"/>
          <w:szCs w:val="16"/>
        </w:rPr>
        <w:t>Nawierzchnia kostkowa, której spoiny zostały wypełnione piaskiem i pokryte warstwą piasku, można oddać natychmiast do ruchu. Piasek podczas ruchu wypełnia spoiny i po kilku dniach pielęgnację nawierzchni można uznać za ukończoną.</w:t>
      </w:r>
    </w:p>
    <w:p w14:paraId="32CB4243" w14:textId="77777777" w:rsidR="00C11DEF" w:rsidRPr="00FA7F06" w:rsidRDefault="00C11DEF" w:rsidP="00C11DEF">
      <w:pPr>
        <w:spacing w:after="0"/>
        <w:jc w:val="both"/>
        <w:rPr>
          <w:sz w:val="16"/>
          <w:szCs w:val="16"/>
        </w:rPr>
      </w:pPr>
    </w:p>
    <w:p w14:paraId="3AB9E17A" w14:textId="77777777" w:rsidR="00C11DEF" w:rsidRPr="00FA7F06" w:rsidRDefault="00C11DEF" w:rsidP="00C11DEF">
      <w:pPr>
        <w:spacing w:after="0"/>
        <w:jc w:val="both"/>
        <w:rPr>
          <w:b/>
          <w:sz w:val="16"/>
          <w:szCs w:val="16"/>
        </w:rPr>
      </w:pPr>
      <w:r w:rsidRPr="00FA7F06">
        <w:rPr>
          <w:b/>
          <w:sz w:val="16"/>
          <w:szCs w:val="16"/>
        </w:rPr>
        <w:t>6. KONTROLA JAKOŚCI ROBÓT</w:t>
      </w:r>
    </w:p>
    <w:p w14:paraId="080BD6B2" w14:textId="77777777" w:rsidR="00C11DEF" w:rsidRPr="00FA7F06" w:rsidRDefault="00C11DEF" w:rsidP="00C11DEF">
      <w:pPr>
        <w:spacing w:after="0"/>
        <w:jc w:val="both"/>
        <w:rPr>
          <w:b/>
          <w:sz w:val="16"/>
          <w:szCs w:val="16"/>
        </w:rPr>
      </w:pPr>
      <w:r w:rsidRPr="00FA7F06">
        <w:rPr>
          <w:b/>
          <w:sz w:val="16"/>
          <w:szCs w:val="16"/>
        </w:rPr>
        <w:t>6.1. Ogólne zasady kontroli jakości robót</w:t>
      </w:r>
    </w:p>
    <w:p w14:paraId="4938282E" w14:textId="77777777" w:rsidR="00C11DEF" w:rsidRPr="00FA7F06" w:rsidRDefault="00C11DEF" w:rsidP="00C11DEF">
      <w:pPr>
        <w:spacing w:after="0"/>
        <w:jc w:val="both"/>
        <w:rPr>
          <w:sz w:val="16"/>
          <w:szCs w:val="16"/>
        </w:rPr>
      </w:pPr>
      <w:r w:rsidRPr="00FA7F06">
        <w:rPr>
          <w:sz w:val="16"/>
          <w:szCs w:val="16"/>
        </w:rPr>
        <w:t xml:space="preserve">Ogólne zasady kontroli jakości robót podano w </w:t>
      </w:r>
      <w:proofErr w:type="spellStart"/>
      <w:r w:rsidRPr="00FA7F06">
        <w:rPr>
          <w:sz w:val="16"/>
          <w:szCs w:val="16"/>
        </w:rPr>
        <w:t>STWiORB</w:t>
      </w:r>
      <w:proofErr w:type="spellEnd"/>
      <w:r w:rsidRPr="00FA7F06">
        <w:rPr>
          <w:sz w:val="16"/>
          <w:szCs w:val="16"/>
        </w:rPr>
        <w:t xml:space="preserve"> D-M-00.00.00 „Wymagania ogólne” pkt 6.</w:t>
      </w:r>
    </w:p>
    <w:p w14:paraId="0A6A4B6D" w14:textId="77777777" w:rsidR="00C11DEF" w:rsidRPr="00FA7F06" w:rsidRDefault="00C11DEF" w:rsidP="00C11DEF">
      <w:pPr>
        <w:spacing w:after="0"/>
        <w:jc w:val="both"/>
        <w:rPr>
          <w:b/>
          <w:sz w:val="16"/>
          <w:szCs w:val="16"/>
        </w:rPr>
      </w:pPr>
      <w:r w:rsidRPr="00FA7F06">
        <w:rPr>
          <w:b/>
          <w:sz w:val="16"/>
          <w:szCs w:val="16"/>
        </w:rPr>
        <w:t>6.2. Badania przed przystąpieniem do robót</w:t>
      </w:r>
    </w:p>
    <w:p w14:paraId="2ADC387D" w14:textId="77777777" w:rsidR="00C11DEF" w:rsidRPr="00FA7F06" w:rsidRDefault="00C11DEF" w:rsidP="00C11DEF">
      <w:pPr>
        <w:spacing w:after="0"/>
        <w:jc w:val="both"/>
        <w:rPr>
          <w:sz w:val="16"/>
          <w:szCs w:val="16"/>
        </w:rPr>
      </w:pPr>
      <w:r w:rsidRPr="00FA7F06">
        <w:rPr>
          <w:sz w:val="16"/>
          <w:szCs w:val="16"/>
        </w:rPr>
        <w:t>Rodzaj i zakres badań dla kostek kamiennych powinien być zgodny z wymaganiami wg PN-B-11100 [8].</w:t>
      </w:r>
    </w:p>
    <w:p w14:paraId="5D6FED79" w14:textId="77777777" w:rsidR="00C11DEF" w:rsidRPr="00FA7F06" w:rsidRDefault="00C11DEF" w:rsidP="00C11DEF">
      <w:pPr>
        <w:spacing w:after="0"/>
        <w:jc w:val="both"/>
        <w:rPr>
          <w:sz w:val="16"/>
          <w:szCs w:val="16"/>
        </w:rPr>
      </w:pPr>
      <w:r w:rsidRPr="00FA7F06">
        <w:rPr>
          <w:sz w:val="16"/>
          <w:szCs w:val="16"/>
        </w:rPr>
        <w:t>Badanie zwykłe obejmuje sprawdzenie cech zewnętrznych i dopuszczalnych odchyłek, podanych w tablicach 2, 3, 4.</w:t>
      </w:r>
    </w:p>
    <w:p w14:paraId="29F62189" w14:textId="77777777" w:rsidR="00C11DEF" w:rsidRPr="00FA7F06" w:rsidRDefault="00C11DEF" w:rsidP="00C11DEF">
      <w:pPr>
        <w:spacing w:after="0"/>
        <w:jc w:val="both"/>
        <w:rPr>
          <w:sz w:val="16"/>
          <w:szCs w:val="16"/>
        </w:rPr>
      </w:pPr>
      <w:r w:rsidRPr="00FA7F06">
        <w:rPr>
          <w:sz w:val="16"/>
          <w:szCs w:val="16"/>
        </w:rPr>
        <w:t>Badanie pełne obejmuje zakres badania zwykłego oraz sprawdzenie cech fizycznych i wytrzymałościowych podanych w tablicy 1.</w:t>
      </w:r>
    </w:p>
    <w:p w14:paraId="627151CB" w14:textId="77777777" w:rsidR="00C11DEF" w:rsidRPr="00FA7F06" w:rsidRDefault="00C11DEF" w:rsidP="00C11DEF">
      <w:pPr>
        <w:spacing w:after="0"/>
        <w:jc w:val="both"/>
        <w:rPr>
          <w:sz w:val="16"/>
          <w:szCs w:val="16"/>
        </w:rPr>
      </w:pPr>
      <w:r w:rsidRPr="00FA7F06">
        <w:rPr>
          <w:sz w:val="16"/>
          <w:szCs w:val="16"/>
        </w:rPr>
        <w:t>W skład partii przeznaczonej do badań powinny wchodzić kostki jednakowego typu, rodzaju klasy i wielkości. Wielkość partii nie powinna przekraczać 500 ton kostki.</w:t>
      </w:r>
    </w:p>
    <w:p w14:paraId="305BCE76" w14:textId="77777777" w:rsidR="00C11DEF" w:rsidRPr="00FA7F06" w:rsidRDefault="00C11DEF" w:rsidP="00C11DEF">
      <w:pPr>
        <w:spacing w:after="0"/>
        <w:jc w:val="both"/>
        <w:rPr>
          <w:sz w:val="16"/>
          <w:szCs w:val="16"/>
        </w:rPr>
      </w:pPr>
      <w:r w:rsidRPr="00FA7F06">
        <w:rPr>
          <w:sz w:val="16"/>
          <w:szCs w:val="16"/>
        </w:rPr>
        <w:t>Z partii przeznaczonej do badań należy pobrać w sposób losowy próbkę składającą się z kostek drogowych w liczbie:</w:t>
      </w:r>
    </w:p>
    <w:p w14:paraId="4D0C460E" w14:textId="77777777" w:rsidR="00C11DEF" w:rsidRPr="00FA7F06" w:rsidRDefault="00C11DEF" w:rsidP="00C11DEF">
      <w:pPr>
        <w:pStyle w:val="Akapitzlist"/>
        <w:numPr>
          <w:ilvl w:val="0"/>
          <w:numId w:val="232"/>
        </w:numPr>
        <w:spacing w:after="0"/>
        <w:jc w:val="both"/>
        <w:rPr>
          <w:sz w:val="16"/>
          <w:szCs w:val="16"/>
        </w:rPr>
      </w:pPr>
      <w:r w:rsidRPr="00FA7F06">
        <w:rPr>
          <w:sz w:val="16"/>
          <w:szCs w:val="16"/>
        </w:rPr>
        <w:t>do badania zwykłego: 40 sztuk,</w:t>
      </w:r>
    </w:p>
    <w:p w14:paraId="6AE861F9" w14:textId="77777777" w:rsidR="00C11DEF" w:rsidRPr="00FA7F06" w:rsidRDefault="00C11DEF" w:rsidP="00C11DEF">
      <w:pPr>
        <w:pStyle w:val="Akapitzlist"/>
        <w:numPr>
          <w:ilvl w:val="0"/>
          <w:numId w:val="232"/>
        </w:numPr>
        <w:spacing w:after="0"/>
        <w:jc w:val="both"/>
        <w:rPr>
          <w:sz w:val="16"/>
          <w:szCs w:val="16"/>
        </w:rPr>
      </w:pPr>
      <w:r w:rsidRPr="00FA7F06">
        <w:rPr>
          <w:sz w:val="16"/>
          <w:szCs w:val="16"/>
        </w:rPr>
        <w:t>do badania cech podanych w tablicy 1: 6 sztuk.</w:t>
      </w:r>
    </w:p>
    <w:p w14:paraId="700373F5" w14:textId="77777777" w:rsidR="00C11DEF" w:rsidRPr="00FA7F06" w:rsidRDefault="00C11DEF" w:rsidP="00C11DEF">
      <w:pPr>
        <w:spacing w:after="0"/>
        <w:jc w:val="both"/>
        <w:rPr>
          <w:sz w:val="16"/>
          <w:szCs w:val="16"/>
        </w:rPr>
      </w:pPr>
      <w:r w:rsidRPr="00FA7F06">
        <w:rPr>
          <w:sz w:val="16"/>
          <w:szCs w:val="16"/>
        </w:rPr>
        <w:lastRenderedPageBreak/>
        <w:t>Badania zwykłe należy przeprowadzać przy każdym sprawdzaniu zgodności partii z wymaganiami normy, badanie pełne przeprowadza się na żądanie odbiorcy.</w:t>
      </w:r>
    </w:p>
    <w:p w14:paraId="4F846A6D" w14:textId="77777777" w:rsidR="00C11DEF" w:rsidRPr="00FA7F06" w:rsidRDefault="00C11DEF" w:rsidP="00C11DEF">
      <w:pPr>
        <w:spacing w:after="0"/>
        <w:jc w:val="both"/>
        <w:rPr>
          <w:sz w:val="16"/>
          <w:szCs w:val="16"/>
        </w:rPr>
      </w:pPr>
      <w:r w:rsidRPr="00FA7F06">
        <w:rPr>
          <w:sz w:val="16"/>
          <w:szCs w:val="16"/>
        </w:rPr>
        <w:t>W badaniu zwykłym partię kostki należy uznać za zgodną z wymaganiami normy, jeżeli liczba sztuk niedobrych w zbadanej ilości kostek jest dla poszczególnych sprawdzań równa lub mniejsza od 4.</w:t>
      </w:r>
    </w:p>
    <w:p w14:paraId="25F3AB25" w14:textId="77777777" w:rsidR="00C11DEF" w:rsidRPr="00FA7F06" w:rsidRDefault="00C11DEF" w:rsidP="00C11DEF">
      <w:pPr>
        <w:spacing w:after="0"/>
        <w:jc w:val="both"/>
        <w:rPr>
          <w:sz w:val="16"/>
          <w:szCs w:val="16"/>
        </w:rPr>
      </w:pPr>
      <w:r w:rsidRPr="00FA7F06">
        <w:rPr>
          <w:sz w:val="16"/>
          <w:szCs w:val="16"/>
        </w:rPr>
        <w:t>W przypadku gdy liczba kostek niedobrych dla jednego sprawdzenia jest większa od 4, całą partię należy uznać za niezgodną z wymaganiami.</w:t>
      </w:r>
    </w:p>
    <w:p w14:paraId="0FF9723A" w14:textId="77777777" w:rsidR="00C11DEF" w:rsidRPr="00FA7F06" w:rsidRDefault="00C11DEF" w:rsidP="00C11DEF">
      <w:pPr>
        <w:spacing w:after="0"/>
        <w:jc w:val="both"/>
        <w:rPr>
          <w:sz w:val="16"/>
          <w:szCs w:val="16"/>
        </w:rPr>
      </w:pPr>
      <w:r w:rsidRPr="00FA7F06">
        <w:rPr>
          <w:sz w:val="16"/>
          <w:szCs w:val="16"/>
        </w:rPr>
        <w:t>W badaniu pełnym, partię kostki poddaną sprawdzeniu cech podanych w tablicy 1, należy uznać za zgodną z wymaganiami normy, jeżeli wszystkie sprawdzenia dadzą wynik dodatni. Jeżeli chociaż jedno ze sprawdzeń da wynik ujemny, całą partię należy uznać za niezgodną z wymaganiami.</w:t>
      </w:r>
    </w:p>
    <w:p w14:paraId="6F9FCEFE" w14:textId="77777777" w:rsidR="00C11DEF" w:rsidRPr="00FA7F06" w:rsidRDefault="00C11DEF" w:rsidP="00C11DEF">
      <w:pPr>
        <w:spacing w:after="0"/>
        <w:jc w:val="both"/>
        <w:rPr>
          <w:sz w:val="16"/>
          <w:szCs w:val="16"/>
        </w:rPr>
      </w:pPr>
      <w:r w:rsidRPr="00FA7F06">
        <w:rPr>
          <w:sz w:val="16"/>
          <w:szCs w:val="16"/>
        </w:rPr>
        <w:t>Badania pozostałych materiałów stosowanych do wykonania nawierzchni z kostek kamiennych, powinny obejmować wszystkie właściwości, które zostały określone w normach podanych dla odpowiednich materiałów wg pkt od 2.3 do 2.7.</w:t>
      </w:r>
    </w:p>
    <w:p w14:paraId="60D4E1C1" w14:textId="77777777" w:rsidR="00C11DEF" w:rsidRPr="00FA7F06" w:rsidRDefault="00C11DEF" w:rsidP="00C11DEF">
      <w:pPr>
        <w:spacing w:after="0"/>
        <w:jc w:val="both"/>
        <w:rPr>
          <w:b/>
          <w:sz w:val="16"/>
          <w:szCs w:val="16"/>
        </w:rPr>
      </w:pPr>
      <w:r w:rsidRPr="00FA7F06">
        <w:rPr>
          <w:b/>
          <w:sz w:val="16"/>
          <w:szCs w:val="16"/>
        </w:rPr>
        <w:t>6.3. Badania w czasie robót</w:t>
      </w:r>
    </w:p>
    <w:p w14:paraId="61E59023" w14:textId="77777777" w:rsidR="00C11DEF" w:rsidRPr="00FA7F06" w:rsidRDefault="00C11DEF" w:rsidP="00C11DEF">
      <w:pPr>
        <w:spacing w:after="0"/>
        <w:jc w:val="both"/>
        <w:rPr>
          <w:sz w:val="16"/>
          <w:szCs w:val="16"/>
        </w:rPr>
      </w:pPr>
      <w:r w:rsidRPr="00FA7F06">
        <w:rPr>
          <w:sz w:val="16"/>
          <w:szCs w:val="16"/>
        </w:rPr>
        <w:t>6.3.1. Sprawdzenie podsypki</w:t>
      </w:r>
    </w:p>
    <w:p w14:paraId="3ED7858D" w14:textId="77777777" w:rsidR="00C11DEF" w:rsidRPr="00FA7F06" w:rsidRDefault="00C11DEF" w:rsidP="00C11DEF">
      <w:pPr>
        <w:spacing w:after="0"/>
        <w:jc w:val="both"/>
        <w:rPr>
          <w:sz w:val="16"/>
          <w:szCs w:val="16"/>
        </w:rPr>
      </w:pPr>
      <w:r w:rsidRPr="00FA7F06">
        <w:rPr>
          <w:sz w:val="16"/>
          <w:szCs w:val="16"/>
        </w:rPr>
        <w:t>Sprawdzenie podsypki polega na stwierdzeniu jej zgodności z dokumentacją projektową oraz z wymaganiami określonymi w p. 5.4.</w:t>
      </w:r>
    </w:p>
    <w:p w14:paraId="6D2B4F35" w14:textId="77777777" w:rsidR="00C11DEF" w:rsidRPr="00FA7F06" w:rsidRDefault="00C11DEF" w:rsidP="00C11DEF">
      <w:pPr>
        <w:spacing w:after="0"/>
        <w:jc w:val="both"/>
        <w:rPr>
          <w:sz w:val="16"/>
          <w:szCs w:val="16"/>
        </w:rPr>
      </w:pPr>
      <w:r w:rsidRPr="00FA7F06">
        <w:rPr>
          <w:sz w:val="16"/>
          <w:szCs w:val="16"/>
        </w:rPr>
        <w:t>6.3.2. Badanie prawidłowości układania kostki</w:t>
      </w:r>
    </w:p>
    <w:p w14:paraId="318A8E0E" w14:textId="77777777" w:rsidR="00C11DEF" w:rsidRPr="00FA7F06" w:rsidRDefault="00C11DEF" w:rsidP="00C11DEF">
      <w:pPr>
        <w:spacing w:after="0"/>
        <w:jc w:val="both"/>
        <w:rPr>
          <w:sz w:val="16"/>
          <w:szCs w:val="16"/>
        </w:rPr>
      </w:pPr>
      <w:r w:rsidRPr="00FA7F06">
        <w:rPr>
          <w:sz w:val="16"/>
          <w:szCs w:val="16"/>
        </w:rPr>
        <w:t>Badanie prawidłowości układania kostki polega na:</w:t>
      </w:r>
    </w:p>
    <w:p w14:paraId="2B7874D9" w14:textId="77777777" w:rsidR="00C11DEF" w:rsidRPr="00FA7F06" w:rsidRDefault="00C11DEF" w:rsidP="001E30D6">
      <w:pPr>
        <w:pStyle w:val="Akapitzlist"/>
        <w:numPr>
          <w:ilvl w:val="0"/>
          <w:numId w:val="234"/>
        </w:numPr>
        <w:spacing w:after="0"/>
        <w:jc w:val="both"/>
        <w:rPr>
          <w:sz w:val="16"/>
          <w:szCs w:val="16"/>
        </w:rPr>
      </w:pPr>
      <w:r w:rsidRPr="00FA7F06">
        <w:rPr>
          <w:sz w:val="16"/>
          <w:szCs w:val="16"/>
        </w:rPr>
        <w:t>zmierzeniu szerokości spoin oraz powiązania spoin i sprawdzeniu zgodności z p. 5.5.6,</w:t>
      </w:r>
    </w:p>
    <w:p w14:paraId="4727606E" w14:textId="77777777" w:rsidR="00C11DEF" w:rsidRPr="00FA7F06" w:rsidRDefault="00C11DEF" w:rsidP="001E30D6">
      <w:pPr>
        <w:pStyle w:val="Akapitzlist"/>
        <w:numPr>
          <w:ilvl w:val="0"/>
          <w:numId w:val="234"/>
        </w:numPr>
        <w:spacing w:after="0"/>
        <w:jc w:val="both"/>
        <w:rPr>
          <w:sz w:val="16"/>
          <w:szCs w:val="16"/>
        </w:rPr>
      </w:pPr>
      <w:r w:rsidRPr="00FA7F06">
        <w:rPr>
          <w:sz w:val="16"/>
          <w:szCs w:val="16"/>
        </w:rPr>
        <w:t>zbadaniu rodzaju i gatunku użytej kostki, zgodnie z wymogami wg p. od 2.2.2 do 2.2.5,</w:t>
      </w:r>
    </w:p>
    <w:p w14:paraId="4CAB2D42" w14:textId="77777777" w:rsidR="00C11DEF" w:rsidRPr="00FA7F06" w:rsidRDefault="00C11DEF" w:rsidP="001E30D6">
      <w:pPr>
        <w:pStyle w:val="Akapitzlist"/>
        <w:numPr>
          <w:ilvl w:val="0"/>
          <w:numId w:val="234"/>
        </w:numPr>
        <w:spacing w:after="0"/>
        <w:jc w:val="both"/>
        <w:rPr>
          <w:sz w:val="16"/>
          <w:szCs w:val="16"/>
        </w:rPr>
      </w:pPr>
      <w:r w:rsidRPr="00FA7F06">
        <w:rPr>
          <w:sz w:val="16"/>
          <w:szCs w:val="16"/>
        </w:rPr>
        <w:t>sprawdzeniu prawidłowości wykonania szczelin dylatacyjnych zgodnie z p. 5.5.3.</w:t>
      </w:r>
    </w:p>
    <w:p w14:paraId="5DF419E3" w14:textId="77777777" w:rsidR="00C11DEF" w:rsidRPr="00FA7F06" w:rsidRDefault="00C11DEF" w:rsidP="00C11DEF">
      <w:pPr>
        <w:spacing w:after="0"/>
        <w:jc w:val="both"/>
        <w:rPr>
          <w:sz w:val="16"/>
          <w:szCs w:val="16"/>
        </w:rPr>
      </w:pPr>
      <w:r w:rsidRPr="00FA7F06">
        <w:rPr>
          <w:sz w:val="16"/>
          <w:szCs w:val="16"/>
        </w:rPr>
        <w:t>Sprawdzenie wiązania kostki wykonuje się wyrywkowo w kilku miejscach przez oględziny nawierzchni i określenie czy wiązanie odpowiada wymaganiom wg p. 5.5.</w:t>
      </w:r>
    </w:p>
    <w:p w14:paraId="7891FC4B" w14:textId="77777777" w:rsidR="00C11DEF" w:rsidRPr="00FA7F06" w:rsidRDefault="00C11DEF" w:rsidP="00C11DEF">
      <w:pPr>
        <w:spacing w:after="0"/>
        <w:jc w:val="both"/>
        <w:rPr>
          <w:sz w:val="16"/>
          <w:szCs w:val="16"/>
        </w:rPr>
      </w:pPr>
      <w:r w:rsidRPr="00FA7F06">
        <w:rPr>
          <w:sz w:val="16"/>
          <w:szCs w:val="16"/>
        </w:rPr>
        <w:t>Ubicie kostki sprawdza się przez swobodne jednokrotne opuszczenie z wysokości 15 cm ubijaka o masie 25 kg na poszczególne kostki. Pod wpływem takiego uderzenia osiadanie kostek nie powinno być dostrzegane.</w:t>
      </w:r>
    </w:p>
    <w:p w14:paraId="1388B97E" w14:textId="77777777" w:rsidR="00C11DEF" w:rsidRPr="00FA7F06" w:rsidRDefault="00C11DEF" w:rsidP="00C11DEF">
      <w:pPr>
        <w:spacing w:after="0"/>
        <w:jc w:val="both"/>
        <w:rPr>
          <w:sz w:val="16"/>
          <w:szCs w:val="16"/>
        </w:rPr>
      </w:pPr>
      <w:r w:rsidRPr="00FA7F06">
        <w:rPr>
          <w:sz w:val="16"/>
          <w:szCs w:val="16"/>
        </w:rPr>
        <w:t>6.3.3. Sprawdzenie wypełnienia spoin</w:t>
      </w:r>
    </w:p>
    <w:p w14:paraId="7F40CE24" w14:textId="77777777" w:rsidR="00C11DEF" w:rsidRPr="00FA7F06" w:rsidRDefault="00C11DEF" w:rsidP="00C11DEF">
      <w:pPr>
        <w:spacing w:after="0"/>
        <w:jc w:val="both"/>
        <w:rPr>
          <w:sz w:val="16"/>
          <w:szCs w:val="16"/>
        </w:rPr>
      </w:pPr>
      <w:r w:rsidRPr="00FA7F06">
        <w:rPr>
          <w:sz w:val="16"/>
          <w:szCs w:val="16"/>
        </w:rPr>
        <w:t>Badanie prawidłowości wypełnienia spoin polega na sprawdzeniu zgodności z wymaganiami zawartymi w p. 5.5.6.</w:t>
      </w:r>
    </w:p>
    <w:p w14:paraId="74314432" w14:textId="77777777" w:rsidR="00C11DEF" w:rsidRPr="00FA7F06" w:rsidRDefault="00C11DEF" w:rsidP="00C11DEF">
      <w:pPr>
        <w:spacing w:after="0"/>
        <w:jc w:val="both"/>
        <w:rPr>
          <w:sz w:val="16"/>
          <w:szCs w:val="16"/>
        </w:rPr>
      </w:pPr>
      <w:r w:rsidRPr="00FA7F06">
        <w:rPr>
          <w:sz w:val="16"/>
          <w:szCs w:val="16"/>
        </w:rPr>
        <w:t>Sprawdzenie wypełnienia spoin wykonuje się co najmniej w pięciu dowolnie obranych miejscach na każdym kilometrze przez wykruszenie zaprawy na długości około 10 cm i zmierzenie głębokości wypełnienia spoiny zaprawą, a przy zaprawie cementowo-piaskowej i masie zalewowej - również przez sprawdzenie przyczepności zaprawy lub masy zalewowej do kostki.</w:t>
      </w:r>
    </w:p>
    <w:p w14:paraId="21121B97" w14:textId="77777777" w:rsidR="00C11DEF" w:rsidRPr="00FA7F06" w:rsidRDefault="00C11DEF" w:rsidP="00C11DEF">
      <w:pPr>
        <w:spacing w:after="0"/>
        <w:jc w:val="both"/>
        <w:rPr>
          <w:b/>
          <w:sz w:val="16"/>
          <w:szCs w:val="16"/>
        </w:rPr>
      </w:pPr>
      <w:r w:rsidRPr="00FA7F06">
        <w:rPr>
          <w:b/>
          <w:sz w:val="16"/>
          <w:szCs w:val="16"/>
        </w:rPr>
        <w:t>6.4. Sprawdzenie cech geometrycznych nawierzchni</w:t>
      </w:r>
    </w:p>
    <w:p w14:paraId="4EB93936" w14:textId="77777777" w:rsidR="00C11DEF" w:rsidRPr="00FA7F06" w:rsidRDefault="00C11DEF" w:rsidP="00C11DEF">
      <w:pPr>
        <w:spacing w:after="0"/>
        <w:jc w:val="both"/>
        <w:rPr>
          <w:sz w:val="16"/>
          <w:szCs w:val="16"/>
        </w:rPr>
      </w:pPr>
      <w:r w:rsidRPr="00FA7F06">
        <w:rPr>
          <w:sz w:val="16"/>
          <w:szCs w:val="16"/>
        </w:rPr>
        <w:t>6.4.1. Równość</w:t>
      </w:r>
    </w:p>
    <w:p w14:paraId="32D49FCA" w14:textId="2C981B16" w:rsidR="00C11DEF" w:rsidRPr="00FA7F06" w:rsidRDefault="00C11DEF" w:rsidP="00C11DEF">
      <w:pPr>
        <w:spacing w:after="0"/>
        <w:jc w:val="both"/>
        <w:rPr>
          <w:sz w:val="16"/>
          <w:szCs w:val="16"/>
        </w:rPr>
      </w:pPr>
      <w:r w:rsidRPr="00FA7F06">
        <w:rPr>
          <w:sz w:val="16"/>
          <w:szCs w:val="16"/>
        </w:rPr>
        <w:t xml:space="preserve">Nierówności podłużne nawierzchni należy mierzyć 4-metrową łatą lub </w:t>
      </w:r>
      <w:proofErr w:type="spellStart"/>
      <w:r w:rsidRPr="00FA7F06">
        <w:rPr>
          <w:sz w:val="16"/>
          <w:szCs w:val="16"/>
        </w:rPr>
        <w:t>planografem</w:t>
      </w:r>
      <w:proofErr w:type="spellEnd"/>
      <w:r w:rsidRPr="00FA7F06">
        <w:rPr>
          <w:sz w:val="16"/>
          <w:szCs w:val="16"/>
        </w:rPr>
        <w:t xml:space="preserve">, zgodnie z normą </w:t>
      </w:r>
      <w:r w:rsidR="001E30D6" w:rsidRPr="00FA7F06">
        <w:rPr>
          <w:sz w:val="16"/>
          <w:szCs w:val="16"/>
        </w:rPr>
        <w:t>PN-EN 13036-7:2004 [18]</w:t>
      </w:r>
      <w:r w:rsidRPr="00FA7F06">
        <w:rPr>
          <w:sz w:val="16"/>
          <w:szCs w:val="16"/>
        </w:rPr>
        <w:t>.</w:t>
      </w:r>
    </w:p>
    <w:p w14:paraId="2202D3B0" w14:textId="77777777" w:rsidR="00C11DEF" w:rsidRPr="00FA7F06" w:rsidRDefault="00C11DEF" w:rsidP="00C11DEF">
      <w:pPr>
        <w:spacing w:after="0"/>
        <w:jc w:val="both"/>
        <w:rPr>
          <w:sz w:val="16"/>
          <w:szCs w:val="16"/>
        </w:rPr>
      </w:pPr>
      <w:r w:rsidRPr="00FA7F06">
        <w:rPr>
          <w:sz w:val="16"/>
          <w:szCs w:val="16"/>
        </w:rPr>
        <w:t>Nierówności podłużne nawierzchni nie powinny przekraczać 1,0 cm.</w:t>
      </w:r>
    </w:p>
    <w:p w14:paraId="617FCF77" w14:textId="77777777" w:rsidR="00C11DEF" w:rsidRPr="00FA7F06" w:rsidRDefault="00C11DEF" w:rsidP="00C11DEF">
      <w:pPr>
        <w:spacing w:after="0"/>
        <w:jc w:val="both"/>
        <w:rPr>
          <w:sz w:val="16"/>
          <w:szCs w:val="16"/>
        </w:rPr>
      </w:pPr>
      <w:r w:rsidRPr="00FA7F06">
        <w:rPr>
          <w:sz w:val="16"/>
          <w:szCs w:val="16"/>
        </w:rPr>
        <w:t>6.4.2. Spadki poprzeczne</w:t>
      </w:r>
    </w:p>
    <w:p w14:paraId="7F4701D6" w14:textId="77777777" w:rsidR="00C11DEF" w:rsidRPr="00FA7F06" w:rsidRDefault="00C11DEF" w:rsidP="00C11DEF">
      <w:pPr>
        <w:spacing w:after="0"/>
        <w:jc w:val="both"/>
        <w:rPr>
          <w:sz w:val="16"/>
          <w:szCs w:val="16"/>
        </w:rPr>
      </w:pPr>
      <w:r w:rsidRPr="00FA7F06">
        <w:rPr>
          <w:sz w:val="16"/>
          <w:szCs w:val="16"/>
        </w:rPr>
        <w:t>Spadki poprzeczne nawierzchni powinny być zgodne z dokumentacją projektową z tolerancją ± 0,5%.</w:t>
      </w:r>
    </w:p>
    <w:p w14:paraId="621E6760" w14:textId="77777777" w:rsidR="00C11DEF" w:rsidRPr="00FA7F06" w:rsidRDefault="00C11DEF" w:rsidP="00C11DEF">
      <w:pPr>
        <w:spacing w:after="0"/>
        <w:jc w:val="both"/>
        <w:rPr>
          <w:sz w:val="16"/>
          <w:szCs w:val="16"/>
        </w:rPr>
      </w:pPr>
      <w:r w:rsidRPr="00FA7F06">
        <w:rPr>
          <w:sz w:val="16"/>
          <w:szCs w:val="16"/>
        </w:rPr>
        <w:t>6.4.3. Rzędne wysokościowe</w:t>
      </w:r>
    </w:p>
    <w:p w14:paraId="4370B8CC" w14:textId="77777777" w:rsidR="00C11DEF" w:rsidRPr="00FA7F06" w:rsidRDefault="00C11DEF" w:rsidP="00C11DEF">
      <w:pPr>
        <w:spacing w:after="0"/>
        <w:jc w:val="both"/>
        <w:rPr>
          <w:sz w:val="16"/>
          <w:szCs w:val="16"/>
        </w:rPr>
      </w:pPr>
      <w:r w:rsidRPr="00FA7F06">
        <w:rPr>
          <w:sz w:val="16"/>
          <w:szCs w:val="16"/>
        </w:rPr>
        <w:t>Różnice pomiędzy rzędnymi wykonanej nawierzchni i rzędnymi projektowanymi nie powinny przekraczać +1 cm i -2 cm.</w:t>
      </w:r>
    </w:p>
    <w:p w14:paraId="566E4BAA" w14:textId="77777777" w:rsidR="00C11DEF" w:rsidRPr="00FA7F06" w:rsidRDefault="00C11DEF" w:rsidP="00C11DEF">
      <w:pPr>
        <w:spacing w:after="0"/>
        <w:jc w:val="both"/>
        <w:rPr>
          <w:sz w:val="16"/>
          <w:szCs w:val="16"/>
        </w:rPr>
      </w:pPr>
      <w:r w:rsidRPr="00FA7F06">
        <w:rPr>
          <w:sz w:val="16"/>
          <w:szCs w:val="16"/>
        </w:rPr>
        <w:t>6.4.4. Ukształtowanie osi</w:t>
      </w:r>
    </w:p>
    <w:p w14:paraId="6059A5A1" w14:textId="77777777" w:rsidR="00C11DEF" w:rsidRPr="00FA7F06" w:rsidRDefault="00C11DEF" w:rsidP="00C11DEF">
      <w:pPr>
        <w:spacing w:after="0"/>
        <w:jc w:val="both"/>
        <w:rPr>
          <w:sz w:val="16"/>
          <w:szCs w:val="16"/>
        </w:rPr>
      </w:pPr>
      <w:r w:rsidRPr="00FA7F06">
        <w:rPr>
          <w:sz w:val="16"/>
          <w:szCs w:val="16"/>
        </w:rPr>
        <w:t>Oś nawierzchni w planie nie może być przesunięta w stosunku do osi projektowanej o więcej niż ± 5 cm.</w:t>
      </w:r>
    </w:p>
    <w:p w14:paraId="6A33E867" w14:textId="77777777" w:rsidR="00C11DEF" w:rsidRPr="00FA7F06" w:rsidRDefault="00C11DEF" w:rsidP="00C11DEF">
      <w:pPr>
        <w:spacing w:after="0"/>
        <w:jc w:val="both"/>
        <w:rPr>
          <w:sz w:val="16"/>
          <w:szCs w:val="16"/>
        </w:rPr>
      </w:pPr>
      <w:r w:rsidRPr="00FA7F06">
        <w:rPr>
          <w:sz w:val="16"/>
          <w:szCs w:val="16"/>
        </w:rPr>
        <w:t>6.4.5. Szerokość nawierzchni</w:t>
      </w:r>
    </w:p>
    <w:p w14:paraId="6467AC3B" w14:textId="77777777" w:rsidR="00C11DEF" w:rsidRPr="00FA7F06" w:rsidRDefault="00C11DEF" w:rsidP="00C11DEF">
      <w:pPr>
        <w:spacing w:after="0"/>
        <w:jc w:val="both"/>
        <w:rPr>
          <w:sz w:val="16"/>
          <w:szCs w:val="16"/>
        </w:rPr>
      </w:pPr>
      <w:r w:rsidRPr="00FA7F06">
        <w:rPr>
          <w:sz w:val="16"/>
          <w:szCs w:val="16"/>
        </w:rPr>
        <w:t>Szerokość nawierzchni nie może różnić się od szerokości projektowanej o więcej niż ± 5 cm.</w:t>
      </w:r>
    </w:p>
    <w:p w14:paraId="78473417" w14:textId="77777777" w:rsidR="00C11DEF" w:rsidRPr="00FA7F06" w:rsidRDefault="00C11DEF" w:rsidP="00C11DEF">
      <w:pPr>
        <w:spacing w:after="0"/>
        <w:jc w:val="both"/>
        <w:rPr>
          <w:sz w:val="16"/>
          <w:szCs w:val="16"/>
        </w:rPr>
      </w:pPr>
      <w:r w:rsidRPr="00FA7F06">
        <w:rPr>
          <w:sz w:val="16"/>
          <w:szCs w:val="16"/>
        </w:rPr>
        <w:t>6.4.6. Grubość podsypki</w:t>
      </w:r>
    </w:p>
    <w:p w14:paraId="5EA63C55" w14:textId="77777777" w:rsidR="00C11DEF" w:rsidRPr="00FA7F06" w:rsidRDefault="00C11DEF" w:rsidP="00C11DEF">
      <w:pPr>
        <w:spacing w:after="0"/>
        <w:jc w:val="both"/>
        <w:rPr>
          <w:sz w:val="16"/>
          <w:szCs w:val="16"/>
        </w:rPr>
      </w:pPr>
      <w:r w:rsidRPr="00FA7F06">
        <w:rPr>
          <w:sz w:val="16"/>
          <w:szCs w:val="16"/>
        </w:rPr>
        <w:t>Dopuszczalne odchyłki od projektowanej grubości podsypki nie powinny przekraczać ± 1,0 cm.</w:t>
      </w:r>
    </w:p>
    <w:p w14:paraId="2A656AF6" w14:textId="77777777" w:rsidR="00C11DEF" w:rsidRPr="00FA7F06" w:rsidRDefault="00C11DEF" w:rsidP="00C11DEF">
      <w:pPr>
        <w:spacing w:after="0"/>
        <w:jc w:val="both"/>
        <w:rPr>
          <w:sz w:val="16"/>
          <w:szCs w:val="16"/>
        </w:rPr>
      </w:pPr>
      <w:r w:rsidRPr="00FA7F06">
        <w:rPr>
          <w:sz w:val="16"/>
          <w:szCs w:val="16"/>
        </w:rPr>
        <w:t>6.4.7. Częstotliwość oraz zakres badań i pomiarów</w:t>
      </w:r>
    </w:p>
    <w:p w14:paraId="0FC5304B" w14:textId="77777777" w:rsidR="00C11DEF" w:rsidRPr="00FA7F06" w:rsidRDefault="00C11DEF" w:rsidP="00C11DEF">
      <w:pPr>
        <w:spacing w:after="0"/>
        <w:jc w:val="both"/>
        <w:rPr>
          <w:sz w:val="16"/>
          <w:szCs w:val="16"/>
        </w:rPr>
      </w:pPr>
      <w:r w:rsidRPr="00FA7F06">
        <w:rPr>
          <w:sz w:val="16"/>
          <w:szCs w:val="16"/>
        </w:rPr>
        <w:t>Częstotliwość oraz zakres badań i pomiarów wykonanej nawierzchni z kostek kamiennych przedstawiono w tablicy 5.</w:t>
      </w:r>
    </w:p>
    <w:p w14:paraId="1ADA6751" w14:textId="77777777" w:rsidR="00C11DEF" w:rsidRPr="00FA7F06" w:rsidRDefault="00C11DEF" w:rsidP="00C11DEF">
      <w:pPr>
        <w:spacing w:after="0"/>
        <w:jc w:val="both"/>
        <w:rPr>
          <w:sz w:val="16"/>
          <w:szCs w:val="16"/>
        </w:rPr>
      </w:pPr>
    </w:p>
    <w:p w14:paraId="47BA5F80" w14:textId="77777777" w:rsidR="00C11DEF" w:rsidRPr="00FA7F06" w:rsidRDefault="00C11DEF" w:rsidP="00C11DEF">
      <w:pPr>
        <w:spacing w:after="0"/>
        <w:jc w:val="both"/>
        <w:rPr>
          <w:sz w:val="16"/>
          <w:szCs w:val="16"/>
        </w:rPr>
      </w:pPr>
      <w:r w:rsidRPr="00FA7F06">
        <w:rPr>
          <w:sz w:val="16"/>
          <w:szCs w:val="16"/>
        </w:rPr>
        <w:t>Tablica 5. Częstotliwość i zakres badań cech geometrycznych nawierzchni</w:t>
      </w:r>
    </w:p>
    <w:tbl>
      <w:tblPr>
        <w:tblW w:w="7560" w:type="dxa"/>
        <w:tblCellSpacing w:w="7"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415"/>
        <w:gridCol w:w="2543"/>
        <w:gridCol w:w="4602"/>
      </w:tblGrid>
      <w:tr w:rsidR="00FA7F06" w:rsidRPr="00FA7F06" w14:paraId="34FEB7DA" w14:textId="77777777" w:rsidTr="00CF35EE">
        <w:trPr>
          <w:tblCellSpacing w:w="7" w:type="dxa"/>
        </w:trPr>
        <w:tc>
          <w:tcPr>
            <w:tcW w:w="315" w:type="dxa"/>
            <w:tcBorders>
              <w:top w:val="outset" w:sz="6" w:space="0" w:color="000000"/>
              <w:left w:val="outset" w:sz="6" w:space="0" w:color="000000"/>
              <w:bottom w:val="outset" w:sz="6" w:space="0" w:color="000000"/>
              <w:right w:val="outset" w:sz="6" w:space="0" w:color="000000"/>
            </w:tcBorders>
            <w:hideMark/>
          </w:tcPr>
          <w:p w14:paraId="53EE7981" w14:textId="77777777" w:rsidR="00C11DEF" w:rsidRPr="00FA7F06" w:rsidRDefault="00C11DEF" w:rsidP="00CF35EE">
            <w:pPr>
              <w:spacing w:after="0"/>
              <w:jc w:val="both"/>
              <w:rPr>
                <w:sz w:val="16"/>
                <w:szCs w:val="16"/>
              </w:rPr>
            </w:pPr>
            <w:r w:rsidRPr="00FA7F06">
              <w:rPr>
                <w:sz w:val="16"/>
                <w:szCs w:val="16"/>
              </w:rPr>
              <w:t>Lp.</w:t>
            </w:r>
          </w:p>
        </w:tc>
        <w:tc>
          <w:tcPr>
            <w:tcW w:w="2385" w:type="dxa"/>
            <w:tcBorders>
              <w:top w:val="outset" w:sz="6" w:space="0" w:color="000000"/>
              <w:left w:val="outset" w:sz="6" w:space="0" w:color="000000"/>
              <w:bottom w:val="outset" w:sz="6" w:space="0" w:color="000000"/>
              <w:right w:val="outset" w:sz="6" w:space="0" w:color="000000"/>
            </w:tcBorders>
            <w:hideMark/>
          </w:tcPr>
          <w:p w14:paraId="7EB8390E" w14:textId="77777777" w:rsidR="00C11DEF" w:rsidRPr="00FA7F06" w:rsidRDefault="00C11DEF" w:rsidP="00CF35EE">
            <w:pPr>
              <w:spacing w:after="0"/>
              <w:jc w:val="both"/>
              <w:rPr>
                <w:sz w:val="16"/>
                <w:szCs w:val="16"/>
              </w:rPr>
            </w:pPr>
            <w:r w:rsidRPr="00FA7F06">
              <w:rPr>
                <w:sz w:val="16"/>
                <w:szCs w:val="16"/>
              </w:rPr>
              <w:t>Wyszczególnienie badań i pomiarów</w:t>
            </w:r>
          </w:p>
        </w:tc>
        <w:tc>
          <w:tcPr>
            <w:tcW w:w="4320" w:type="dxa"/>
            <w:tcBorders>
              <w:top w:val="outset" w:sz="6" w:space="0" w:color="000000"/>
              <w:left w:val="outset" w:sz="6" w:space="0" w:color="000000"/>
              <w:bottom w:val="outset" w:sz="6" w:space="0" w:color="000000"/>
              <w:right w:val="outset" w:sz="6" w:space="0" w:color="000000"/>
            </w:tcBorders>
            <w:hideMark/>
          </w:tcPr>
          <w:p w14:paraId="7C71BD34" w14:textId="77777777" w:rsidR="00C11DEF" w:rsidRPr="00FA7F06" w:rsidRDefault="00C11DEF" w:rsidP="00CF35EE">
            <w:pPr>
              <w:spacing w:after="0"/>
              <w:jc w:val="both"/>
              <w:rPr>
                <w:sz w:val="16"/>
                <w:szCs w:val="16"/>
              </w:rPr>
            </w:pPr>
            <w:r w:rsidRPr="00FA7F06">
              <w:rPr>
                <w:sz w:val="16"/>
                <w:szCs w:val="16"/>
              </w:rPr>
              <w:t>Minimalna częstotliwość</w:t>
            </w:r>
          </w:p>
          <w:p w14:paraId="32745C1E" w14:textId="77777777" w:rsidR="00C11DEF" w:rsidRPr="00FA7F06" w:rsidRDefault="00C11DEF" w:rsidP="00CF35EE">
            <w:pPr>
              <w:spacing w:after="0"/>
              <w:jc w:val="both"/>
              <w:rPr>
                <w:sz w:val="16"/>
                <w:szCs w:val="16"/>
              </w:rPr>
            </w:pPr>
            <w:r w:rsidRPr="00FA7F06">
              <w:rPr>
                <w:sz w:val="16"/>
                <w:szCs w:val="16"/>
              </w:rPr>
              <w:t>badań i pomiarów</w:t>
            </w:r>
          </w:p>
        </w:tc>
      </w:tr>
      <w:tr w:rsidR="00FA7F06" w:rsidRPr="00FA7F06" w14:paraId="1F8A4489" w14:textId="77777777" w:rsidTr="00CF35EE">
        <w:trPr>
          <w:tblCellSpacing w:w="7" w:type="dxa"/>
        </w:trPr>
        <w:tc>
          <w:tcPr>
            <w:tcW w:w="315" w:type="dxa"/>
            <w:tcBorders>
              <w:top w:val="outset" w:sz="6" w:space="0" w:color="000000"/>
              <w:left w:val="outset" w:sz="6" w:space="0" w:color="000000"/>
              <w:bottom w:val="outset" w:sz="6" w:space="0" w:color="000000"/>
              <w:right w:val="outset" w:sz="6" w:space="0" w:color="000000"/>
            </w:tcBorders>
            <w:hideMark/>
          </w:tcPr>
          <w:p w14:paraId="2ADFEE94" w14:textId="77777777" w:rsidR="00C11DEF" w:rsidRPr="00FA7F06" w:rsidRDefault="00C11DEF" w:rsidP="00CF35EE">
            <w:pPr>
              <w:spacing w:after="0"/>
              <w:jc w:val="both"/>
              <w:rPr>
                <w:sz w:val="16"/>
                <w:szCs w:val="16"/>
              </w:rPr>
            </w:pPr>
            <w:r w:rsidRPr="00FA7F06">
              <w:rPr>
                <w:sz w:val="16"/>
                <w:szCs w:val="16"/>
              </w:rPr>
              <w:t>1</w:t>
            </w:r>
          </w:p>
        </w:tc>
        <w:tc>
          <w:tcPr>
            <w:tcW w:w="2385" w:type="dxa"/>
            <w:tcBorders>
              <w:top w:val="outset" w:sz="6" w:space="0" w:color="000000"/>
              <w:left w:val="outset" w:sz="6" w:space="0" w:color="000000"/>
              <w:bottom w:val="outset" w:sz="6" w:space="0" w:color="000000"/>
              <w:right w:val="outset" w:sz="6" w:space="0" w:color="000000"/>
            </w:tcBorders>
            <w:hideMark/>
          </w:tcPr>
          <w:p w14:paraId="6BD06912" w14:textId="77777777" w:rsidR="00C11DEF" w:rsidRPr="00FA7F06" w:rsidRDefault="00C11DEF" w:rsidP="00CF35EE">
            <w:pPr>
              <w:spacing w:after="0"/>
              <w:jc w:val="both"/>
              <w:rPr>
                <w:sz w:val="16"/>
                <w:szCs w:val="16"/>
              </w:rPr>
            </w:pPr>
            <w:r w:rsidRPr="00FA7F06">
              <w:rPr>
                <w:sz w:val="16"/>
                <w:szCs w:val="16"/>
              </w:rPr>
              <w:t>Spadki poprzeczne</w:t>
            </w:r>
          </w:p>
        </w:tc>
        <w:tc>
          <w:tcPr>
            <w:tcW w:w="4320" w:type="dxa"/>
            <w:tcBorders>
              <w:top w:val="outset" w:sz="6" w:space="0" w:color="000000"/>
              <w:left w:val="outset" w:sz="6" w:space="0" w:color="000000"/>
              <w:bottom w:val="outset" w:sz="6" w:space="0" w:color="000000"/>
              <w:right w:val="outset" w:sz="6" w:space="0" w:color="000000"/>
            </w:tcBorders>
            <w:hideMark/>
          </w:tcPr>
          <w:p w14:paraId="355BD86B" w14:textId="77777777" w:rsidR="00C11DEF" w:rsidRPr="00FA7F06" w:rsidRDefault="00C11DEF" w:rsidP="00CF35EE">
            <w:pPr>
              <w:spacing w:after="0"/>
              <w:jc w:val="both"/>
              <w:rPr>
                <w:sz w:val="16"/>
                <w:szCs w:val="16"/>
              </w:rPr>
            </w:pPr>
            <w:r w:rsidRPr="00FA7F06">
              <w:rPr>
                <w:sz w:val="16"/>
                <w:szCs w:val="16"/>
              </w:rPr>
              <w:t>10 razy na 1 km i w charakterystycznych punktach niwelety</w:t>
            </w:r>
          </w:p>
        </w:tc>
      </w:tr>
      <w:tr w:rsidR="00FA7F06" w:rsidRPr="00FA7F06" w14:paraId="228E9210" w14:textId="77777777" w:rsidTr="00CF35EE">
        <w:trPr>
          <w:tblCellSpacing w:w="7" w:type="dxa"/>
        </w:trPr>
        <w:tc>
          <w:tcPr>
            <w:tcW w:w="315" w:type="dxa"/>
            <w:tcBorders>
              <w:top w:val="outset" w:sz="6" w:space="0" w:color="000000"/>
              <w:left w:val="outset" w:sz="6" w:space="0" w:color="000000"/>
              <w:bottom w:val="outset" w:sz="6" w:space="0" w:color="000000"/>
              <w:right w:val="outset" w:sz="6" w:space="0" w:color="000000"/>
            </w:tcBorders>
            <w:hideMark/>
          </w:tcPr>
          <w:p w14:paraId="1673F013" w14:textId="77777777" w:rsidR="00C11DEF" w:rsidRPr="00FA7F06" w:rsidRDefault="00C11DEF" w:rsidP="00CF35EE">
            <w:pPr>
              <w:spacing w:after="0"/>
              <w:jc w:val="both"/>
              <w:rPr>
                <w:sz w:val="16"/>
                <w:szCs w:val="16"/>
              </w:rPr>
            </w:pPr>
            <w:r w:rsidRPr="00FA7F06">
              <w:rPr>
                <w:sz w:val="16"/>
                <w:szCs w:val="16"/>
              </w:rPr>
              <w:t>2</w:t>
            </w:r>
          </w:p>
        </w:tc>
        <w:tc>
          <w:tcPr>
            <w:tcW w:w="2385" w:type="dxa"/>
            <w:tcBorders>
              <w:top w:val="outset" w:sz="6" w:space="0" w:color="000000"/>
              <w:left w:val="outset" w:sz="6" w:space="0" w:color="000000"/>
              <w:bottom w:val="outset" w:sz="6" w:space="0" w:color="000000"/>
              <w:right w:val="outset" w:sz="6" w:space="0" w:color="000000"/>
            </w:tcBorders>
            <w:hideMark/>
          </w:tcPr>
          <w:p w14:paraId="78CDB422" w14:textId="77777777" w:rsidR="00C11DEF" w:rsidRPr="00FA7F06" w:rsidRDefault="00C11DEF" w:rsidP="00CF35EE">
            <w:pPr>
              <w:spacing w:after="0"/>
              <w:jc w:val="both"/>
              <w:rPr>
                <w:sz w:val="16"/>
                <w:szCs w:val="16"/>
              </w:rPr>
            </w:pPr>
            <w:r w:rsidRPr="00FA7F06">
              <w:rPr>
                <w:sz w:val="16"/>
                <w:szCs w:val="16"/>
              </w:rPr>
              <w:t>Rzędne wysokościowe</w:t>
            </w:r>
          </w:p>
        </w:tc>
        <w:tc>
          <w:tcPr>
            <w:tcW w:w="4320" w:type="dxa"/>
            <w:tcBorders>
              <w:top w:val="outset" w:sz="6" w:space="0" w:color="000000"/>
              <w:left w:val="outset" w:sz="6" w:space="0" w:color="000000"/>
              <w:bottom w:val="outset" w:sz="6" w:space="0" w:color="000000"/>
              <w:right w:val="outset" w:sz="6" w:space="0" w:color="000000"/>
            </w:tcBorders>
            <w:hideMark/>
          </w:tcPr>
          <w:p w14:paraId="06847524" w14:textId="77777777" w:rsidR="00C11DEF" w:rsidRPr="00FA7F06" w:rsidRDefault="00C11DEF" w:rsidP="00CF35EE">
            <w:pPr>
              <w:spacing w:after="0"/>
              <w:jc w:val="both"/>
              <w:rPr>
                <w:sz w:val="16"/>
                <w:szCs w:val="16"/>
              </w:rPr>
            </w:pPr>
            <w:r w:rsidRPr="00FA7F06">
              <w:rPr>
                <w:sz w:val="16"/>
                <w:szCs w:val="16"/>
              </w:rPr>
              <w:t>10 razy na 1 km i w charakterystycznych punktach niwelety</w:t>
            </w:r>
          </w:p>
        </w:tc>
      </w:tr>
      <w:tr w:rsidR="00FA7F06" w:rsidRPr="00FA7F06" w14:paraId="6873ACBA" w14:textId="77777777" w:rsidTr="00CF35EE">
        <w:trPr>
          <w:tblCellSpacing w:w="7" w:type="dxa"/>
        </w:trPr>
        <w:tc>
          <w:tcPr>
            <w:tcW w:w="315" w:type="dxa"/>
            <w:tcBorders>
              <w:top w:val="outset" w:sz="6" w:space="0" w:color="000000"/>
              <w:left w:val="outset" w:sz="6" w:space="0" w:color="000000"/>
              <w:bottom w:val="outset" w:sz="6" w:space="0" w:color="000000"/>
              <w:right w:val="outset" w:sz="6" w:space="0" w:color="000000"/>
            </w:tcBorders>
            <w:hideMark/>
          </w:tcPr>
          <w:p w14:paraId="52863B31" w14:textId="77777777" w:rsidR="00C11DEF" w:rsidRPr="00FA7F06" w:rsidRDefault="00C11DEF" w:rsidP="00CF35EE">
            <w:pPr>
              <w:spacing w:after="0"/>
              <w:jc w:val="both"/>
              <w:rPr>
                <w:sz w:val="16"/>
                <w:szCs w:val="16"/>
              </w:rPr>
            </w:pPr>
            <w:r w:rsidRPr="00FA7F06">
              <w:rPr>
                <w:sz w:val="16"/>
                <w:szCs w:val="16"/>
              </w:rPr>
              <w:t>3</w:t>
            </w:r>
          </w:p>
        </w:tc>
        <w:tc>
          <w:tcPr>
            <w:tcW w:w="2385" w:type="dxa"/>
            <w:tcBorders>
              <w:top w:val="outset" w:sz="6" w:space="0" w:color="000000"/>
              <w:left w:val="outset" w:sz="6" w:space="0" w:color="000000"/>
              <w:bottom w:val="outset" w:sz="6" w:space="0" w:color="000000"/>
              <w:right w:val="outset" w:sz="6" w:space="0" w:color="000000"/>
            </w:tcBorders>
            <w:hideMark/>
          </w:tcPr>
          <w:p w14:paraId="0299964E" w14:textId="77777777" w:rsidR="00C11DEF" w:rsidRPr="00FA7F06" w:rsidRDefault="00C11DEF" w:rsidP="00CF35EE">
            <w:pPr>
              <w:spacing w:after="0"/>
              <w:jc w:val="both"/>
              <w:rPr>
                <w:sz w:val="16"/>
                <w:szCs w:val="16"/>
              </w:rPr>
            </w:pPr>
            <w:r w:rsidRPr="00FA7F06">
              <w:rPr>
                <w:sz w:val="16"/>
                <w:szCs w:val="16"/>
              </w:rPr>
              <w:t>Ukształtowanie osi w planie</w:t>
            </w:r>
          </w:p>
        </w:tc>
        <w:tc>
          <w:tcPr>
            <w:tcW w:w="4320" w:type="dxa"/>
            <w:tcBorders>
              <w:top w:val="outset" w:sz="6" w:space="0" w:color="000000"/>
              <w:left w:val="outset" w:sz="6" w:space="0" w:color="000000"/>
              <w:bottom w:val="outset" w:sz="6" w:space="0" w:color="000000"/>
              <w:right w:val="outset" w:sz="6" w:space="0" w:color="000000"/>
            </w:tcBorders>
            <w:hideMark/>
          </w:tcPr>
          <w:p w14:paraId="5927D719" w14:textId="77777777" w:rsidR="00C11DEF" w:rsidRPr="00FA7F06" w:rsidRDefault="00C11DEF" w:rsidP="00CF35EE">
            <w:pPr>
              <w:spacing w:after="0"/>
              <w:jc w:val="both"/>
              <w:rPr>
                <w:sz w:val="16"/>
                <w:szCs w:val="16"/>
              </w:rPr>
            </w:pPr>
            <w:r w:rsidRPr="00FA7F06">
              <w:rPr>
                <w:sz w:val="16"/>
                <w:szCs w:val="16"/>
              </w:rPr>
              <w:t>10 razy na 1 km i w charakterystycznych punktach niwelety</w:t>
            </w:r>
          </w:p>
        </w:tc>
      </w:tr>
      <w:tr w:rsidR="00FA7F06" w:rsidRPr="00FA7F06" w14:paraId="7FE19131" w14:textId="77777777" w:rsidTr="00CF35EE">
        <w:trPr>
          <w:tblCellSpacing w:w="7" w:type="dxa"/>
        </w:trPr>
        <w:tc>
          <w:tcPr>
            <w:tcW w:w="315" w:type="dxa"/>
            <w:tcBorders>
              <w:top w:val="outset" w:sz="6" w:space="0" w:color="000000"/>
              <w:left w:val="outset" w:sz="6" w:space="0" w:color="000000"/>
              <w:bottom w:val="outset" w:sz="6" w:space="0" w:color="000000"/>
              <w:right w:val="outset" w:sz="6" w:space="0" w:color="000000"/>
            </w:tcBorders>
            <w:hideMark/>
          </w:tcPr>
          <w:p w14:paraId="38B659D3" w14:textId="77777777" w:rsidR="00C11DEF" w:rsidRPr="00FA7F06" w:rsidRDefault="00C11DEF" w:rsidP="00CF35EE">
            <w:pPr>
              <w:spacing w:after="0"/>
              <w:jc w:val="both"/>
              <w:rPr>
                <w:sz w:val="16"/>
                <w:szCs w:val="16"/>
              </w:rPr>
            </w:pPr>
            <w:r w:rsidRPr="00FA7F06">
              <w:rPr>
                <w:sz w:val="16"/>
                <w:szCs w:val="16"/>
              </w:rPr>
              <w:t>4</w:t>
            </w:r>
          </w:p>
        </w:tc>
        <w:tc>
          <w:tcPr>
            <w:tcW w:w="2385" w:type="dxa"/>
            <w:tcBorders>
              <w:top w:val="outset" w:sz="6" w:space="0" w:color="000000"/>
              <w:left w:val="outset" w:sz="6" w:space="0" w:color="000000"/>
              <w:bottom w:val="outset" w:sz="6" w:space="0" w:color="000000"/>
              <w:right w:val="outset" w:sz="6" w:space="0" w:color="000000"/>
            </w:tcBorders>
            <w:hideMark/>
          </w:tcPr>
          <w:p w14:paraId="46A0CFF7" w14:textId="77777777" w:rsidR="00C11DEF" w:rsidRPr="00FA7F06" w:rsidRDefault="00C11DEF" w:rsidP="00CF35EE">
            <w:pPr>
              <w:spacing w:after="0"/>
              <w:jc w:val="both"/>
              <w:rPr>
                <w:sz w:val="16"/>
                <w:szCs w:val="16"/>
              </w:rPr>
            </w:pPr>
            <w:r w:rsidRPr="00FA7F06">
              <w:rPr>
                <w:sz w:val="16"/>
                <w:szCs w:val="16"/>
              </w:rPr>
              <w:t>Szerokość nawierzchni</w:t>
            </w:r>
          </w:p>
        </w:tc>
        <w:tc>
          <w:tcPr>
            <w:tcW w:w="4320" w:type="dxa"/>
            <w:tcBorders>
              <w:top w:val="outset" w:sz="6" w:space="0" w:color="000000"/>
              <w:left w:val="outset" w:sz="6" w:space="0" w:color="000000"/>
              <w:bottom w:val="outset" w:sz="6" w:space="0" w:color="000000"/>
              <w:right w:val="outset" w:sz="6" w:space="0" w:color="000000"/>
            </w:tcBorders>
            <w:hideMark/>
          </w:tcPr>
          <w:p w14:paraId="2257082E" w14:textId="77777777" w:rsidR="00C11DEF" w:rsidRPr="00FA7F06" w:rsidRDefault="00C11DEF" w:rsidP="00CF35EE">
            <w:pPr>
              <w:spacing w:after="0"/>
              <w:jc w:val="both"/>
              <w:rPr>
                <w:sz w:val="16"/>
                <w:szCs w:val="16"/>
              </w:rPr>
            </w:pPr>
            <w:r w:rsidRPr="00FA7F06">
              <w:rPr>
                <w:sz w:val="16"/>
                <w:szCs w:val="16"/>
              </w:rPr>
              <w:t>10 razy na 1 km</w:t>
            </w:r>
          </w:p>
        </w:tc>
      </w:tr>
      <w:tr w:rsidR="00FA7F06" w:rsidRPr="00FA7F06" w14:paraId="2EE6A88A" w14:textId="77777777" w:rsidTr="00CF35EE">
        <w:trPr>
          <w:tblCellSpacing w:w="7" w:type="dxa"/>
        </w:trPr>
        <w:tc>
          <w:tcPr>
            <w:tcW w:w="315" w:type="dxa"/>
            <w:tcBorders>
              <w:top w:val="outset" w:sz="6" w:space="0" w:color="000000"/>
              <w:left w:val="outset" w:sz="6" w:space="0" w:color="000000"/>
              <w:bottom w:val="outset" w:sz="6" w:space="0" w:color="000000"/>
              <w:right w:val="outset" w:sz="6" w:space="0" w:color="000000"/>
            </w:tcBorders>
            <w:hideMark/>
          </w:tcPr>
          <w:p w14:paraId="0B8C05C2" w14:textId="77777777" w:rsidR="00C11DEF" w:rsidRPr="00FA7F06" w:rsidRDefault="00C11DEF" w:rsidP="00CF35EE">
            <w:pPr>
              <w:spacing w:after="0"/>
              <w:jc w:val="both"/>
              <w:rPr>
                <w:sz w:val="16"/>
                <w:szCs w:val="16"/>
              </w:rPr>
            </w:pPr>
            <w:r w:rsidRPr="00FA7F06">
              <w:rPr>
                <w:sz w:val="16"/>
                <w:szCs w:val="16"/>
              </w:rPr>
              <w:t>5</w:t>
            </w:r>
          </w:p>
        </w:tc>
        <w:tc>
          <w:tcPr>
            <w:tcW w:w="2385" w:type="dxa"/>
            <w:tcBorders>
              <w:top w:val="outset" w:sz="6" w:space="0" w:color="000000"/>
              <w:left w:val="outset" w:sz="6" w:space="0" w:color="000000"/>
              <w:bottom w:val="outset" w:sz="6" w:space="0" w:color="000000"/>
              <w:right w:val="outset" w:sz="6" w:space="0" w:color="000000"/>
            </w:tcBorders>
            <w:hideMark/>
          </w:tcPr>
          <w:p w14:paraId="15C587D2" w14:textId="77777777" w:rsidR="00C11DEF" w:rsidRPr="00FA7F06" w:rsidRDefault="00C11DEF" w:rsidP="00CF35EE">
            <w:pPr>
              <w:spacing w:after="0"/>
              <w:jc w:val="both"/>
              <w:rPr>
                <w:sz w:val="16"/>
                <w:szCs w:val="16"/>
              </w:rPr>
            </w:pPr>
            <w:r w:rsidRPr="00FA7F06">
              <w:rPr>
                <w:sz w:val="16"/>
                <w:szCs w:val="16"/>
              </w:rPr>
              <w:t>Grubość podsypki</w:t>
            </w:r>
          </w:p>
        </w:tc>
        <w:tc>
          <w:tcPr>
            <w:tcW w:w="4320" w:type="dxa"/>
            <w:tcBorders>
              <w:top w:val="outset" w:sz="6" w:space="0" w:color="000000"/>
              <w:left w:val="outset" w:sz="6" w:space="0" w:color="000000"/>
              <w:bottom w:val="outset" w:sz="6" w:space="0" w:color="000000"/>
              <w:right w:val="outset" w:sz="6" w:space="0" w:color="000000"/>
            </w:tcBorders>
            <w:hideMark/>
          </w:tcPr>
          <w:p w14:paraId="55F83A6F" w14:textId="77777777" w:rsidR="00C11DEF" w:rsidRPr="00FA7F06" w:rsidRDefault="00C11DEF" w:rsidP="00CF35EE">
            <w:pPr>
              <w:spacing w:after="0"/>
              <w:jc w:val="both"/>
              <w:rPr>
                <w:sz w:val="16"/>
                <w:szCs w:val="16"/>
              </w:rPr>
            </w:pPr>
            <w:r w:rsidRPr="00FA7F06">
              <w:rPr>
                <w:sz w:val="16"/>
                <w:szCs w:val="16"/>
              </w:rPr>
              <w:t>10 razy na 1 km</w:t>
            </w:r>
          </w:p>
        </w:tc>
      </w:tr>
    </w:tbl>
    <w:p w14:paraId="61DC8568" w14:textId="77777777" w:rsidR="00C11DEF" w:rsidRPr="00FA7F06" w:rsidRDefault="00C11DEF" w:rsidP="00C11DEF">
      <w:pPr>
        <w:spacing w:after="0"/>
        <w:jc w:val="both"/>
        <w:rPr>
          <w:sz w:val="16"/>
          <w:szCs w:val="16"/>
        </w:rPr>
      </w:pPr>
    </w:p>
    <w:p w14:paraId="63F6C75D" w14:textId="77777777" w:rsidR="00C11DEF" w:rsidRPr="00FA7F06" w:rsidRDefault="00C11DEF" w:rsidP="00C11DEF">
      <w:pPr>
        <w:spacing w:after="0"/>
        <w:jc w:val="both"/>
        <w:rPr>
          <w:b/>
          <w:sz w:val="16"/>
          <w:szCs w:val="16"/>
        </w:rPr>
      </w:pPr>
      <w:r w:rsidRPr="00FA7F06">
        <w:rPr>
          <w:b/>
          <w:sz w:val="16"/>
          <w:szCs w:val="16"/>
        </w:rPr>
        <w:t>7. OBMIAR ROBÓT</w:t>
      </w:r>
    </w:p>
    <w:p w14:paraId="0D4B19CC" w14:textId="77777777" w:rsidR="00C11DEF" w:rsidRPr="00FA7F06" w:rsidRDefault="00C11DEF" w:rsidP="00C11DEF">
      <w:pPr>
        <w:spacing w:after="0"/>
        <w:jc w:val="both"/>
        <w:rPr>
          <w:b/>
          <w:sz w:val="16"/>
          <w:szCs w:val="16"/>
        </w:rPr>
      </w:pPr>
      <w:r w:rsidRPr="00FA7F06">
        <w:rPr>
          <w:b/>
          <w:sz w:val="16"/>
          <w:szCs w:val="16"/>
        </w:rPr>
        <w:t>7.1. Ogólne zasady obmiaru robót</w:t>
      </w:r>
    </w:p>
    <w:p w14:paraId="152966E0" w14:textId="77777777" w:rsidR="00C11DEF" w:rsidRPr="00FA7F06" w:rsidRDefault="00C11DEF" w:rsidP="00C11DEF">
      <w:pPr>
        <w:spacing w:after="0"/>
        <w:jc w:val="both"/>
        <w:rPr>
          <w:sz w:val="16"/>
          <w:szCs w:val="16"/>
        </w:rPr>
      </w:pPr>
      <w:r w:rsidRPr="00FA7F06">
        <w:rPr>
          <w:sz w:val="16"/>
          <w:szCs w:val="16"/>
        </w:rPr>
        <w:t xml:space="preserve">Ogólne zasady obmiaru robót podano w </w:t>
      </w:r>
      <w:proofErr w:type="spellStart"/>
      <w:r w:rsidRPr="00FA7F06">
        <w:rPr>
          <w:sz w:val="16"/>
          <w:szCs w:val="16"/>
        </w:rPr>
        <w:t>STWiORB</w:t>
      </w:r>
      <w:proofErr w:type="spellEnd"/>
      <w:r w:rsidRPr="00FA7F06">
        <w:rPr>
          <w:sz w:val="16"/>
          <w:szCs w:val="16"/>
        </w:rPr>
        <w:t xml:space="preserve"> D-M-00.00.00 „Wymagania ogólne” pkt 7.</w:t>
      </w:r>
    </w:p>
    <w:p w14:paraId="44F0BA15" w14:textId="77777777" w:rsidR="001E30D6" w:rsidRPr="00FA7F06" w:rsidRDefault="001E30D6" w:rsidP="00C11DEF">
      <w:pPr>
        <w:spacing w:after="0"/>
        <w:jc w:val="both"/>
        <w:rPr>
          <w:b/>
          <w:sz w:val="16"/>
          <w:szCs w:val="16"/>
        </w:rPr>
      </w:pPr>
    </w:p>
    <w:p w14:paraId="705C68F4" w14:textId="6253D3C9" w:rsidR="00C11DEF" w:rsidRPr="00FA7F06" w:rsidRDefault="00C11DEF" w:rsidP="00C11DEF">
      <w:pPr>
        <w:spacing w:after="0"/>
        <w:jc w:val="both"/>
        <w:rPr>
          <w:b/>
          <w:sz w:val="16"/>
          <w:szCs w:val="16"/>
        </w:rPr>
      </w:pPr>
      <w:r w:rsidRPr="00FA7F06">
        <w:rPr>
          <w:b/>
          <w:sz w:val="16"/>
          <w:szCs w:val="16"/>
        </w:rPr>
        <w:lastRenderedPageBreak/>
        <w:t>7.2. Jednostka obmiarowa</w:t>
      </w:r>
    </w:p>
    <w:p w14:paraId="243340B8" w14:textId="77777777" w:rsidR="00C11DEF" w:rsidRPr="00FA7F06" w:rsidRDefault="00C11DEF" w:rsidP="00C11DEF">
      <w:pPr>
        <w:spacing w:after="0"/>
        <w:jc w:val="both"/>
        <w:rPr>
          <w:sz w:val="16"/>
          <w:szCs w:val="16"/>
        </w:rPr>
      </w:pPr>
      <w:r w:rsidRPr="00FA7F06">
        <w:rPr>
          <w:sz w:val="16"/>
          <w:szCs w:val="16"/>
        </w:rPr>
        <w:t>Jednostką obmiarową jest m2 (metr kwadratowy) wykonanej nawierzchni z kostki kamiennej.</w:t>
      </w:r>
    </w:p>
    <w:p w14:paraId="5D4691DB" w14:textId="77777777" w:rsidR="00C11DEF" w:rsidRPr="00FA7F06" w:rsidRDefault="00C11DEF" w:rsidP="00C11DEF">
      <w:pPr>
        <w:spacing w:after="0"/>
        <w:jc w:val="both"/>
        <w:rPr>
          <w:sz w:val="16"/>
          <w:szCs w:val="16"/>
        </w:rPr>
      </w:pPr>
    </w:p>
    <w:p w14:paraId="7756758B" w14:textId="77777777" w:rsidR="00C11DEF" w:rsidRPr="00FA7F06" w:rsidRDefault="00C11DEF" w:rsidP="00C11DEF">
      <w:pPr>
        <w:spacing w:after="0"/>
        <w:jc w:val="both"/>
        <w:rPr>
          <w:b/>
          <w:sz w:val="16"/>
          <w:szCs w:val="16"/>
        </w:rPr>
      </w:pPr>
      <w:r w:rsidRPr="00FA7F06">
        <w:rPr>
          <w:b/>
          <w:sz w:val="16"/>
          <w:szCs w:val="16"/>
        </w:rPr>
        <w:t>8. ODBIÓR ROBÓT</w:t>
      </w:r>
    </w:p>
    <w:p w14:paraId="4AE8406B" w14:textId="77777777" w:rsidR="00C11DEF" w:rsidRPr="00FA7F06" w:rsidRDefault="00C11DEF" w:rsidP="00C11DEF">
      <w:pPr>
        <w:spacing w:after="0"/>
        <w:jc w:val="both"/>
        <w:rPr>
          <w:b/>
          <w:sz w:val="16"/>
          <w:szCs w:val="16"/>
        </w:rPr>
      </w:pPr>
      <w:r w:rsidRPr="00FA7F06">
        <w:rPr>
          <w:b/>
          <w:sz w:val="16"/>
          <w:szCs w:val="16"/>
        </w:rPr>
        <w:t>8.1. Ogólne zasady odbioru robót</w:t>
      </w:r>
    </w:p>
    <w:p w14:paraId="4AFC2A81" w14:textId="77777777" w:rsidR="00C11DEF" w:rsidRPr="00FA7F06" w:rsidRDefault="00C11DEF" w:rsidP="00C11DEF">
      <w:pPr>
        <w:spacing w:after="0"/>
        <w:jc w:val="both"/>
        <w:rPr>
          <w:sz w:val="16"/>
          <w:szCs w:val="16"/>
        </w:rPr>
      </w:pPr>
      <w:r w:rsidRPr="00FA7F06">
        <w:rPr>
          <w:sz w:val="16"/>
          <w:szCs w:val="16"/>
        </w:rPr>
        <w:t xml:space="preserve">Ogólne zasady odbioru robót podano w </w:t>
      </w:r>
      <w:proofErr w:type="spellStart"/>
      <w:r w:rsidRPr="00FA7F06">
        <w:rPr>
          <w:sz w:val="16"/>
          <w:szCs w:val="16"/>
        </w:rPr>
        <w:t>STWiORB</w:t>
      </w:r>
      <w:proofErr w:type="spellEnd"/>
      <w:r w:rsidRPr="00FA7F06">
        <w:rPr>
          <w:sz w:val="16"/>
          <w:szCs w:val="16"/>
        </w:rPr>
        <w:t xml:space="preserve"> D-M-00.00.00 „Wymagania ogólne” pkt 8.</w:t>
      </w:r>
    </w:p>
    <w:p w14:paraId="46F76457" w14:textId="77777777" w:rsidR="00C11DEF" w:rsidRPr="00FA7F06" w:rsidRDefault="00C11DEF" w:rsidP="00C11DEF">
      <w:pPr>
        <w:spacing w:after="0"/>
        <w:jc w:val="both"/>
        <w:rPr>
          <w:sz w:val="16"/>
          <w:szCs w:val="16"/>
        </w:rPr>
      </w:pPr>
      <w:r w:rsidRPr="00FA7F06">
        <w:rPr>
          <w:sz w:val="16"/>
          <w:szCs w:val="16"/>
        </w:rPr>
        <w:t xml:space="preserve">Roboty uznaje się za wykonane zgodnie z dokumentacją projektową, </w:t>
      </w:r>
      <w:proofErr w:type="spellStart"/>
      <w:r w:rsidRPr="00FA7F06">
        <w:rPr>
          <w:sz w:val="16"/>
          <w:szCs w:val="16"/>
        </w:rPr>
        <w:t>STWiORB</w:t>
      </w:r>
      <w:proofErr w:type="spellEnd"/>
      <w:r w:rsidRPr="00FA7F06">
        <w:rPr>
          <w:sz w:val="16"/>
          <w:szCs w:val="16"/>
        </w:rPr>
        <w:t xml:space="preserve"> i wymaganiami Inżyniera, jeżeli wszystkie pomiary i badania z zachowaniem tolerancji według pkt 6 dały wyniki pozytywne.</w:t>
      </w:r>
    </w:p>
    <w:p w14:paraId="1BD13067" w14:textId="77777777" w:rsidR="00C11DEF" w:rsidRPr="00FA7F06" w:rsidRDefault="00C11DEF" w:rsidP="00C11DEF">
      <w:pPr>
        <w:spacing w:after="0"/>
        <w:jc w:val="both"/>
        <w:rPr>
          <w:b/>
          <w:sz w:val="16"/>
          <w:szCs w:val="16"/>
        </w:rPr>
      </w:pPr>
      <w:r w:rsidRPr="00FA7F06">
        <w:rPr>
          <w:b/>
          <w:sz w:val="16"/>
          <w:szCs w:val="16"/>
        </w:rPr>
        <w:t>8.2. Odbiór robót zanikających i ulegających zakryciu</w:t>
      </w:r>
    </w:p>
    <w:p w14:paraId="433AAE3E" w14:textId="77777777" w:rsidR="00C11DEF" w:rsidRPr="00FA7F06" w:rsidRDefault="00C11DEF" w:rsidP="00C11DEF">
      <w:pPr>
        <w:spacing w:after="0"/>
        <w:jc w:val="both"/>
        <w:rPr>
          <w:sz w:val="16"/>
          <w:szCs w:val="16"/>
        </w:rPr>
      </w:pPr>
      <w:r w:rsidRPr="00FA7F06">
        <w:rPr>
          <w:sz w:val="16"/>
          <w:szCs w:val="16"/>
        </w:rPr>
        <w:t xml:space="preserve">Roboty związane z wykonaniem podsypki należą do robót ulegających zakryciu. Zasady ich odbioru są określone w </w:t>
      </w:r>
      <w:proofErr w:type="spellStart"/>
      <w:r w:rsidRPr="00FA7F06">
        <w:rPr>
          <w:sz w:val="16"/>
          <w:szCs w:val="16"/>
        </w:rPr>
        <w:t>STWiORB</w:t>
      </w:r>
      <w:proofErr w:type="spellEnd"/>
      <w:r w:rsidRPr="00FA7F06">
        <w:rPr>
          <w:sz w:val="16"/>
          <w:szCs w:val="16"/>
        </w:rPr>
        <w:t xml:space="preserve"> D-M-00.00.00 „Wymagania ogólne” pkt 8.2.</w:t>
      </w:r>
    </w:p>
    <w:p w14:paraId="3D3B5DA9" w14:textId="77777777" w:rsidR="00C11DEF" w:rsidRPr="00FA7F06" w:rsidRDefault="00C11DEF" w:rsidP="00C11DEF">
      <w:pPr>
        <w:spacing w:after="0"/>
        <w:jc w:val="both"/>
        <w:rPr>
          <w:sz w:val="16"/>
          <w:szCs w:val="16"/>
        </w:rPr>
      </w:pPr>
    </w:p>
    <w:p w14:paraId="2984EDC5" w14:textId="77777777" w:rsidR="00C11DEF" w:rsidRPr="00FA7F06" w:rsidRDefault="00C11DEF" w:rsidP="00C11DEF">
      <w:pPr>
        <w:spacing w:after="0"/>
        <w:jc w:val="both"/>
        <w:rPr>
          <w:b/>
          <w:sz w:val="16"/>
          <w:szCs w:val="16"/>
        </w:rPr>
      </w:pPr>
      <w:r w:rsidRPr="00FA7F06">
        <w:rPr>
          <w:b/>
          <w:sz w:val="16"/>
          <w:szCs w:val="16"/>
        </w:rPr>
        <w:t>9. PODSTAWA PŁATNOŚCI</w:t>
      </w:r>
    </w:p>
    <w:p w14:paraId="6BA25C15" w14:textId="77777777" w:rsidR="00C11DEF" w:rsidRPr="00FA7F06" w:rsidRDefault="00C11DEF" w:rsidP="00C11DEF">
      <w:pPr>
        <w:spacing w:after="0"/>
        <w:jc w:val="both"/>
        <w:rPr>
          <w:b/>
          <w:sz w:val="16"/>
          <w:szCs w:val="16"/>
        </w:rPr>
      </w:pPr>
      <w:r w:rsidRPr="00FA7F06">
        <w:rPr>
          <w:b/>
          <w:sz w:val="16"/>
          <w:szCs w:val="16"/>
        </w:rPr>
        <w:t>9.1. Ogólne ustalenia dotyczące podstawy płatności</w:t>
      </w:r>
    </w:p>
    <w:p w14:paraId="4EB37056" w14:textId="77777777" w:rsidR="00C11DEF" w:rsidRPr="00FA7F06" w:rsidRDefault="00C11DEF" w:rsidP="00C11DEF">
      <w:pPr>
        <w:spacing w:after="0"/>
        <w:jc w:val="both"/>
        <w:rPr>
          <w:sz w:val="16"/>
          <w:szCs w:val="16"/>
        </w:rPr>
      </w:pPr>
      <w:r w:rsidRPr="00FA7F06">
        <w:rPr>
          <w:sz w:val="16"/>
          <w:szCs w:val="16"/>
        </w:rPr>
        <w:t xml:space="preserve">Ogólne ustalenia dotyczące podstawy płatności podano w </w:t>
      </w:r>
      <w:proofErr w:type="spellStart"/>
      <w:r w:rsidRPr="00FA7F06">
        <w:rPr>
          <w:sz w:val="16"/>
          <w:szCs w:val="16"/>
        </w:rPr>
        <w:t>STWiORB</w:t>
      </w:r>
      <w:proofErr w:type="spellEnd"/>
      <w:r w:rsidRPr="00FA7F06">
        <w:rPr>
          <w:sz w:val="16"/>
          <w:szCs w:val="16"/>
        </w:rPr>
        <w:t xml:space="preserve"> D-M-00.00.00 „Wymagania ogólne” pkt 9.</w:t>
      </w:r>
    </w:p>
    <w:p w14:paraId="54E983DC" w14:textId="77777777" w:rsidR="00C11DEF" w:rsidRPr="00FA7F06" w:rsidRDefault="00C11DEF" w:rsidP="00C11DEF">
      <w:pPr>
        <w:spacing w:after="0"/>
        <w:jc w:val="both"/>
        <w:rPr>
          <w:b/>
          <w:sz w:val="16"/>
          <w:szCs w:val="16"/>
        </w:rPr>
      </w:pPr>
      <w:r w:rsidRPr="00FA7F06">
        <w:rPr>
          <w:b/>
          <w:sz w:val="16"/>
          <w:szCs w:val="16"/>
        </w:rPr>
        <w:t>9.2. Cena jednostki obmiarowej</w:t>
      </w:r>
    </w:p>
    <w:p w14:paraId="1D7468FD" w14:textId="77777777" w:rsidR="00C11DEF" w:rsidRPr="00FA7F06" w:rsidRDefault="00C11DEF" w:rsidP="00C11DEF">
      <w:pPr>
        <w:spacing w:after="0"/>
        <w:jc w:val="both"/>
        <w:rPr>
          <w:sz w:val="16"/>
          <w:szCs w:val="16"/>
        </w:rPr>
      </w:pPr>
      <w:r w:rsidRPr="00FA7F06">
        <w:rPr>
          <w:sz w:val="16"/>
          <w:szCs w:val="16"/>
        </w:rPr>
        <w:t>Cena wykonania 1 m2 nawierzchni z kostki kamiennej obejmuje:</w:t>
      </w:r>
    </w:p>
    <w:p w14:paraId="15EC7220" w14:textId="77777777" w:rsidR="00C11DEF" w:rsidRPr="00FA7F06" w:rsidRDefault="00C11DEF" w:rsidP="00C11DEF">
      <w:pPr>
        <w:pStyle w:val="Akapitzlist"/>
        <w:numPr>
          <w:ilvl w:val="0"/>
          <w:numId w:val="233"/>
        </w:numPr>
        <w:spacing w:after="0"/>
        <w:jc w:val="both"/>
        <w:rPr>
          <w:sz w:val="16"/>
          <w:szCs w:val="16"/>
        </w:rPr>
      </w:pPr>
      <w:r w:rsidRPr="00FA7F06">
        <w:rPr>
          <w:sz w:val="16"/>
          <w:szCs w:val="16"/>
        </w:rPr>
        <w:t>prace pomiarowe i roboty przygotowawcze,</w:t>
      </w:r>
    </w:p>
    <w:p w14:paraId="2AE302A7" w14:textId="77777777" w:rsidR="00C11DEF" w:rsidRPr="00FA7F06" w:rsidRDefault="00C11DEF" w:rsidP="00C11DEF">
      <w:pPr>
        <w:pStyle w:val="Akapitzlist"/>
        <w:numPr>
          <w:ilvl w:val="0"/>
          <w:numId w:val="233"/>
        </w:numPr>
        <w:spacing w:after="0"/>
        <w:jc w:val="both"/>
        <w:rPr>
          <w:sz w:val="16"/>
          <w:szCs w:val="16"/>
        </w:rPr>
      </w:pPr>
      <w:r w:rsidRPr="00FA7F06">
        <w:rPr>
          <w:sz w:val="16"/>
          <w:szCs w:val="16"/>
        </w:rPr>
        <w:t>oznakowanie robót,</w:t>
      </w:r>
    </w:p>
    <w:p w14:paraId="61E99004" w14:textId="77777777" w:rsidR="00C11DEF" w:rsidRPr="00FA7F06" w:rsidRDefault="00C11DEF" w:rsidP="00C11DEF">
      <w:pPr>
        <w:pStyle w:val="Akapitzlist"/>
        <w:numPr>
          <w:ilvl w:val="0"/>
          <w:numId w:val="233"/>
        </w:numPr>
        <w:spacing w:after="0"/>
        <w:jc w:val="both"/>
        <w:rPr>
          <w:sz w:val="16"/>
          <w:szCs w:val="16"/>
        </w:rPr>
      </w:pPr>
      <w:r w:rsidRPr="00FA7F06">
        <w:rPr>
          <w:sz w:val="16"/>
          <w:szCs w:val="16"/>
        </w:rPr>
        <w:t>dostarczenie materiałów,</w:t>
      </w:r>
    </w:p>
    <w:p w14:paraId="5846D101" w14:textId="77777777" w:rsidR="00C11DEF" w:rsidRPr="00FA7F06" w:rsidRDefault="00C11DEF" w:rsidP="00C11DEF">
      <w:pPr>
        <w:pStyle w:val="Akapitzlist"/>
        <w:numPr>
          <w:ilvl w:val="0"/>
          <w:numId w:val="233"/>
        </w:numPr>
        <w:spacing w:after="0"/>
        <w:jc w:val="both"/>
        <w:rPr>
          <w:sz w:val="16"/>
          <w:szCs w:val="16"/>
        </w:rPr>
      </w:pPr>
      <w:r w:rsidRPr="00FA7F06">
        <w:rPr>
          <w:sz w:val="16"/>
          <w:szCs w:val="16"/>
        </w:rPr>
        <w:t>wykonanie podsypki,</w:t>
      </w:r>
    </w:p>
    <w:p w14:paraId="2FCCEE41" w14:textId="77777777" w:rsidR="00C11DEF" w:rsidRPr="00FA7F06" w:rsidRDefault="00C11DEF" w:rsidP="00C11DEF">
      <w:pPr>
        <w:pStyle w:val="Akapitzlist"/>
        <w:numPr>
          <w:ilvl w:val="0"/>
          <w:numId w:val="233"/>
        </w:numPr>
        <w:spacing w:after="0"/>
        <w:jc w:val="both"/>
        <w:rPr>
          <w:sz w:val="16"/>
          <w:szCs w:val="16"/>
        </w:rPr>
      </w:pPr>
      <w:r w:rsidRPr="00FA7F06">
        <w:rPr>
          <w:sz w:val="16"/>
          <w:szCs w:val="16"/>
        </w:rPr>
        <w:t>ułożenie i ubicie kostki,</w:t>
      </w:r>
    </w:p>
    <w:p w14:paraId="63DCF3C0" w14:textId="77777777" w:rsidR="00C11DEF" w:rsidRPr="00FA7F06" w:rsidRDefault="00C11DEF" w:rsidP="00C11DEF">
      <w:pPr>
        <w:pStyle w:val="Akapitzlist"/>
        <w:numPr>
          <w:ilvl w:val="0"/>
          <w:numId w:val="233"/>
        </w:numPr>
        <w:spacing w:after="0"/>
        <w:jc w:val="both"/>
        <w:rPr>
          <w:sz w:val="16"/>
          <w:szCs w:val="16"/>
        </w:rPr>
      </w:pPr>
      <w:r w:rsidRPr="00FA7F06">
        <w:rPr>
          <w:sz w:val="16"/>
          <w:szCs w:val="16"/>
        </w:rPr>
        <w:t>wypełnienie spoin,</w:t>
      </w:r>
    </w:p>
    <w:p w14:paraId="2E7FF92C" w14:textId="77777777" w:rsidR="00C11DEF" w:rsidRPr="00FA7F06" w:rsidRDefault="00C11DEF" w:rsidP="00C11DEF">
      <w:pPr>
        <w:pStyle w:val="Akapitzlist"/>
        <w:numPr>
          <w:ilvl w:val="0"/>
          <w:numId w:val="233"/>
        </w:numPr>
        <w:spacing w:after="0"/>
        <w:jc w:val="both"/>
        <w:rPr>
          <w:sz w:val="16"/>
          <w:szCs w:val="16"/>
        </w:rPr>
      </w:pPr>
      <w:r w:rsidRPr="00FA7F06">
        <w:rPr>
          <w:sz w:val="16"/>
          <w:szCs w:val="16"/>
        </w:rPr>
        <w:t>pielęgnację nawierzchni,</w:t>
      </w:r>
    </w:p>
    <w:p w14:paraId="7E86E073" w14:textId="77777777" w:rsidR="00C11DEF" w:rsidRPr="00FA7F06" w:rsidRDefault="00C11DEF" w:rsidP="00C11DEF">
      <w:pPr>
        <w:pStyle w:val="Akapitzlist"/>
        <w:numPr>
          <w:ilvl w:val="0"/>
          <w:numId w:val="233"/>
        </w:numPr>
        <w:spacing w:after="0"/>
        <w:jc w:val="both"/>
        <w:rPr>
          <w:sz w:val="16"/>
          <w:szCs w:val="16"/>
        </w:rPr>
      </w:pPr>
      <w:r w:rsidRPr="00FA7F06">
        <w:rPr>
          <w:sz w:val="16"/>
          <w:szCs w:val="16"/>
        </w:rPr>
        <w:t>przeprowadzenie badań i pomiarów wymaganych w specyfikacji technicznej.</w:t>
      </w:r>
    </w:p>
    <w:p w14:paraId="175DA952" w14:textId="77777777" w:rsidR="00C11DEF" w:rsidRPr="00FA7F06" w:rsidRDefault="00C11DEF" w:rsidP="00C11DEF">
      <w:pPr>
        <w:spacing w:after="0"/>
        <w:jc w:val="both"/>
        <w:rPr>
          <w:b/>
          <w:sz w:val="16"/>
          <w:szCs w:val="16"/>
        </w:rPr>
      </w:pPr>
    </w:p>
    <w:p w14:paraId="7F3566E8" w14:textId="77777777" w:rsidR="00C11DEF" w:rsidRPr="00FA7F06" w:rsidRDefault="00C11DEF" w:rsidP="00C11DEF">
      <w:pPr>
        <w:spacing w:after="0"/>
        <w:jc w:val="both"/>
        <w:rPr>
          <w:b/>
          <w:sz w:val="16"/>
          <w:szCs w:val="16"/>
        </w:rPr>
      </w:pPr>
      <w:r w:rsidRPr="00FA7F06">
        <w:rPr>
          <w:b/>
          <w:sz w:val="16"/>
          <w:szCs w:val="16"/>
        </w:rPr>
        <w:t>10. PRZEPISY ZWIĄZANE</w:t>
      </w:r>
    </w:p>
    <w:p w14:paraId="3EB9D45B" w14:textId="77777777" w:rsidR="00C11DEF" w:rsidRPr="00FA7F06" w:rsidRDefault="00C11DEF" w:rsidP="00C11DEF">
      <w:pPr>
        <w:spacing w:after="0"/>
        <w:jc w:val="both"/>
        <w:rPr>
          <w:b/>
          <w:sz w:val="16"/>
          <w:szCs w:val="16"/>
        </w:rPr>
      </w:pPr>
      <w:r w:rsidRPr="00FA7F06">
        <w:rPr>
          <w:b/>
          <w:sz w:val="16"/>
          <w:szCs w:val="16"/>
        </w:rPr>
        <w:t>10.1. Normy</w:t>
      </w:r>
    </w:p>
    <w:p w14:paraId="20B9C396" w14:textId="77777777" w:rsidR="001E30D6" w:rsidRPr="00FA7F06" w:rsidRDefault="001E30D6" w:rsidP="001E30D6">
      <w:pPr>
        <w:spacing w:after="0"/>
        <w:jc w:val="both"/>
        <w:rPr>
          <w:sz w:val="16"/>
          <w:szCs w:val="16"/>
        </w:rPr>
      </w:pPr>
      <w:r w:rsidRPr="00FA7F06">
        <w:rPr>
          <w:sz w:val="16"/>
          <w:szCs w:val="16"/>
        </w:rPr>
        <w:t>1. PN-B-04101 Materiały kamienne. Oznaczanie nasiąkliwości wodą</w:t>
      </w:r>
    </w:p>
    <w:p w14:paraId="05417B35" w14:textId="5C1B23B5" w:rsidR="001E30D6" w:rsidRPr="00FA7F06" w:rsidRDefault="001E30D6" w:rsidP="001E30D6">
      <w:pPr>
        <w:spacing w:after="0"/>
        <w:jc w:val="both"/>
        <w:rPr>
          <w:sz w:val="16"/>
          <w:szCs w:val="16"/>
        </w:rPr>
      </w:pPr>
      <w:r w:rsidRPr="00FA7F06">
        <w:rPr>
          <w:sz w:val="16"/>
          <w:szCs w:val="16"/>
        </w:rPr>
        <w:t>2. PN-B-04102 Materiały kamienne. Oznaczanie mrozoodporności metodą bezpośrednią</w:t>
      </w:r>
    </w:p>
    <w:p w14:paraId="3EB1E4AF" w14:textId="633F754A" w:rsidR="001E30D6" w:rsidRPr="00FA7F06" w:rsidRDefault="001E30D6" w:rsidP="001E30D6">
      <w:pPr>
        <w:spacing w:after="0"/>
        <w:jc w:val="both"/>
        <w:rPr>
          <w:sz w:val="16"/>
          <w:szCs w:val="16"/>
        </w:rPr>
      </w:pPr>
      <w:r w:rsidRPr="00FA7F06">
        <w:rPr>
          <w:sz w:val="16"/>
          <w:szCs w:val="16"/>
        </w:rPr>
        <w:t>3. PN-B-04110 Materiały kamienne. Oznaczanie wytrzymałości na ściskanie</w:t>
      </w:r>
    </w:p>
    <w:p w14:paraId="70573CB8" w14:textId="12696F7A" w:rsidR="001E30D6" w:rsidRPr="00FA7F06" w:rsidRDefault="001E30D6" w:rsidP="001E30D6">
      <w:pPr>
        <w:spacing w:after="0"/>
        <w:jc w:val="both"/>
        <w:rPr>
          <w:sz w:val="16"/>
          <w:szCs w:val="16"/>
        </w:rPr>
      </w:pPr>
      <w:r w:rsidRPr="00FA7F06">
        <w:rPr>
          <w:sz w:val="16"/>
          <w:szCs w:val="16"/>
        </w:rPr>
        <w:t xml:space="preserve">4. PN-B-04111 Materiały kamienne. Oznaczanie ścieralności na tarczy </w:t>
      </w:r>
      <w:proofErr w:type="spellStart"/>
      <w:r w:rsidRPr="00FA7F06">
        <w:rPr>
          <w:sz w:val="16"/>
          <w:szCs w:val="16"/>
        </w:rPr>
        <w:t>Boehmego</w:t>
      </w:r>
      <w:proofErr w:type="spellEnd"/>
    </w:p>
    <w:p w14:paraId="5E1A8486" w14:textId="2B725965" w:rsidR="001E30D6" w:rsidRPr="00FA7F06" w:rsidRDefault="001E30D6" w:rsidP="001E30D6">
      <w:pPr>
        <w:spacing w:after="0"/>
        <w:jc w:val="both"/>
        <w:rPr>
          <w:sz w:val="16"/>
          <w:szCs w:val="16"/>
        </w:rPr>
      </w:pPr>
      <w:r w:rsidRPr="00FA7F06">
        <w:rPr>
          <w:sz w:val="16"/>
          <w:szCs w:val="16"/>
        </w:rPr>
        <w:t>5. PN-B-04115 Materiały kamienne. Oznaczanie wytrzymałości kamienia na uderzenie (zwięzłości)</w:t>
      </w:r>
    </w:p>
    <w:p w14:paraId="3A5ADE40" w14:textId="77777777" w:rsidR="001E30D6" w:rsidRPr="00FA7F06" w:rsidRDefault="001E30D6" w:rsidP="001E30D6">
      <w:pPr>
        <w:spacing w:after="0"/>
        <w:jc w:val="both"/>
        <w:rPr>
          <w:sz w:val="16"/>
          <w:szCs w:val="16"/>
        </w:rPr>
      </w:pPr>
      <w:r w:rsidRPr="00FA7F06">
        <w:rPr>
          <w:sz w:val="16"/>
          <w:szCs w:val="16"/>
        </w:rPr>
        <w:t>6. PN-B-06251 Roboty betonowe i żelbetowe. Wymagania techniczne</w:t>
      </w:r>
    </w:p>
    <w:p w14:paraId="4B0D015C" w14:textId="77777777" w:rsidR="001E30D6" w:rsidRPr="00FA7F06" w:rsidRDefault="001E30D6" w:rsidP="001E30D6">
      <w:pPr>
        <w:spacing w:after="0"/>
        <w:jc w:val="both"/>
        <w:rPr>
          <w:sz w:val="16"/>
          <w:szCs w:val="16"/>
        </w:rPr>
      </w:pPr>
      <w:r w:rsidRPr="00FA7F06">
        <w:rPr>
          <w:sz w:val="16"/>
          <w:szCs w:val="16"/>
        </w:rPr>
        <w:t>7. PN-B-06712 Kruszywa mineralne do betonu zwykłego</w:t>
      </w:r>
    </w:p>
    <w:p w14:paraId="4CFA0488" w14:textId="77777777" w:rsidR="001E30D6" w:rsidRPr="00FA7F06" w:rsidRDefault="001E30D6" w:rsidP="001E30D6">
      <w:pPr>
        <w:spacing w:after="0"/>
        <w:jc w:val="both"/>
        <w:rPr>
          <w:sz w:val="16"/>
          <w:szCs w:val="16"/>
        </w:rPr>
      </w:pPr>
      <w:r w:rsidRPr="00FA7F06">
        <w:rPr>
          <w:sz w:val="16"/>
          <w:szCs w:val="16"/>
        </w:rPr>
        <w:t>8. PN-B-11100 Materiały kamienne. Kostka drogowa</w:t>
      </w:r>
    </w:p>
    <w:p w14:paraId="66FACC3F" w14:textId="0947F611" w:rsidR="001E30D6" w:rsidRPr="00FA7F06" w:rsidRDefault="001E30D6" w:rsidP="001E30D6">
      <w:pPr>
        <w:spacing w:after="0"/>
        <w:jc w:val="both"/>
        <w:rPr>
          <w:sz w:val="16"/>
          <w:szCs w:val="16"/>
        </w:rPr>
      </w:pPr>
      <w:r w:rsidRPr="00FA7F06">
        <w:rPr>
          <w:sz w:val="16"/>
          <w:szCs w:val="16"/>
        </w:rPr>
        <w:t>9. PN-B-19701 Cement. Cement powszechnego użytku. Skład, wymagania i ocena zgodności</w:t>
      </w:r>
    </w:p>
    <w:p w14:paraId="3E7A7078" w14:textId="77777777" w:rsidR="001E30D6" w:rsidRPr="00FA7F06" w:rsidRDefault="001E30D6" w:rsidP="001E30D6">
      <w:pPr>
        <w:spacing w:after="0"/>
        <w:jc w:val="both"/>
        <w:rPr>
          <w:sz w:val="16"/>
          <w:szCs w:val="16"/>
        </w:rPr>
      </w:pPr>
      <w:r w:rsidRPr="00FA7F06">
        <w:rPr>
          <w:sz w:val="16"/>
          <w:szCs w:val="16"/>
        </w:rPr>
        <w:t>10. PN-B-32250 Materiały budowlane. Woda do betonów i zapraw</w:t>
      </w:r>
    </w:p>
    <w:p w14:paraId="084E4CB4" w14:textId="7FBAE1D0" w:rsidR="001E30D6" w:rsidRPr="00FA7F06" w:rsidRDefault="001E30D6" w:rsidP="001E30D6">
      <w:pPr>
        <w:spacing w:after="0"/>
        <w:jc w:val="both"/>
        <w:rPr>
          <w:sz w:val="16"/>
          <w:szCs w:val="16"/>
        </w:rPr>
      </w:pPr>
      <w:r w:rsidRPr="00FA7F06">
        <w:rPr>
          <w:sz w:val="16"/>
          <w:szCs w:val="16"/>
        </w:rPr>
        <w:t>11. PN-S-06100 Drogi samochodowe. Nawierzchnie z kostki kamiennej. Warunki techniczne</w:t>
      </w:r>
    </w:p>
    <w:p w14:paraId="154EA16F" w14:textId="3EE147AB" w:rsidR="001E30D6" w:rsidRPr="00FA7F06" w:rsidRDefault="001E30D6" w:rsidP="001E30D6">
      <w:pPr>
        <w:spacing w:after="0"/>
        <w:jc w:val="both"/>
        <w:rPr>
          <w:sz w:val="16"/>
          <w:szCs w:val="16"/>
        </w:rPr>
      </w:pPr>
      <w:r w:rsidRPr="00FA7F06">
        <w:rPr>
          <w:sz w:val="16"/>
          <w:szCs w:val="16"/>
        </w:rPr>
        <w:t>12. BN-69/6731-08 Cement. Transport i przechowywanie</w:t>
      </w:r>
    </w:p>
    <w:p w14:paraId="48306384" w14:textId="77777777" w:rsidR="001E30D6" w:rsidRPr="00FA7F06" w:rsidRDefault="001E30D6" w:rsidP="001E30D6">
      <w:pPr>
        <w:spacing w:after="0"/>
        <w:jc w:val="both"/>
        <w:rPr>
          <w:sz w:val="16"/>
          <w:szCs w:val="16"/>
        </w:rPr>
      </w:pPr>
      <w:r w:rsidRPr="00FA7F06">
        <w:rPr>
          <w:sz w:val="16"/>
          <w:szCs w:val="16"/>
        </w:rPr>
        <w:t>13. BN-74/6771-04 Drogi samochodowe. Masa zalewowa</w:t>
      </w:r>
    </w:p>
    <w:p w14:paraId="10290AA1" w14:textId="633191FF" w:rsidR="001E30D6" w:rsidRPr="00FA7F06" w:rsidRDefault="001E30D6" w:rsidP="001E30D6">
      <w:pPr>
        <w:spacing w:after="0"/>
        <w:jc w:val="both"/>
        <w:rPr>
          <w:sz w:val="16"/>
          <w:szCs w:val="16"/>
        </w:rPr>
      </w:pPr>
      <w:r w:rsidRPr="00FA7F06">
        <w:rPr>
          <w:sz w:val="16"/>
          <w:szCs w:val="16"/>
        </w:rPr>
        <w:t>14. BN-66/6775-01 Elementy kamienne. Krawężniki uliczne, mostowe i drogowe</w:t>
      </w:r>
    </w:p>
    <w:p w14:paraId="5F03A048" w14:textId="6D228A49" w:rsidR="001E30D6" w:rsidRPr="00FA7F06" w:rsidRDefault="001E30D6" w:rsidP="001E30D6">
      <w:pPr>
        <w:spacing w:after="0"/>
        <w:jc w:val="both"/>
        <w:rPr>
          <w:sz w:val="16"/>
          <w:szCs w:val="16"/>
        </w:rPr>
      </w:pPr>
      <w:r w:rsidRPr="00FA7F06">
        <w:rPr>
          <w:sz w:val="16"/>
          <w:szCs w:val="16"/>
        </w:rPr>
        <w:t>15. BN-80/6775-03/01</w:t>
      </w:r>
      <w:r w:rsidR="006B33B2" w:rsidRPr="00FA7F06">
        <w:rPr>
          <w:sz w:val="16"/>
          <w:szCs w:val="16"/>
        </w:rPr>
        <w:t xml:space="preserve"> </w:t>
      </w:r>
      <w:r w:rsidRPr="00FA7F06">
        <w:rPr>
          <w:sz w:val="16"/>
          <w:szCs w:val="16"/>
        </w:rPr>
        <w:t>Prefabrykaty budowlane z betonu. Elementy nawierzchni</w:t>
      </w:r>
      <w:r w:rsidR="006B33B2" w:rsidRPr="00FA7F06">
        <w:rPr>
          <w:sz w:val="16"/>
          <w:szCs w:val="16"/>
        </w:rPr>
        <w:t xml:space="preserve"> </w:t>
      </w:r>
      <w:r w:rsidRPr="00FA7F06">
        <w:rPr>
          <w:sz w:val="16"/>
          <w:szCs w:val="16"/>
        </w:rPr>
        <w:t>dróg, ulic, parkingów i torowisk tramwajowych. Wspólne</w:t>
      </w:r>
    </w:p>
    <w:p w14:paraId="2928CAE4" w14:textId="77777777" w:rsidR="001E30D6" w:rsidRPr="00FA7F06" w:rsidRDefault="001E30D6" w:rsidP="006B33B2">
      <w:pPr>
        <w:spacing w:after="0"/>
        <w:jc w:val="both"/>
        <w:rPr>
          <w:sz w:val="16"/>
          <w:szCs w:val="16"/>
        </w:rPr>
      </w:pPr>
      <w:r w:rsidRPr="00FA7F06">
        <w:rPr>
          <w:sz w:val="16"/>
          <w:szCs w:val="16"/>
        </w:rPr>
        <w:t>wymagania i badania</w:t>
      </w:r>
    </w:p>
    <w:p w14:paraId="631AB778" w14:textId="48254554" w:rsidR="001E30D6" w:rsidRPr="00FA7F06" w:rsidRDefault="001E30D6" w:rsidP="001E30D6">
      <w:pPr>
        <w:spacing w:after="0"/>
        <w:jc w:val="both"/>
        <w:rPr>
          <w:sz w:val="16"/>
          <w:szCs w:val="16"/>
        </w:rPr>
      </w:pPr>
      <w:r w:rsidRPr="00FA7F06">
        <w:rPr>
          <w:sz w:val="16"/>
          <w:szCs w:val="16"/>
        </w:rPr>
        <w:t>16. BN-80/6775-03/04</w:t>
      </w:r>
      <w:r w:rsidR="006B33B2" w:rsidRPr="00FA7F06">
        <w:rPr>
          <w:sz w:val="16"/>
          <w:szCs w:val="16"/>
        </w:rPr>
        <w:t xml:space="preserve"> </w:t>
      </w:r>
      <w:r w:rsidRPr="00FA7F06">
        <w:rPr>
          <w:sz w:val="16"/>
          <w:szCs w:val="16"/>
        </w:rPr>
        <w:t>Prefabrykaty budowlane z betonu. Elementy nawierzchni</w:t>
      </w:r>
      <w:r w:rsidR="006B33B2" w:rsidRPr="00FA7F06">
        <w:rPr>
          <w:sz w:val="16"/>
          <w:szCs w:val="16"/>
        </w:rPr>
        <w:t xml:space="preserve"> </w:t>
      </w:r>
      <w:r w:rsidRPr="00FA7F06">
        <w:rPr>
          <w:sz w:val="16"/>
          <w:szCs w:val="16"/>
        </w:rPr>
        <w:t>dróg, ulic, parkingów i torowisk tramwajowych.</w:t>
      </w:r>
      <w:r w:rsidR="006B33B2" w:rsidRPr="00FA7F06">
        <w:rPr>
          <w:sz w:val="16"/>
          <w:szCs w:val="16"/>
        </w:rPr>
        <w:t xml:space="preserve"> </w:t>
      </w:r>
      <w:r w:rsidRPr="00FA7F06">
        <w:rPr>
          <w:sz w:val="16"/>
          <w:szCs w:val="16"/>
        </w:rPr>
        <w:t>Krawężniki i obrzeża</w:t>
      </w:r>
    </w:p>
    <w:p w14:paraId="7C16C531" w14:textId="4DF92721" w:rsidR="001E30D6" w:rsidRPr="00FA7F06" w:rsidRDefault="001E30D6" w:rsidP="001E30D6">
      <w:pPr>
        <w:spacing w:after="0"/>
        <w:jc w:val="both"/>
        <w:rPr>
          <w:sz w:val="16"/>
          <w:szCs w:val="16"/>
        </w:rPr>
      </w:pPr>
      <w:r w:rsidRPr="00FA7F06">
        <w:rPr>
          <w:sz w:val="16"/>
          <w:szCs w:val="16"/>
        </w:rPr>
        <w:t>17. PN-EN 13036-7:2004</w:t>
      </w:r>
      <w:r w:rsidR="006B33B2" w:rsidRPr="00FA7F06">
        <w:rPr>
          <w:sz w:val="16"/>
          <w:szCs w:val="16"/>
        </w:rPr>
        <w:t xml:space="preserve"> </w:t>
      </w:r>
      <w:r w:rsidRPr="00FA7F06">
        <w:rPr>
          <w:sz w:val="16"/>
          <w:szCs w:val="16"/>
        </w:rPr>
        <w:t>Drogi samochodowe i lotniskowe. Metody badań. Część</w:t>
      </w:r>
    </w:p>
    <w:p w14:paraId="56BE0AED" w14:textId="5849D386" w:rsidR="001E30D6" w:rsidRPr="00FA7F06" w:rsidRDefault="001E30D6" w:rsidP="001E30D6">
      <w:pPr>
        <w:spacing w:after="0"/>
        <w:jc w:val="both"/>
        <w:rPr>
          <w:sz w:val="16"/>
          <w:szCs w:val="16"/>
        </w:rPr>
      </w:pPr>
      <w:r w:rsidRPr="00FA7F06">
        <w:rPr>
          <w:sz w:val="16"/>
          <w:szCs w:val="16"/>
        </w:rPr>
        <w:t>7: Pomiar nierówności nawierzchni: badanie liniałem</w:t>
      </w:r>
      <w:r w:rsidR="006B33B2" w:rsidRPr="00FA7F06">
        <w:rPr>
          <w:sz w:val="16"/>
          <w:szCs w:val="16"/>
        </w:rPr>
        <w:t xml:space="preserve"> </w:t>
      </w:r>
      <w:r w:rsidRPr="00FA7F06">
        <w:rPr>
          <w:sz w:val="16"/>
          <w:szCs w:val="16"/>
        </w:rPr>
        <w:t>mierniczym.</w:t>
      </w:r>
    </w:p>
    <w:p w14:paraId="2C070ADF" w14:textId="020502F2" w:rsidR="00C11DEF" w:rsidRPr="00FA7F06" w:rsidRDefault="00C11DEF" w:rsidP="00C11DEF">
      <w:pPr>
        <w:spacing w:after="0"/>
        <w:jc w:val="both"/>
        <w:rPr>
          <w:b/>
          <w:sz w:val="16"/>
          <w:szCs w:val="16"/>
        </w:rPr>
      </w:pPr>
      <w:r w:rsidRPr="00FA7F06">
        <w:rPr>
          <w:b/>
          <w:sz w:val="16"/>
          <w:szCs w:val="16"/>
        </w:rPr>
        <w:t>10.2. Inne dokumenty</w:t>
      </w:r>
    </w:p>
    <w:p w14:paraId="2538CB6E" w14:textId="77777777" w:rsidR="00C11DEF" w:rsidRPr="00FA7F06" w:rsidRDefault="00C11DEF" w:rsidP="00C11DEF">
      <w:pPr>
        <w:spacing w:after="0"/>
        <w:jc w:val="both"/>
        <w:rPr>
          <w:sz w:val="16"/>
          <w:szCs w:val="16"/>
        </w:rPr>
      </w:pPr>
      <w:r w:rsidRPr="00FA7F06">
        <w:rPr>
          <w:sz w:val="16"/>
          <w:szCs w:val="16"/>
        </w:rPr>
        <w:t xml:space="preserve">Warunki techniczne. Drogowe emulsje asfaltowe EmA-94. </w:t>
      </w:r>
      <w:proofErr w:type="spellStart"/>
      <w:r w:rsidRPr="00FA7F06">
        <w:rPr>
          <w:sz w:val="16"/>
          <w:szCs w:val="16"/>
        </w:rPr>
        <w:t>IBDiM</w:t>
      </w:r>
      <w:proofErr w:type="spellEnd"/>
      <w:r w:rsidRPr="00FA7F06">
        <w:rPr>
          <w:sz w:val="16"/>
          <w:szCs w:val="16"/>
        </w:rPr>
        <w:t xml:space="preserve"> - 1994 r.</w:t>
      </w:r>
    </w:p>
    <w:p w14:paraId="0EE0FA34" w14:textId="77777777" w:rsidR="00C11DEF" w:rsidRPr="00FA7F06" w:rsidRDefault="00C11DEF" w:rsidP="00C11DEF">
      <w:pPr>
        <w:pStyle w:val="Pro-Inwest"/>
        <w:jc w:val="both"/>
        <w:rPr>
          <w:rFonts w:asciiTheme="minorHAnsi" w:hAnsiTheme="minorHAnsi"/>
          <w:b/>
          <w:sz w:val="16"/>
          <w:szCs w:val="16"/>
        </w:rPr>
      </w:pPr>
    </w:p>
    <w:p w14:paraId="67EB5C0E" w14:textId="77777777" w:rsidR="00C11DEF" w:rsidRPr="00FA7F06" w:rsidRDefault="00C11DEF" w:rsidP="00C11DEF">
      <w:pPr>
        <w:pStyle w:val="Pro-Inwest"/>
        <w:jc w:val="both"/>
        <w:rPr>
          <w:rFonts w:asciiTheme="minorHAnsi" w:hAnsiTheme="minorHAnsi"/>
          <w:b/>
          <w:sz w:val="16"/>
          <w:szCs w:val="16"/>
        </w:rPr>
      </w:pPr>
    </w:p>
    <w:p w14:paraId="4B3763A5" w14:textId="77777777" w:rsidR="00C11DEF" w:rsidRPr="00FA7F06" w:rsidRDefault="00C11DEF" w:rsidP="00C11DEF">
      <w:pPr>
        <w:pStyle w:val="Pro-Inwest"/>
        <w:jc w:val="both"/>
        <w:rPr>
          <w:rFonts w:asciiTheme="minorHAnsi" w:hAnsiTheme="minorHAnsi"/>
          <w:b/>
          <w:sz w:val="16"/>
          <w:szCs w:val="16"/>
        </w:rPr>
      </w:pPr>
    </w:p>
    <w:p w14:paraId="26F693A0" w14:textId="77777777" w:rsidR="00C11DEF" w:rsidRPr="00FA7F06" w:rsidRDefault="00C11DEF" w:rsidP="00C11DEF">
      <w:pPr>
        <w:pStyle w:val="Pro-Inwest"/>
        <w:jc w:val="both"/>
        <w:rPr>
          <w:rFonts w:asciiTheme="minorHAnsi" w:hAnsiTheme="minorHAnsi"/>
          <w:b/>
          <w:sz w:val="16"/>
          <w:szCs w:val="16"/>
        </w:rPr>
      </w:pPr>
    </w:p>
    <w:p w14:paraId="5C8A1D11" w14:textId="77777777" w:rsidR="00C11DEF" w:rsidRPr="00FA7F06" w:rsidRDefault="00C11DEF" w:rsidP="00C11DEF">
      <w:pPr>
        <w:pStyle w:val="Pro-Inwest"/>
        <w:spacing w:line="240" w:lineRule="auto"/>
        <w:jc w:val="both"/>
        <w:rPr>
          <w:rFonts w:asciiTheme="minorHAnsi" w:hAnsiTheme="minorHAnsi"/>
          <w:b/>
          <w:sz w:val="18"/>
          <w:szCs w:val="18"/>
        </w:rPr>
      </w:pPr>
    </w:p>
    <w:p w14:paraId="2A525779" w14:textId="77777777" w:rsidR="00AF6417" w:rsidRPr="00FA7F06" w:rsidRDefault="00AF6417" w:rsidP="001341E4">
      <w:pPr>
        <w:pStyle w:val="Pro-Inwest"/>
        <w:jc w:val="both"/>
        <w:rPr>
          <w:rFonts w:asciiTheme="minorHAnsi" w:hAnsiTheme="minorHAnsi"/>
          <w:b/>
          <w:sz w:val="18"/>
          <w:szCs w:val="18"/>
        </w:rPr>
      </w:pPr>
    </w:p>
    <w:p w14:paraId="15649EAE" w14:textId="77777777" w:rsidR="00C11DEF" w:rsidRPr="00FA7F06" w:rsidRDefault="00C11DEF" w:rsidP="001341E4">
      <w:pPr>
        <w:pStyle w:val="Pro-Inwest"/>
        <w:jc w:val="both"/>
        <w:rPr>
          <w:rFonts w:asciiTheme="minorHAnsi" w:hAnsiTheme="minorHAnsi"/>
          <w:b/>
          <w:sz w:val="18"/>
          <w:szCs w:val="18"/>
        </w:rPr>
      </w:pPr>
    </w:p>
    <w:p w14:paraId="3063EC51" w14:textId="77777777" w:rsidR="00C11DEF" w:rsidRPr="00021789" w:rsidRDefault="00C11DEF" w:rsidP="001341E4">
      <w:pPr>
        <w:pStyle w:val="Pro-Inwest"/>
        <w:jc w:val="both"/>
        <w:rPr>
          <w:rFonts w:asciiTheme="minorHAnsi" w:hAnsiTheme="minorHAnsi"/>
          <w:b/>
          <w:color w:val="FF0000"/>
          <w:sz w:val="18"/>
          <w:szCs w:val="18"/>
        </w:rPr>
      </w:pPr>
    </w:p>
    <w:p w14:paraId="7FEABD10" w14:textId="77777777" w:rsidR="00C11DEF" w:rsidRPr="00021789" w:rsidRDefault="00C11DEF" w:rsidP="001341E4">
      <w:pPr>
        <w:pStyle w:val="Pro-Inwest"/>
        <w:jc w:val="both"/>
        <w:rPr>
          <w:rFonts w:asciiTheme="minorHAnsi" w:hAnsiTheme="minorHAnsi"/>
          <w:b/>
          <w:color w:val="FF0000"/>
          <w:sz w:val="18"/>
          <w:szCs w:val="18"/>
        </w:rPr>
      </w:pPr>
    </w:p>
    <w:p w14:paraId="76FD3114" w14:textId="77777777" w:rsidR="00C11DEF" w:rsidRPr="00021789" w:rsidRDefault="00C11DEF" w:rsidP="001341E4">
      <w:pPr>
        <w:pStyle w:val="Pro-Inwest"/>
        <w:jc w:val="both"/>
        <w:rPr>
          <w:rFonts w:asciiTheme="minorHAnsi" w:hAnsiTheme="minorHAnsi"/>
          <w:b/>
          <w:color w:val="FF0000"/>
          <w:sz w:val="18"/>
          <w:szCs w:val="18"/>
        </w:rPr>
      </w:pPr>
    </w:p>
    <w:p w14:paraId="37EC32E9" w14:textId="77777777" w:rsidR="00C11DEF" w:rsidRPr="00021789" w:rsidRDefault="00C11DEF" w:rsidP="001341E4">
      <w:pPr>
        <w:pStyle w:val="Pro-Inwest"/>
        <w:jc w:val="both"/>
        <w:rPr>
          <w:rFonts w:asciiTheme="minorHAnsi" w:hAnsiTheme="minorHAnsi"/>
          <w:b/>
          <w:color w:val="FF0000"/>
          <w:sz w:val="18"/>
          <w:szCs w:val="18"/>
        </w:rPr>
      </w:pPr>
    </w:p>
    <w:p w14:paraId="2A9E34D5" w14:textId="77777777" w:rsidR="00C11DEF" w:rsidRPr="00021789" w:rsidRDefault="00C11DEF" w:rsidP="001341E4">
      <w:pPr>
        <w:pStyle w:val="Pro-Inwest"/>
        <w:jc w:val="both"/>
        <w:rPr>
          <w:rFonts w:asciiTheme="minorHAnsi" w:hAnsiTheme="minorHAnsi"/>
          <w:b/>
          <w:color w:val="FF0000"/>
          <w:sz w:val="18"/>
          <w:szCs w:val="18"/>
        </w:rPr>
      </w:pPr>
    </w:p>
    <w:bookmarkEnd w:id="1"/>
    <w:bookmarkEnd w:id="2"/>
    <w:p w14:paraId="278853F4" w14:textId="725A0294" w:rsidR="00FC4BA0" w:rsidRPr="007D03F5" w:rsidRDefault="00FC4BA0" w:rsidP="00FC4BA0">
      <w:pPr>
        <w:pStyle w:val="Pro-Inwest"/>
        <w:jc w:val="both"/>
        <w:rPr>
          <w:rFonts w:asciiTheme="minorHAnsi" w:hAnsiTheme="minorHAnsi"/>
          <w:b/>
          <w:sz w:val="18"/>
          <w:szCs w:val="18"/>
          <w:lang w:eastAsia="pl-PL"/>
        </w:rPr>
      </w:pPr>
      <w:r w:rsidRPr="007D03F5">
        <w:rPr>
          <w:rStyle w:val="Nagwek1Znak"/>
          <w:rFonts w:asciiTheme="minorHAnsi" w:hAnsiTheme="minorHAnsi"/>
          <w:sz w:val="18"/>
          <w:szCs w:val="18"/>
        </w:rPr>
        <w:lastRenderedPageBreak/>
        <w:t>D.07.00.00</w:t>
      </w:r>
      <w:r w:rsidRPr="007D03F5">
        <w:rPr>
          <w:rFonts w:asciiTheme="minorHAnsi" w:hAnsiTheme="minorHAnsi"/>
          <w:b/>
          <w:sz w:val="18"/>
          <w:szCs w:val="18"/>
          <w:lang w:eastAsia="pl-PL"/>
        </w:rPr>
        <w:t> </w:t>
      </w:r>
      <w:r w:rsidRPr="007D03F5">
        <w:rPr>
          <w:rFonts w:asciiTheme="minorHAnsi" w:hAnsiTheme="minorHAnsi"/>
          <w:b/>
          <w:sz w:val="18"/>
          <w:szCs w:val="18"/>
        </w:rPr>
        <w:t>URZĄDZENIA BEZPIECZEŃSTWA RUCHU</w:t>
      </w:r>
    </w:p>
    <w:p w14:paraId="34098F88" w14:textId="77777777" w:rsidR="00FC4BA0" w:rsidRPr="007D03F5" w:rsidRDefault="00FC4BA0" w:rsidP="00FC4BA0">
      <w:pPr>
        <w:pStyle w:val="Pro-Inwest"/>
        <w:spacing w:line="240" w:lineRule="auto"/>
        <w:jc w:val="both"/>
        <w:rPr>
          <w:rFonts w:asciiTheme="minorHAnsi" w:hAnsiTheme="minorHAnsi"/>
          <w:b/>
          <w:sz w:val="18"/>
          <w:szCs w:val="18"/>
        </w:rPr>
      </w:pPr>
      <w:r w:rsidRPr="007D03F5">
        <w:rPr>
          <w:rStyle w:val="Nagwek1Znak"/>
          <w:rFonts w:asciiTheme="minorHAnsi" w:hAnsiTheme="minorHAnsi"/>
          <w:sz w:val="18"/>
          <w:szCs w:val="18"/>
        </w:rPr>
        <w:t>D.07.01.01</w:t>
      </w:r>
      <w:r w:rsidRPr="007D03F5">
        <w:rPr>
          <w:rFonts w:asciiTheme="minorHAnsi" w:hAnsiTheme="minorHAnsi"/>
          <w:b/>
          <w:sz w:val="18"/>
          <w:szCs w:val="18"/>
        </w:rPr>
        <w:t xml:space="preserve"> OZNAKOWANIE POZIOME</w:t>
      </w:r>
    </w:p>
    <w:p w14:paraId="6DD430B7" w14:textId="77777777" w:rsidR="00FC4BA0" w:rsidRPr="007D03F5" w:rsidRDefault="00FC4BA0" w:rsidP="00FC4BA0">
      <w:pPr>
        <w:pStyle w:val="Pro-Inwest"/>
        <w:rPr>
          <w:rFonts w:asciiTheme="minorHAnsi" w:hAnsiTheme="minorHAnsi"/>
          <w:b/>
          <w:sz w:val="18"/>
          <w:szCs w:val="18"/>
        </w:rPr>
      </w:pPr>
    </w:p>
    <w:p w14:paraId="005DD44C"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1. WSTĘP</w:t>
      </w:r>
    </w:p>
    <w:p w14:paraId="2AA605CF"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 xml:space="preserve">1.1. Przedmiot </w:t>
      </w:r>
      <w:proofErr w:type="spellStart"/>
      <w:r w:rsidRPr="007D03F5">
        <w:rPr>
          <w:rFonts w:asciiTheme="minorHAnsi" w:hAnsiTheme="minorHAnsi"/>
          <w:b/>
          <w:sz w:val="16"/>
          <w:szCs w:val="16"/>
          <w:lang w:eastAsia="pl-PL"/>
        </w:rPr>
        <w:t>STWiORB</w:t>
      </w:r>
      <w:proofErr w:type="spellEnd"/>
    </w:p>
    <w:p w14:paraId="3E39916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Przedmiotem niniejszej Specyfikacji Technicznej Wykonania i Odbioru Robót Budowlanych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są wymagania dotyczące wykonania i odbioru oznakowania poziomego dróg.</w:t>
      </w:r>
    </w:p>
    <w:p w14:paraId="418BA496"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 xml:space="preserve">1.2. Zakres stosowania </w:t>
      </w:r>
      <w:proofErr w:type="spellStart"/>
      <w:r w:rsidRPr="007D03F5">
        <w:rPr>
          <w:rFonts w:asciiTheme="minorHAnsi" w:hAnsiTheme="minorHAnsi"/>
          <w:b/>
          <w:sz w:val="16"/>
          <w:szCs w:val="16"/>
          <w:lang w:eastAsia="pl-PL"/>
        </w:rPr>
        <w:t>STWiORB</w:t>
      </w:r>
      <w:proofErr w:type="spellEnd"/>
    </w:p>
    <w:p w14:paraId="2535E09E"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Specyfikacja techniczna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stosowana jest jako dokument przetargowy i kontraktowy przy zlecaniu i realizacji robót drogowych.        </w:t>
      </w:r>
    </w:p>
    <w:p w14:paraId="1EF6C3E0"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 xml:space="preserve">1.3. Zakres robót objętych </w:t>
      </w:r>
      <w:proofErr w:type="spellStart"/>
      <w:r w:rsidRPr="007D03F5">
        <w:rPr>
          <w:rFonts w:asciiTheme="minorHAnsi" w:hAnsiTheme="minorHAnsi"/>
          <w:b/>
          <w:sz w:val="16"/>
          <w:szCs w:val="16"/>
          <w:lang w:eastAsia="pl-PL"/>
        </w:rPr>
        <w:t>STWiORB</w:t>
      </w:r>
      <w:proofErr w:type="spellEnd"/>
    </w:p>
    <w:p w14:paraId="7BC51DD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Ustalenia zawarte w niniejszej specyfikacji dotyczą zasad prowadzenia robót związanych z wykonywaniem i odbiorem oznakowania poziomego stosowanego na drogach o nawierzchni twardej.</w:t>
      </w:r>
    </w:p>
    <w:p w14:paraId="5417E860"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1.4. Określenia podstawowe</w:t>
      </w:r>
    </w:p>
    <w:p w14:paraId="343A882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1.4.1.</w:t>
      </w:r>
      <w:r w:rsidRPr="007D03F5">
        <w:rPr>
          <w:rFonts w:asciiTheme="minorHAnsi" w:hAnsiTheme="minorHAnsi"/>
          <w:sz w:val="16"/>
          <w:szCs w:val="16"/>
          <w:lang w:eastAsia="pl-PL"/>
        </w:rPr>
        <w:t> Oznakowanie poziome - znaki drogowe poziome, umieszczone na nawierzchni w postaci linii ciągłych lub przerywanych, pojedynczych lub podwójnych, strzałek, napisów, symboli oraz innych linii związanych z oznaczeniem określonych miejsc na tej nawierzchni.</w:t>
      </w:r>
    </w:p>
    <w:p w14:paraId="44866C3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1.4.2.</w:t>
      </w:r>
      <w:r w:rsidRPr="007D03F5">
        <w:rPr>
          <w:rFonts w:asciiTheme="minorHAnsi" w:hAnsiTheme="minorHAnsi"/>
          <w:sz w:val="16"/>
          <w:szCs w:val="16"/>
          <w:lang w:eastAsia="pl-PL"/>
        </w:rPr>
        <w:t> Znaki podłużne - linie równoległe do osi jezdni lub odchylone od niej pod niewielkim kątem, występujące jako linie segregacyjne lub krawędziowe, przerywane lub ciągłe.</w:t>
      </w:r>
    </w:p>
    <w:p w14:paraId="73F1E28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1.4.3.</w:t>
      </w:r>
      <w:r w:rsidRPr="007D03F5">
        <w:rPr>
          <w:rFonts w:asciiTheme="minorHAnsi" w:hAnsiTheme="minorHAnsi"/>
          <w:sz w:val="16"/>
          <w:szCs w:val="16"/>
          <w:lang w:eastAsia="pl-PL"/>
        </w:rPr>
        <w:t> Strzałki - znaki poziome na nawierzchni, występujące jako strzałki kierunkowe służące do wskazania dozwolonego kierunku jazdy oraz strzałki naprowadzające, które uprzedzają o konieczności opuszczenia pasa, na którym się znajdują.</w:t>
      </w:r>
    </w:p>
    <w:p w14:paraId="218C3481"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1.4.4.</w:t>
      </w:r>
      <w:r w:rsidRPr="007D03F5">
        <w:rPr>
          <w:rFonts w:asciiTheme="minorHAnsi" w:hAnsiTheme="minorHAnsi"/>
          <w:sz w:val="16"/>
          <w:szCs w:val="16"/>
          <w:lang w:eastAsia="pl-PL"/>
        </w:rPr>
        <w:t> Znaki poprzeczne - znaki wyznaczające miejsca przeznaczone do ruchu pieszych i rowerzystów w poprzek jezdni oraz miejsca zatrzymania pojazdów.</w:t>
      </w:r>
    </w:p>
    <w:p w14:paraId="1AC6FC3A"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1.4.5.</w:t>
      </w:r>
      <w:r w:rsidRPr="007D03F5">
        <w:rPr>
          <w:rFonts w:asciiTheme="minorHAnsi" w:hAnsiTheme="minorHAnsi"/>
          <w:sz w:val="16"/>
          <w:szCs w:val="16"/>
          <w:lang w:eastAsia="pl-PL"/>
        </w:rPr>
        <w:t> Znaki uzupełniające - znaki w postaci symboli, napisów, linii przystankowych oraz inne określające szczególne miejsca na nawierzchni.</w:t>
      </w:r>
    </w:p>
    <w:p w14:paraId="5EC6FBDC"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1.4.6.</w:t>
      </w:r>
      <w:r w:rsidRPr="007D03F5">
        <w:rPr>
          <w:rFonts w:asciiTheme="minorHAnsi" w:hAnsiTheme="minorHAnsi"/>
          <w:sz w:val="16"/>
          <w:szCs w:val="16"/>
          <w:lang w:eastAsia="pl-PL"/>
        </w:rPr>
        <w:t xml:space="preserve"> 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być </w:t>
      </w:r>
      <w:proofErr w:type="spellStart"/>
      <w:r w:rsidRPr="007D03F5">
        <w:rPr>
          <w:rFonts w:asciiTheme="minorHAnsi" w:hAnsiTheme="minorHAnsi"/>
          <w:sz w:val="16"/>
          <w:szCs w:val="16"/>
          <w:lang w:eastAsia="pl-PL"/>
        </w:rPr>
        <w:t>retrorefleksyjne</w:t>
      </w:r>
      <w:proofErr w:type="spellEnd"/>
      <w:r w:rsidRPr="007D03F5">
        <w:rPr>
          <w:rFonts w:asciiTheme="minorHAnsi" w:hAnsiTheme="minorHAnsi"/>
          <w:sz w:val="16"/>
          <w:szCs w:val="16"/>
          <w:lang w:eastAsia="pl-PL"/>
        </w:rPr>
        <w:t>.</w:t>
      </w:r>
    </w:p>
    <w:p w14:paraId="12B9090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1.4.7.</w:t>
      </w:r>
      <w:r w:rsidRPr="007D03F5">
        <w:rPr>
          <w:rFonts w:asciiTheme="minorHAnsi" w:hAnsiTheme="minorHAnsi"/>
          <w:sz w:val="16"/>
          <w:szCs w:val="16"/>
          <w:lang w:eastAsia="pl-PL"/>
        </w:rPr>
        <w:t> Materiały do znakowania cienkowarstwowego - farby nakładane warstwą grubości od 0,3 mm do 0,8 mm.</w:t>
      </w:r>
    </w:p>
    <w:p w14:paraId="5F9B3C4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1.4.8.</w:t>
      </w:r>
      <w:r w:rsidRPr="007D03F5">
        <w:rPr>
          <w:rFonts w:asciiTheme="minorHAnsi" w:hAnsiTheme="minorHAnsi"/>
          <w:sz w:val="16"/>
          <w:szCs w:val="16"/>
          <w:lang w:eastAsia="pl-PL"/>
        </w:rPr>
        <w:t> Materiały do znakowania grubowarstwowego - materiały nakładane warstwą grubości od 0,9 mm do 5 mm. Należą do nich chemoutwardzalne masy stosowane na zimno oraz masy termoplastyczne.</w:t>
      </w:r>
    </w:p>
    <w:p w14:paraId="61649CF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1.4.9.</w:t>
      </w:r>
      <w:r w:rsidRPr="007D03F5">
        <w:rPr>
          <w:rFonts w:asciiTheme="minorHAnsi" w:hAnsiTheme="minorHAnsi"/>
          <w:sz w:val="16"/>
          <w:szCs w:val="16"/>
          <w:lang w:eastAsia="pl-PL"/>
        </w:rPr>
        <w:t xml:space="preserve"> Materiały prefabrykowane - materiały, które łączy się z powierzchnią drogi przez klejenie, wtapianie, wbudowanie lub w inny sposób. Zalicza się do nich masy termoplastyczne w arkuszach do wtapiania oraz folie do </w:t>
      </w:r>
      <w:proofErr w:type="spellStart"/>
      <w:r w:rsidRPr="007D03F5">
        <w:rPr>
          <w:rFonts w:asciiTheme="minorHAnsi" w:hAnsiTheme="minorHAnsi"/>
          <w:sz w:val="16"/>
          <w:szCs w:val="16"/>
          <w:lang w:eastAsia="pl-PL"/>
        </w:rPr>
        <w:t>oznakowań</w:t>
      </w:r>
      <w:proofErr w:type="spellEnd"/>
      <w:r w:rsidRPr="007D03F5">
        <w:rPr>
          <w:rFonts w:asciiTheme="minorHAnsi" w:hAnsiTheme="minorHAnsi"/>
          <w:sz w:val="16"/>
          <w:szCs w:val="16"/>
          <w:lang w:eastAsia="pl-PL"/>
        </w:rPr>
        <w:t xml:space="preserve"> tymczasowych (żółte) i trwałych (białe) oraz punktowe elementy odblaskowe.</w:t>
      </w:r>
    </w:p>
    <w:p w14:paraId="6BE60DB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1.4.10.</w:t>
      </w:r>
      <w:r w:rsidRPr="007D03F5">
        <w:rPr>
          <w:rFonts w:asciiTheme="minorHAnsi" w:hAnsiTheme="minorHAnsi"/>
          <w:sz w:val="16"/>
          <w:szCs w:val="16"/>
          <w:lang w:eastAsia="pl-PL"/>
        </w:rPr>
        <w:t xml:space="preserve"> Punktowe elementy odblaskowe - materiały o wysokości do 15 mm, a w szczególnych wypadkach do 25 mm, które są przyklejane lub wbudowywane w nawierzchnię. Mają różny kształt, wielkość i wysokość oraz rodzaj i liczbę zastosowanych elementów odblaskowych, do których należą szklane soczewki, elementy odblaskowe z </w:t>
      </w:r>
      <w:proofErr w:type="spellStart"/>
      <w:r w:rsidRPr="007D03F5">
        <w:rPr>
          <w:rFonts w:asciiTheme="minorHAnsi" w:hAnsiTheme="minorHAnsi"/>
          <w:sz w:val="16"/>
          <w:szCs w:val="16"/>
          <w:lang w:eastAsia="pl-PL"/>
        </w:rPr>
        <w:t>polimetekrylanu</w:t>
      </w:r>
      <w:proofErr w:type="spellEnd"/>
      <w:r w:rsidRPr="007D03F5">
        <w:rPr>
          <w:rFonts w:asciiTheme="minorHAnsi" w:hAnsiTheme="minorHAnsi"/>
          <w:sz w:val="16"/>
          <w:szCs w:val="16"/>
          <w:lang w:eastAsia="pl-PL"/>
        </w:rPr>
        <w:t xml:space="preserve"> metylu i folie odblaskowe.</w:t>
      </w:r>
    </w:p>
    <w:p w14:paraId="73A8ED7C"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1.4.11.</w:t>
      </w:r>
      <w:r w:rsidRPr="007D03F5">
        <w:rPr>
          <w:rFonts w:asciiTheme="minorHAnsi" w:hAnsiTheme="minorHAnsi"/>
          <w:sz w:val="16"/>
          <w:szCs w:val="16"/>
          <w:lang w:eastAsia="pl-PL"/>
        </w:rPr>
        <w:t> Tymczasowe oznakowanie drogowe - oznakowanie z materiału o barwie żółtej, którego czas użytkowania wynosi do 3 miesięcy lub do czasu zakończenia robót.</w:t>
      </w:r>
    </w:p>
    <w:p w14:paraId="32AB9D51"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1.4.12.</w:t>
      </w:r>
      <w:r w:rsidRPr="007D03F5">
        <w:rPr>
          <w:rFonts w:asciiTheme="minorHAnsi" w:hAnsiTheme="minorHAnsi"/>
          <w:sz w:val="16"/>
          <w:szCs w:val="16"/>
          <w:lang w:eastAsia="pl-PL"/>
        </w:rPr>
        <w:t> Okresowe oznakowanie drogowe - oznakowanie, którego czas użytkowania wynosi do 6 miesięcy.</w:t>
      </w:r>
    </w:p>
    <w:p w14:paraId="7CBEFC3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1.4.13.</w:t>
      </w:r>
      <w:r w:rsidRPr="007D03F5">
        <w:rPr>
          <w:rFonts w:asciiTheme="minorHAnsi" w:hAnsiTheme="minorHAnsi"/>
          <w:sz w:val="16"/>
          <w:szCs w:val="16"/>
          <w:lang w:eastAsia="pl-PL"/>
        </w:rPr>
        <w:t> Kulki szklane - materiał do posypywania lub narzucania pod ciśnieniem na oznakowanie wykonane materiałami w stanie ciekłym, w celu uzyskania widzialności oznakowania w nocy.</w:t>
      </w:r>
    </w:p>
    <w:p w14:paraId="45DF01B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1.4.14.</w:t>
      </w:r>
      <w:r w:rsidRPr="007D03F5">
        <w:rPr>
          <w:rFonts w:asciiTheme="minorHAnsi" w:hAnsiTheme="minorHAnsi"/>
          <w:sz w:val="16"/>
          <w:szCs w:val="16"/>
          <w:lang w:eastAsia="pl-PL"/>
        </w:rPr>
        <w:t xml:space="preserve"> Materiał </w:t>
      </w:r>
      <w:proofErr w:type="spellStart"/>
      <w:r w:rsidRPr="007D03F5">
        <w:rPr>
          <w:rFonts w:asciiTheme="minorHAnsi" w:hAnsiTheme="minorHAnsi"/>
          <w:sz w:val="16"/>
          <w:szCs w:val="16"/>
          <w:lang w:eastAsia="pl-PL"/>
        </w:rPr>
        <w:t>uszorstniający</w:t>
      </w:r>
      <w:proofErr w:type="spellEnd"/>
      <w:r w:rsidRPr="007D03F5">
        <w:rPr>
          <w:rFonts w:asciiTheme="minorHAnsi" w:hAnsiTheme="minorHAnsi"/>
          <w:sz w:val="16"/>
          <w:szCs w:val="16"/>
          <w:lang w:eastAsia="pl-PL"/>
        </w:rPr>
        <w:t xml:space="preserve"> - kruszywo zapewniające oznakowaniu poziomemu właściwości antypoślizgowe.</w:t>
      </w:r>
    </w:p>
    <w:p w14:paraId="17513EEB"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1.4.15.</w:t>
      </w:r>
      <w:r w:rsidRPr="007D03F5">
        <w:rPr>
          <w:rFonts w:asciiTheme="minorHAnsi" w:hAnsiTheme="minorHAnsi"/>
          <w:sz w:val="16"/>
          <w:szCs w:val="16"/>
          <w:lang w:eastAsia="pl-PL"/>
        </w:rPr>
        <w:t xml:space="preserve"> Pozostałe określenia są zgodne z obowiązującymi, odpowiednimi polskimi normami i z definicjami podanymi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D-M-00.00.00 „Wymagania ogólne” pkt 1.4.</w:t>
      </w:r>
    </w:p>
    <w:p w14:paraId="22E77FC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1.5. Ogólne wymagania dotyczące robót</w:t>
      </w:r>
    </w:p>
    <w:p w14:paraId="261D0CC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Ogólne wymagania dotyczące robót podano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D-M-00.00.00 „Wymagania ogólne” pkt 1.5.</w:t>
      </w:r>
    </w:p>
    <w:p w14:paraId="437FAC7F" w14:textId="77777777" w:rsidR="00FC4BA0" w:rsidRPr="007D03F5" w:rsidRDefault="00FC4BA0" w:rsidP="00FC4BA0">
      <w:pPr>
        <w:pStyle w:val="Pro-Inwest"/>
        <w:jc w:val="both"/>
        <w:rPr>
          <w:rFonts w:asciiTheme="minorHAnsi" w:hAnsiTheme="minorHAnsi"/>
          <w:b/>
          <w:sz w:val="16"/>
          <w:szCs w:val="16"/>
          <w:lang w:eastAsia="pl-PL"/>
        </w:rPr>
      </w:pPr>
      <w:bookmarkStart w:id="3" w:name="_Toc420816681"/>
      <w:bookmarkStart w:id="4" w:name="_Toc500914891"/>
      <w:bookmarkEnd w:id="3"/>
    </w:p>
    <w:p w14:paraId="14095031"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2. MATERIAŁY</w:t>
      </w:r>
      <w:bookmarkEnd w:id="4"/>
    </w:p>
    <w:p w14:paraId="4456294A"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2.1. Ogólne wymagania dotyczące materiałów</w:t>
      </w:r>
    </w:p>
    <w:p w14:paraId="387ACC48"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Ogólne wymagania dotyczące materiałów, ich pozyskiwania i składowania podano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D-M-00.00.00 „Wymagania ogólne” pkt 2.</w:t>
      </w:r>
    </w:p>
    <w:p w14:paraId="59FBBC2C"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2.2. Dokument dopuszczający do stosowania materiałów</w:t>
      </w:r>
    </w:p>
    <w:p w14:paraId="296ED1E8"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Każdy materiał używany przez Wykonawcę do poziomego znakowania dróg musi posiadać aprobatę techniczną.</w:t>
      </w:r>
    </w:p>
    <w:p w14:paraId="1B7776AB"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2.3. Badanie materiałów, których jakość budzi wątpliwość</w:t>
      </w:r>
    </w:p>
    <w:p w14:paraId="5110393D"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Wykonawca powinien przeprowadzić dodatkowe badania tych materiałów, które budzą wątpliwości jego lub Inżyniera, co do jakości, w celu stwierdzenia czy odpowiadają one wymaganiom określonym w punkcie 2. Badania te Wykonawca zleci </w:t>
      </w:r>
      <w:proofErr w:type="spellStart"/>
      <w:r w:rsidRPr="007D03F5">
        <w:rPr>
          <w:rFonts w:asciiTheme="minorHAnsi" w:hAnsiTheme="minorHAnsi"/>
          <w:sz w:val="16"/>
          <w:szCs w:val="16"/>
          <w:lang w:eastAsia="pl-PL"/>
        </w:rPr>
        <w:t>IBDiM</w:t>
      </w:r>
      <w:proofErr w:type="spellEnd"/>
      <w:r w:rsidRPr="007D03F5">
        <w:rPr>
          <w:rFonts w:asciiTheme="minorHAnsi" w:hAnsiTheme="minorHAnsi"/>
          <w:sz w:val="16"/>
          <w:szCs w:val="16"/>
          <w:lang w:eastAsia="pl-PL"/>
        </w:rPr>
        <w:t xml:space="preserve"> lub akredytowanemu laboratorium. Badania powinny być wykonane zgodnie z „Warunkami technicznymi POD-97” [4].</w:t>
      </w:r>
    </w:p>
    <w:p w14:paraId="7670BF0F"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2.4. Oznakowanie opakowań</w:t>
      </w:r>
    </w:p>
    <w:p w14:paraId="5E5EA3D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Wykonawca powinien żądać od producenta, aby oznakowanie opakowań materiałów do poziomego znakowania dróg było wykonane zgodnie z PN-O-79252 [2], a ponadto aby na każdym opakowaniu był umieszczony trwały napis zawierający:</w:t>
      </w:r>
    </w:p>
    <w:p w14:paraId="6FC0B058"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nazwę producenta i materiału do znakowania dróg,</w:t>
      </w:r>
    </w:p>
    <w:p w14:paraId="4E3A0B1E"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roofErr w:type="spellStart"/>
      <w:r w:rsidRPr="007D03F5">
        <w:rPr>
          <w:rFonts w:asciiTheme="minorHAnsi" w:hAnsiTheme="minorHAnsi"/>
          <w:sz w:val="16"/>
          <w:szCs w:val="16"/>
          <w:lang w:eastAsia="pl-PL"/>
        </w:rPr>
        <w:t>masê</w:t>
      </w:r>
      <w:proofErr w:type="spellEnd"/>
      <w:r w:rsidRPr="007D03F5">
        <w:rPr>
          <w:rFonts w:asciiTheme="minorHAnsi" w:hAnsiTheme="minorHAnsi"/>
          <w:sz w:val="16"/>
          <w:szCs w:val="16"/>
          <w:lang w:eastAsia="pl-PL"/>
        </w:rPr>
        <w:t xml:space="preserve"> brutto i netto,</w:t>
      </w:r>
    </w:p>
    <w:p w14:paraId="23C94E2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      numer partii i datę produkcji,</w:t>
      </w:r>
    </w:p>
    <w:p w14:paraId="7CC7CFE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informację o szkodliwości i klasie zagrożenia pożarowego,</w:t>
      </w:r>
    </w:p>
    <w:p w14:paraId="187F074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ewentualne wskazówki dla użytkowników.</w:t>
      </w:r>
    </w:p>
    <w:p w14:paraId="5C468069"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2.5. Przepisy określające wymagania dla materiałów</w:t>
      </w:r>
    </w:p>
    <w:p w14:paraId="17B92BA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Podstawowe wymagania dotyczące materiałów podano w punkcie 2.6, a szczegółowe wymagania określone są w „Warunkach technicznych POD-97” [4].</w:t>
      </w:r>
    </w:p>
    <w:p w14:paraId="35CBF0D8" w14:textId="77777777" w:rsidR="00FC4BA0" w:rsidRPr="007D03F5" w:rsidRDefault="00FC4BA0" w:rsidP="00FC4BA0">
      <w:pPr>
        <w:pStyle w:val="Pro-Inwest"/>
        <w:jc w:val="both"/>
        <w:rPr>
          <w:rFonts w:asciiTheme="minorHAnsi" w:hAnsiTheme="minorHAnsi"/>
          <w:b/>
          <w:sz w:val="16"/>
          <w:szCs w:val="16"/>
          <w:lang w:eastAsia="pl-PL"/>
        </w:rPr>
      </w:pPr>
    </w:p>
    <w:p w14:paraId="6BE36622"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2.6. Wymagania wobec materiałów do poziomego znakowania dróg</w:t>
      </w:r>
    </w:p>
    <w:p w14:paraId="0DD21420"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2.6.1.</w:t>
      </w:r>
      <w:r w:rsidRPr="007D03F5">
        <w:rPr>
          <w:rFonts w:asciiTheme="minorHAnsi" w:hAnsiTheme="minorHAnsi"/>
          <w:sz w:val="16"/>
          <w:szCs w:val="16"/>
          <w:lang w:eastAsia="pl-PL"/>
        </w:rPr>
        <w:t>  Materiały do znakowania cienkowarstwowego</w:t>
      </w:r>
    </w:p>
    <w:p w14:paraId="4F5AC72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Materiałami do znakowania cienkowarstwowego powinny być farby nakładane warstwą grubości od 0,3 mm do 0,8 mm (na mokro). Powinny być nimi ciekłe produkty zawierające ciała stałe rozproszone w organicznym rozpuszczalniku lub wodzie, które mogą występować w układach jedno- lub wieloskładnikowych.</w:t>
      </w:r>
    </w:p>
    <w:p w14:paraId="6896C72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Podczas nakładania farb, do znakowania cienkowarstwowego, na nawierzchnię pędzlem, wałkiem lub przez natrysk, powinny one tworzyć warstwę kohezyjną w procesie odparowania i/lub w procesie chemicznym.</w:t>
      </w:r>
    </w:p>
    <w:p w14:paraId="7B624461"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Właściwości fizyczne materiałów do znakowania cienkowarstwowego określa aprobata techniczna odpowiadająca wymaganiom POD-97 [4].</w:t>
      </w:r>
    </w:p>
    <w:p w14:paraId="03E64610"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2.6.2.</w:t>
      </w:r>
      <w:r w:rsidRPr="007D03F5">
        <w:rPr>
          <w:rFonts w:asciiTheme="minorHAnsi" w:hAnsiTheme="minorHAnsi"/>
          <w:sz w:val="16"/>
          <w:szCs w:val="16"/>
          <w:lang w:eastAsia="pl-PL"/>
        </w:rPr>
        <w:t> Materiały do znakowania grubowarstwowego</w:t>
      </w:r>
    </w:p>
    <w:p w14:paraId="341A7B00"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Materiałami do znakowania grubowarstwowego powinny być materiały umożliwiające nakładanie ich warstwą grubości od 0,9 mm do 5 mm, jak masy chemoutwardzalne stosowane na zimno oraz masy termoplastyczne.</w:t>
      </w:r>
    </w:p>
    <w:p w14:paraId="76ED88C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Masy chemoutwardzalne powinny być substancjami jedno- lub dwuskładnikowymi, mieszanymi ze sobą w proporcjach ustalonych przez producenta i nakładanymi na nawierzchnię odpowiednim aplikatorem. Masy te powinny tworzyć warstwę kohezyjną w wyniku reakcji chemicznej.</w:t>
      </w:r>
    </w:p>
    <w:p w14:paraId="11A491E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Masy termoplastyczne powinny być substancjami nie zawierającymi rozpuszczalników, dostarczanymi w postaci bloków, granulek lub proszku. Przy stosowaniu powinny dać się podgrzewać do stopienia i aplikować ręcznie lub maszynowo. Masy te powinny tworzyć warstwę kohezyjną przez ochłodzenie.</w:t>
      </w:r>
    </w:p>
    <w:p w14:paraId="717E4EDD"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Właściwości fizyczne materiałów do znakowania grubowarstwowego i wykonanych z nich elementów prefabrykowanych określa aprobata techniczna, odpowiadająca wymaganiom POD-97 [4].</w:t>
      </w:r>
    </w:p>
    <w:p w14:paraId="15A46F78"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2.6.3.</w:t>
      </w:r>
      <w:r w:rsidRPr="007D03F5">
        <w:rPr>
          <w:rFonts w:asciiTheme="minorHAnsi" w:hAnsiTheme="minorHAnsi"/>
          <w:sz w:val="16"/>
          <w:szCs w:val="16"/>
          <w:lang w:eastAsia="pl-PL"/>
        </w:rPr>
        <w:t> Zawartość   składników   lotnych  w  materiałach   do  znakowania   cienko-   i grubo-</w:t>
      </w:r>
    </w:p>
    <w:p w14:paraId="605519B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warstwowego</w:t>
      </w:r>
    </w:p>
    <w:p w14:paraId="3BC99558"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Zawartość składników lotnych (rozpuszczalników organicznych) nie powinna przekraczać w materiałach do znakowania:</w:t>
      </w:r>
    </w:p>
    <w:p w14:paraId="3F732C7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cienkowarstwowego 30% (m/m),</w:t>
      </w:r>
    </w:p>
    <w:p w14:paraId="407D5607"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grubowarstwowego 2% (m/m).</w:t>
      </w:r>
    </w:p>
    <w:p w14:paraId="235A15F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Nie dopuszcza się stosowania materiałów zawierających rozpuszczalnik aromatyczny (jak np. toluen, ksylen) w ilości większej niż 10%. Nie dopuszcza się stosowania materiałów zawierających benzen i rozpuszczalniki chlorowane.</w:t>
      </w:r>
    </w:p>
    <w:p w14:paraId="520AAE1A"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2.6.4.</w:t>
      </w:r>
      <w:r w:rsidRPr="007D03F5">
        <w:rPr>
          <w:rFonts w:asciiTheme="minorHAnsi" w:hAnsiTheme="minorHAnsi"/>
          <w:sz w:val="16"/>
          <w:szCs w:val="16"/>
          <w:lang w:eastAsia="pl-PL"/>
        </w:rPr>
        <w:t> Kulki szklane</w:t>
      </w:r>
    </w:p>
    <w:p w14:paraId="7EC60CC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Materiały w postaci kulek szklanych refleksyjnych do posypywania lub narzucania pod ciśnieniem na materiały do oznakowania powinny zapewniać widzialność w nocy poprzez odbicie powrotne w kierunku pojazdu wiązki światła wysyłanej przez reflektory pojazdu.</w:t>
      </w:r>
    </w:p>
    <w:p w14:paraId="0EE65A9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Kulki szklane powinny charakteryzować się współczynnikiem załamania powyżej 1,50, wykazywać odporność na wodę i zawierać nie więcej niż 20% kulek z defektami.</w:t>
      </w:r>
    </w:p>
    <w:p w14:paraId="362DE9DC"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Kulki szklane </w:t>
      </w:r>
      <w:proofErr w:type="spellStart"/>
      <w:r w:rsidRPr="007D03F5">
        <w:rPr>
          <w:rFonts w:asciiTheme="minorHAnsi" w:hAnsiTheme="minorHAnsi"/>
          <w:sz w:val="16"/>
          <w:szCs w:val="16"/>
          <w:lang w:eastAsia="pl-PL"/>
        </w:rPr>
        <w:t>hydrofobizowane</w:t>
      </w:r>
      <w:proofErr w:type="spellEnd"/>
      <w:r w:rsidRPr="007D03F5">
        <w:rPr>
          <w:rFonts w:asciiTheme="minorHAnsi" w:hAnsiTheme="minorHAnsi"/>
          <w:sz w:val="16"/>
          <w:szCs w:val="16"/>
          <w:lang w:eastAsia="pl-PL"/>
        </w:rPr>
        <w:t xml:space="preserve"> powinny ponadto wykazywać stopień </w:t>
      </w:r>
      <w:proofErr w:type="spellStart"/>
      <w:r w:rsidRPr="007D03F5">
        <w:rPr>
          <w:rFonts w:asciiTheme="minorHAnsi" w:hAnsiTheme="minorHAnsi"/>
          <w:sz w:val="16"/>
          <w:szCs w:val="16"/>
          <w:lang w:eastAsia="pl-PL"/>
        </w:rPr>
        <w:t>hydrofobizacji</w:t>
      </w:r>
      <w:proofErr w:type="spellEnd"/>
      <w:r w:rsidRPr="007D03F5">
        <w:rPr>
          <w:rFonts w:asciiTheme="minorHAnsi" w:hAnsiTheme="minorHAnsi"/>
          <w:sz w:val="16"/>
          <w:szCs w:val="16"/>
          <w:lang w:eastAsia="pl-PL"/>
        </w:rPr>
        <w:t xml:space="preserve"> co najmniej 80%.</w:t>
      </w:r>
    </w:p>
    <w:p w14:paraId="1A716DB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Właściwości kulek szklanych określa aprobata techniczna, odpowiadająca wymaganiom POD-97 [4].</w:t>
      </w:r>
    </w:p>
    <w:p w14:paraId="0C8A182A"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2.6.5.</w:t>
      </w:r>
      <w:r w:rsidRPr="007D03F5">
        <w:rPr>
          <w:rFonts w:asciiTheme="minorHAnsi" w:hAnsiTheme="minorHAnsi"/>
          <w:sz w:val="16"/>
          <w:szCs w:val="16"/>
          <w:lang w:eastAsia="pl-PL"/>
        </w:rPr>
        <w:t xml:space="preserve"> Materiał </w:t>
      </w:r>
      <w:proofErr w:type="spellStart"/>
      <w:r w:rsidRPr="007D03F5">
        <w:rPr>
          <w:rFonts w:asciiTheme="minorHAnsi" w:hAnsiTheme="minorHAnsi"/>
          <w:sz w:val="16"/>
          <w:szCs w:val="16"/>
          <w:lang w:eastAsia="pl-PL"/>
        </w:rPr>
        <w:t>uszorstniający</w:t>
      </w:r>
      <w:proofErr w:type="spellEnd"/>
      <w:r w:rsidRPr="007D03F5">
        <w:rPr>
          <w:rFonts w:asciiTheme="minorHAnsi" w:hAnsiTheme="minorHAnsi"/>
          <w:sz w:val="16"/>
          <w:szCs w:val="16"/>
          <w:lang w:eastAsia="pl-PL"/>
        </w:rPr>
        <w:t xml:space="preserve"> oznakowanie</w:t>
      </w:r>
    </w:p>
    <w:p w14:paraId="28CDB63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Materiał </w:t>
      </w:r>
      <w:proofErr w:type="spellStart"/>
      <w:r w:rsidRPr="007D03F5">
        <w:rPr>
          <w:rFonts w:asciiTheme="minorHAnsi" w:hAnsiTheme="minorHAnsi"/>
          <w:sz w:val="16"/>
          <w:szCs w:val="16"/>
          <w:lang w:eastAsia="pl-PL"/>
        </w:rPr>
        <w:t>uszorstniający</w:t>
      </w:r>
      <w:proofErr w:type="spellEnd"/>
      <w:r w:rsidRPr="007D03F5">
        <w:rPr>
          <w:rFonts w:asciiTheme="minorHAnsi" w:hAnsiTheme="minorHAnsi"/>
          <w:sz w:val="16"/>
          <w:szCs w:val="16"/>
          <w:lang w:eastAsia="pl-PL"/>
        </w:rPr>
        <w:t xml:space="preserve"> oznakowanie powinien składać się z naturalnego lub sztucznego twardego kruszywa (np. krystobalitu), stosowanego w celu zapewnienia oznakowaniu odpowiedniej szorstkości (właściwości antypoślizgowych). Materiał </w:t>
      </w:r>
      <w:proofErr w:type="spellStart"/>
      <w:r w:rsidRPr="007D03F5">
        <w:rPr>
          <w:rFonts w:asciiTheme="minorHAnsi" w:hAnsiTheme="minorHAnsi"/>
          <w:sz w:val="16"/>
          <w:szCs w:val="16"/>
          <w:lang w:eastAsia="pl-PL"/>
        </w:rPr>
        <w:t>uszorstniający</w:t>
      </w:r>
      <w:proofErr w:type="spellEnd"/>
      <w:r w:rsidRPr="007D03F5">
        <w:rPr>
          <w:rFonts w:asciiTheme="minorHAnsi" w:hAnsiTheme="minorHAnsi"/>
          <w:sz w:val="16"/>
          <w:szCs w:val="16"/>
          <w:lang w:eastAsia="pl-PL"/>
        </w:rPr>
        <w:t xml:space="preserve"> nie może zawierać więcej niż 1% cząstek mniejszych niż 90 </w:t>
      </w:r>
      <w:r w:rsidRPr="007D03F5">
        <w:rPr>
          <w:rFonts w:asciiTheme="minorHAnsi" w:hAnsiTheme="minorHAnsi"/>
          <w:sz w:val="16"/>
          <w:szCs w:val="16"/>
          <w:lang w:eastAsia="pl-PL"/>
        </w:rPr>
        <w:t xml:space="preserve">m. Potrzeba stosowania materiału </w:t>
      </w:r>
      <w:proofErr w:type="spellStart"/>
      <w:r w:rsidRPr="007D03F5">
        <w:rPr>
          <w:rFonts w:asciiTheme="minorHAnsi" w:hAnsiTheme="minorHAnsi"/>
          <w:sz w:val="16"/>
          <w:szCs w:val="16"/>
          <w:lang w:eastAsia="pl-PL"/>
        </w:rPr>
        <w:t>uszorstniającego</w:t>
      </w:r>
      <w:proofErr w:type="spellEnd"/>
      <w:r w:rsidRPr="007D03F5">
        <w:rPr>
          <w:rFonts w:asciiTheme="minorHAnsi" w:hAnsiTheme="minorHAnsi"/>
          <w:sz w:val="16"/>
          <w:szCs w:val="16"/>
          <w:lang w:eastAsia="pl-PL"/>
        </w:rPr>
        <w:t xml:space="preserve"> powinna być określona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w:t>
      </w:r>
    </w:p>
    <w:p w14:paraId="76D3FCD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Materiał </w:t>
      </w:r>
      <w:proofErr w:type="spellStart"/>
      <w:r w:rsidRPr="007D03F5">
        <w:rPr>
          <w:rFonts w:asciiTheme="minorHAnsi" w:hAnsiTheme="minorHAnsi"/>
          <w:sz w:val="16"/>
          <w:szCs w:val="16"/>
          <w:lang w:eastAsia="pl-PL"/>
        </w:rPr>
        <w:t>uszorstniający</w:t>
      </w:r>
      <w:proofErr w:type="spellEnd"/>
      <w:r w:rsidRPr="007D03F5">
        <w:rPr>
          <w:rFonts w:asciiTheme="minorHAnsi" w:hAnsiTheme="minorHAnsi"/>
          <w:sz w:val="16"/>
          <w:szCs w:val="16"/>
          <w:lang w:eastAsia="pl-PL"/>
        </w:rPr>
        <w:t xml:space="preserve"> oraz mieszanina kulek szklanych z materiałem </w:t>
      </w:r>
      <w:proofErr w:type="spellStart"/>
      <w:r w:rsidRPr="007D03F5">
        <w:rPr>
          <w:rFonts w:asciiTheme="minorHAnsi" w:hAnsiTheme="minorHAnsi"/>
          <w:sz w:val="16"/>
          <w:szCs w:val="16"/>
          <w:lang w:eastAsia="pl-PL"/>
        </w:rPr>
        <w:t>uszorstniającym</w:t>
      </w:r>
      <w:proofErr w:type="spellEnd"/>
      <w:r w:rsidRPr="007D03F5">
        <w:rPr>
          <w:rFonts w:asciiTheme="minorHAnsi" w:hAnsiTheme="minorHAnsi"/>
          <w:sz w:val="16"/>
          <w:szCs w:val="16"/>
          <w:lang w:eastAsia="pl-PL"/>
        </w:rPr>
        <w:t xml:space="preserve"> powinny odpowiadać wymaganiom określonym w aprobacie technicznej lub POD-97 [4].</w:t>
      </w:r>
    </w:p>
    <w:p w14:paraId="3D98ED40"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2.6.6.</w:t>
      </w:r>
      <w:r w:rsidRPr="007D03F5">
        <w:rPr>
          <w:rFonts w:asciiTheme="minorHAnsi" w:hAnsiTheme="minorHAnsi"/>
          <w:sz w:val="16"/>
          <w:szCs w:val="16"/>
          <w:lang w:eastAsia="pl-PL"/>
        </w:rPr>
        <w:t> Punktowe elementy odblaskowe</w:t>
      </w:r>
    </w:p>
    <w:p w14:paraId="2ED27C01"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Punktowym elementem odblaskowym powinna być naklejana, kotwiczona lub wbudowana w nawierzchnię płytka z materiału wytrzymującego przejazdy pojazdów samochodowych, zawierająca element odblaskowy umieszczony w ten sposób, aby zapewniał widzialność w nocy, a także w czasie opadów deszczu.</w:t>
      </w:r>
    </w:p>
    <w:p w14:paraId="5BEBFE57"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Element odblaskowy (</w:t>
      </w:r>
      <w:proofErr w:type="spellStart"/>
      <w:r w:rsidRPr="007D03F5">
        <w:rPr>
          <w:rFonts w:asciiTheme="minorHAnsi" w:hAnsiTheme="minorHAnsi"/>
          <w:sz w:val="16"/>
          <w:szCs w:val="16"/>
          <w:lang w:eastAsia="pl-PL"/>
        </w:rPr>
        <w:t>retroreflektor</w:t>
      </w:r>
      <w:proofErr w:type="spellEnd"/>
      <w:r w:rsidRPr="007D03F5">
        <w:rPr>
          <w:rFonts w:asciiTheme="minorHAnsi" w:hAnsiTheme="minorHAnsi"/>
          <w:sz w:val="16"/>
          <w:szCs w:val="16"/>
          <w:lang w:eastAsia="pl-PL"/>
        </w:rPr>
        <w:t>), będący częścią punktowego elementu odblaskowego może być:</w:t>
      </w:r>
    </w:p>
    <w:p w14:paraId="0789307E"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szklany lub plastikowy w całości lub z dodatkową warstwą odbijającą znajdującą się na powierzchni nie wystawionej na zewnątrz i nie narażoną na przejeżdżanie pojazdów,</w:t>
      </w:r>
    </w:p>
    <w:p w14:paraId="3515FFEE"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plastikowy z warstwą zabezpieczającą przed ścieraniem, który może mieć warstwę odbijającą tylko w miejscu nie wystawionym na ruch i w którym powierzchnie wystawione na ruch są zabezpieczone warstwami odpornymi na ścieranie.</w:t>
      </w:r>
    </w:p>
    <w:p w14:paraId="2808231B"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Profil punktowego elementu odblaskowego nie powinien mieć żadnych ostrych krawędzi od strony najeżdżanej przez pojazdy. Jeśli punktowy element odblaskowy jest wykonany z dwu lub więcej części, każda z nich powinna być usuwalna tylko za pomocą narzędzi polecanych przez producenta. Wysokość punktowego elementu nie może być większa od 25 mm. Barwa, w przypadku oznakowania trwałego, powinna być biała lub srebrzysta, a dla oznakowania czasowego - żółta.</w:t>
      </w:r>
    </w:p>
    <w:p w14:paraId="5B378DE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Właściwości punktowego elementu odblaskowego określa aprobata techniczna, odpowiadająca wymaganiom POD-97 [4].</w:t>
      </w:r>
    </w:p>
    <w:p w14:paraId="7D4B177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2.6.7.</w:t>
      </w:r>
      <w:r w:rsidRPr="007D03F5">
        <w:rPr>
          <w:rFonts w:asciiTheme="minorHAnsi" w:hAnsiTheme="minorHAnsi"/>
          <w:sz w:val="16"/>
          <w:szCs w:val="16"/>
          <w:lang w:eastAsia="pl-PL"/>
        </w:rPr>
        <w:t> Wymagania wobec materiałów ze względu na ochronę warunków pracy i środowiska</w:t>
      </w:r>
    </w:p>
    <w:p w14:paraId="44CF9CC0"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                Materiały stosowane do znakowania nawierzchni nie powinny zawierać substancji zagrażających zdrowiu ludzi i powodujących skażenie środowiska.</w:t>
      </w:r>
    </w:p>
    <w:p w14:paraId="6BBD42E5"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2.7. Przechowywanie i składowanie materiałów</w:t>
      </w:r>
    </w:p>
    <w:p w14:paraId="56BC4087"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Materiały do znakowania cienko- i grubowarstwowego nawierzchni powinny zachować stałość swoich właściwości chemicznych i fizykochemicznych przez okres co najmniej 6 miesięcy składowania w warunkach określonych przez producenta.</w:t>
      </w:r>
    </w:p>
    <w:p w14:paraId="0F04664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Materiały do poziomego znakowania dróg należy przechowywać w magazynach odpowiadających zaleceniom producenta, zwłaszcza zabezpieczających je od napromieniowania słonecznego, opadów i w temperaturze, dla:</w:t>
      </w:r>
    </w:p>
    <w:p w14:paraId="36D415C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a)     farb wodorozcieńczalnych od 5</w:t>
      </w:r>
      <w:r w:rsidRPr="007D03F5">
        <w:rPr>
          <w:rFonts w:asciiTheme="minorHAnsi" w:hAnsiTheme="minorHAnsi"/>
          <w:sz w:val="16"/>
          <w:szCs w:val="16"/>
          <w:vertAlign w:val="superscript"/>
          <w:lang w:eastAsia="pl-PL"/>
        </w:rPr>
        <w:t>o</w:t>
      </w:r>
      <w:r w:rsidRPr="007D03F5">
        <w:rPr>
          <w:rFonts w:asciiTheme="minorHAnsi" w:hAnsiTheme="minorHAnsi"/>
          <w:sz w:val="16"/>
          <w:szCs w:val="16"/>
          <w:lang w:eastAsia="pl-PL"/>
        </w:rPr>
        <w:t> do 40</w:t>
      </w:r>
      <w:r w:rsidRPr="007D03F5">
        <w:rPr>
          <w:rFonts w:asciiTheme="minorHAnsi" w:hAnsiTheme="minorHAnsi"/>
          <w:sz w:val="16"/>
          <w:szCs w:val="16"/>
          <w:vertAlign w:val="superscript"/>
          <w:lang w:eastAsia="pl-PL"/>
        </w:rPr>
        <w:t>o</w:t>
      </w:r>
      <w:r w:rsidRPr="007D03F5">
        <w:rPr>
          <w:rFonts w:asciiTheme="minorHAnsi" w:hAnsiTheme="minorHAnsi"/>
          <w:sz w:val="16"/>
          <w:szCs w:val="16"/>
          <w:lang w:eastAsia="pl-PL"/>
        </w:rPr>
        <w:t>C,</w:t>
      </w:r>
    </w:p>
    <w:p w14:paraId="015402F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b)    farb rozpuszczalnikowych od 0</w:t>
      </w:r>
      <w:r w:rsidRPr="007D03F5">
        <w:rPr>
          <w:rFonts w:asciiTheme="minorHAnsi" w:hAnsiTheme="minorHAnsi"/>
          <w:sz w:val="16"/>
          <w:szCs w:val="16"/>
          <w:vertAlign w:val="superscript"/>
          <w:lang w:eastAsia="pl-PL"/>
        </w:rPr>
        <w:t>o</w:t>
      </w:r>
      <w:r w:rsidRPr="007D03F5">
        <w:rPr>
          <w:rFonts w:asciiTheme="minorHAnsi" w:hAnsiTheme="minorHAnsi"/>
          <w:sz w:val="16"/>
          <w:szCs w:val="16"/>
          <w:lang w:eastAsia="pl-PL"/>
        </w:rPr>
        <w:t> do 25</w:t>
      </w:r>
      <w:r w:rsidRPr="007D03F5">
        <w:rPr>
          <w:rFonts w:asciiTheme="minorHAnsi" w:hAnsiTheme="minorHAnsi"/>
          <w:sz w:val="16"/>
          <w:szCs w:val="16"/>
          <w:vertAlign w:val="superscript"/>
          <w:lang w:eastAsia="pl-PL"/>
        </w:rPr>
        <w:t>o</w:t>
      </w:r>
      <w:r w:rsidRPr="007D03F5">
        <w:rPr>
          <w:rFonts w:asciiTheme="minorHAnsi" w:hAnsiTheme="minorHAnsi"/>
          <w:sz w:val="16"/>
          <w:szCs w:val="16"/>
          <w:lang w:eastAsia="pl-PL"/>
        </w:rPr>
        <w:t>C,</w:t>
      </w:r>
    </w:p>
    <w:p w14:paraId="0F02230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c)     pozostałych materiałów - poniżej 40</w:t>
      </w:r>
      <w:r w:rsidRPr="007D03F5">
        <w:rPr>
          <w:rFonts w:asciiTheme="minorHAnsi" w:hAnsiTheme="minorHAnsi"/>
          <w:sz w:val="16"/>
          <w:szCs w:val="16"/>
          <w:vertAlign w:val="superscript"/>
          <w:lang w:eastAsia="pl-PL"/>
        </w:rPr>
        <w:t>o</w:t>
      </w:r>
      <w:r w:rsidRPr="007D03F5">
        <w:rPr>
          <w:rFonts w:asciiTheme="minorHAnsi" w:hAnsiTheme="minorHAnsi"/>
          <w:sz w:val="16"/>
          <w:szCs w:val="16"/>
          <w:lang w:eastAsia="pl-PL"/>
        </w:rPr>
        <w:t>C.</w:t>
      </w:r>
    </w:p>
    <w:p w14:paraId="6007B6D0" w14:textId="77777777" w:rsidR="00FC4BA0" w:rsidRPr="007D03F5" w:rsidRDefault="00FC4BA0" w:rsidP="00FC4BA0">
      <w:pPr>
        <w:pStyle w:val="Pro-Inwest"/>
        <w:jc w:val="both"/>
        <w:rPr>
          <w:rFonts w:asciiTheme="minorHAnsi" w:hAnsiTheme="minorHAnsi"/>
          <w:b/>
          <w:sz w:val="16"/>
          <w:szCs w:val="16"/>
          <w:lang w:eastAsia="pl-PL"/>
        </w:rPr>
      </w:pPr>
      <w:bookmarkStart w:id="5" w:name="_Toc420816682"/>
      <w:bookmarkStart w:id="6" w:name="_Toc500914892"/>
      <w:bookmarkEnd w:id="5"/>
    </w:p>
    <w:p w14:paraId="22FD3007"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3. SPRZĘT</w:t>
      </w:r>
      <w:bookmarkEnd w:id="6"/>
    </w:p>
    <w:p w14:paraId="66285242"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3.1. Ogólne wymagania dotyczące sprzętu</w:t>
      </w:r>
    </w:p>
    <w:p w14:paraId="33E8A66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Ogólne wymagania dotyczące sprzętu podano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D-M-00.00.00 „Wymagania ogólne” pkt 3.</w:t>
      </w:r>
    </w:p>
    <w:p w14:paraId="7F43F9D4"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3.2. Sprzęt do wykonania oznakowania poziomego</w:t>
      </w:r>
    </w:p>
    <w:p w14:paraId="6DD4405C"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Wykonawca przystępujący do wykonania oznakowania poziomego, w zależności od zakresu robót, powinien wykazać się możliwością korzystania z następującego sprzętu, zaakceptowanego przez Inżyniera:</w:t>
      </w:r>
    </w:p>
    <w:p w14:paraId="02B5FD7D" w14:textId="77777777" w:rsidR="00FC4BA0" w:rsidRPr="007D03F5" w:rsidRDefault="00FC4BA0" w:rsidP="00CF52A1">
      <w:pPr>
        <w:pStyle w:val="Pro-Inwest"/>
        <w:numPr>
          <w:ilvl w:val="0"/>
          <w:numId w:val="102"/>
        </w:numPr>
        <w:jc w:val="both"/>
        <w:rPr>
          <w:rFonts w:asciiTheme="minorHAnsi" w:hAnsiTheme="minorHAnsi"/>
          <w:sz w:val="16"/>
          <w:szCs w:val="16"/>
          <w:lang w:eastAsia="pl-PL"/>
        </w:rPr>
      </w:pPr>
      <w:r w:rsidRPr="007D03F5">
        <w:rPr>
          <w:rFonts w:asciiTheme="minorHAnsi" w:hAnsiTheme="minorHAnsi"/>
          <w:sz w:val="16"/>
          <w:szCs w:val="16"/>
          <w:lang w:eastAsia="pl-PL"/>
        </w:rPr>
        <w:t>szczotek mechanicznych (zaleca się stosowanie szczotek wyposażonych w urządzenia odpylające) oraz szczotek ręcznych,</w:t>
      </w:r>
    </w:p>
    <w:p w14:paraId="1ACA65D3" w14:textId="77777777" w:rsidR="00FC4BA0" w:rsidRPr="007D03F5" w:rsidRDefault="00FC4BA0" w:rsidP="00CF52A1">
      <w:pPr>
        <w:pStyle w:val="Pro-Inwest"/>
        <w:numPr>
          <w:ilvl w:val="0"/>
          <w:numId w:val="102"/>
        </w:numPr>
        <w:jc w:val="both"/>
        <w:rPr>
          <w:rFonts w:asciiTheme="minorHAnsi" w:hAnsiTheme="minorHAnsi"/>
          <w:sz w:val="16"/>
          <w:szCs w:val="16"/>
          <w:lang w:eastAsia="pl-PL"/>
        </w:rPr>
      </w:pPr>
      <w:r w:rsidRPr="007D03F5">
        <w:rPr>
          <w:rFonts w:asciiTheme="minorHAnsi" w:hAnsiTheme="minorHAnsi"/>
          <w:sz w:val="16"/>
          <w:szCs w:val="16"/>
          <w:lang w:eastAsia="pl-PL"/>
        </w:rPr>
        <w:t>frezarek,</w:t>
      </w:r>
    </w:p>
    <w:p w14:paraId="61B11915" w14:textId="77777777" w:rsidR="00FC4BA0" w:rsidRPr="007D03F5" w:rsidRDefault="00FC4BA0" w:rsidP="00CF52A1">
      <w:pPr>
        <w:pStyle w:val="Pro-Inwest"/>
        <w:numPr>
          <w:ilvl w:val="0"/>
          <w:numId w:val="102"/>
        </w:numPr>
        <w:jc w:val="both"/>
        <w:rPr>
          <w:rFonts w:asciiTheme="minorHAnsi" w:hAnsiTheme="minorHAnsi"/>
          <w:sz w:val="16"/>
          <w:szCs w:val="16"/>
          <w:lang w:eastAsia="pl-PL"/>
        </w:rPr>
      </w:pPr>
      <w:r w:rsidRPr="007D03F5">
        <w:rPr>
          <w:rFonts w:asciiTheme="minorHAnsi" w:hAnsiTheme="minorHAnsi"/>
          <w:sz w:val="16"/>
          <w:szCs w:val="16"/>
          <w:lang w:eastAsia="pl-PL"/>
        </w:rPr>
        <w:t>sprężarek,</w:t>
      </w:r>
    </w:p>
    <w:p w14:paraId="621C2BC5" w14:textId="77777777" w:rsidR="00FC4BA0" w:rsidRPr="007D03F5" w:rsidRDefault="00FC4BA0" w:rsidP="00CF52A1">
      <w:pPr>
        <w:pStyle w:val="Pro-Inwest"/>
        <w:numPr>
          <w:ilvl w:val="0"/>
          <w:numId w:val="102"/>
        </w:numPr>
        <w:jc w:val="both"/>
        <w:rPr>
          <w:rFonts w:asciiTheme="minorHAnsi" w:hAnsiTheme="minorHAnsi"/>
          <w:sz w:val="16"/>
          <w:szCs w:val="16"/>
          <w:lang w:eastAsia="pl-PL"/>
        </w:rPr>
      </w:pPr>
      <w:proofErr w:type="spellStart"/>
      <w:r w:rsidRPr="007D03F5">
        <w:rPr>
          <w:rFonts w:asciiTheme="minorHAnsi" w:hAnsiTheme="minorHAnsi"/>
          <w:sz w:val="16"/>
          <w:szCs w:val="16"/>
          <w:lang w:eastAsia="pl-PL"/>
        </w:rPr>
        <w:t>malowarek</w:t>
      </w:r>
      <w:proofErr w:type="spellEnd"/>
      <w:r w:rsidRPr="007D03F5">
        <w:rPr>
          <w:rFonts w:asciiTheme="minorHAnsi" w:hAnsiTheme="minorHAnsi"/>
          <w:sz w:val="16"/>
          <w:szCs w:val="16"/>
          <w:lang w:eastAsia="pl-PL"/>
        </w:rPr>
        <w:t>,</w:t>
      </w:r>
    </w:p>
    <w:p w14:paraId="6DC8090B" w14:textId="77777777" w:rsidR="00FC4BA0" w:rsidRPr="007D03F5" w:rsidRDefault="00FC4BA0" w:rsidP="00CF52A1">
      <w:pPr>
        <w:pStyle w:val="Pro-Inwest"/>
        <w:numPr>
          <w:ilvl w:val="0"/>
          <w:numId w:val="102"/>
        </w:numPr>
        <w:jc w:val="both"/>
        <w:rPr>
          <w:rFonts w:asciiTheme="minorHAnsi" w:hAnsiTheme="minorHAnsi"/>
          <w:sz w:val="16"/>
          <w:szCs w:val="16"/>
          <w:lang w:eastAsia="pl-PL"/>
        </w:rPr>
      </w:pPr>
      <w:r w:rsidRPr="007D03F5">
        <w:rPr>
          <w:rFonts w:asciiTheme="minorHAnsi" w:hAnsiTheme="minorHAnsi"/>
          <w:sz w:val="16"/>
          <w:szCs w:val="16"/>
          <w:lang w:eastAsia="pl-PL"/>
        </w:rPr>
        <w:t>układarek mas termoplastycznych i chemoutwardzalnych,</w:t>
      </w:r>
    </w:p>
    <w:p w14:paraId="2E0FDB17" w14:textId="77777777" w:rsidR="00FC4BA0" w:rsidRPr="007D03F5" w:rsidRDefault="00FC4BA0" w:rsidP="00CF52A1">
      <w:pPr>
        <w:pStyle w:val="Pro-Inwest"/>
        <w:numPr>
          <w:ilvl w:val="0"/>
          <w:numId w:val="102"/>
        </w:numPr>
        <w:jc w:val="both"/>
        <w:rPr>
          <w:rFonts w:asciiTheme="minorHAnsi" w:hAnsiTheme="minorHAnsi"/>
          <w:sz w:val="16"/>
          <w:szCs w:val="16"/>
          <w:lang w:eastAsia="pl-PL"/>
        </w:rPr>
      </w:pPr>
      <w:r w:rsidRPr="007D03F5">
        <w:rPr>
          <w:rFonts w:asciiTheme="minorHAnsi" w:hAnsiTheme="minorHAnsi"/>
          <w:sz w:val="16"/>
          <w:szCs w:val="16"/>
          <w:lang w:eastAsia="pl-PL"/>
        </w:rPr>
        <w:t xml:space="preserve">sprzętu do badań, określonych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w:t>
      </w:r>
    </w:p>
    <w:p w14:paraId="3154D101" w14:textId="77777777" w:rsidR="00FC4BA0" w:rsidRPr="007D03F5" w:rsidRDefault="00FC4BA0" w:rsidP="00FC4BA0">
      <w:pPr>
        <w:pStyle w:val="Pro-Inwest"/>
        <w:jc w:val="both"/>
        <w:rPr>
          <w:rFonts w:asciiTheme="minorHAnsi" w:hAnsiTheme="minorHAnsi"/>
          <w:b/>
          <w:sz w:val="16"/>
          <w:szCs w:val="16"/>
          <w:lang w:eastAsia="pl-PL"/>
        </w:rPr>
      </w:pPr>
      <w:bookmarkStart w:id="7" w:name="_Toc420816683"/>
      <w:bookmarkStart w:id="8" w:name="_Toc500914893"/>
      <w:bookmarkEnd w:id="7"/>
    </w:p>
    <w:p w14:paraId="1DE2F06D"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4. TRANSPORT</w:t>
      </w:r>
      <w:bookmarkEnd w:id="8"/>
    </w:p>
    <w:p w14:paraId="262E5001"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4.1. Ogólne wymagania dotyczące transportu</w:t>
      </w:r>
    </w:p>
    <w:p w14:paraId="59BFF800"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Ogólne wymagania dotyczące transportu podano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D-M-00.00.00 „Wymagania ogólne” pkt 4.</w:t>
      </w:r>
    </w:p>
    <w:p w14:paraId="3499F656"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4.2. Przewóz materiałów do poziomego znakowania dróg</w:t>
      </w:r>
    </w:p>
    <w:p w14:paraId="118C0F0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Materiały do poziomego znakowania dróg należy przewozić w pojemnikach zapewniających szczelność, bezpieczny transport i zachowanie wymaganych właściwości materiałów. Pojemniki powinny być oznakowane zgodnie z normą PN-O-79252 [2].</w:t>
      </w:r>
    </w:p>
    <w:p w14:paraId="4528FB1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Materiały do znakowania poziomego należy przewozić krytymi środkami transportowymi, chroniąc opakowania przed uszkodzeniem mechanicznym, zgodnie z PN-C-81400 [1] oraz zgodnie z prawem przewozowym.</w:t>
      </w:r>
    </w:p>
    <w:p w14:paraId="5036B8F7" w14:textId="77777777" w:rsidR="00FC4BA0" w:rsidRPr="007D03F5" w:rsidRDefault="00FC4BA0" w:rsidP="00FC4BA0">
      <w:pPr>
        <w:pStyle w:val="Pro-Inwest"/>
        <w:jc w:val="both"/>
        <w:rPr>
          <w:rFonts w:asciiTheme="minorHAnsi" w:hAnsiTheme="minorHAnsi"/>
          <w:b/>
          <w:sz w:val="16"/>
          <w:szCs w:val="16"/>
          <w:lang w:eastAsia="pl-PL"/>
        </w:rPr>
      </w:pPr>
      <w:bookmarkStart w:id="9" w:name="_Toc420816684"/>
      <w:bookmarkStart w:id="10" w:name="_Toc500914894"/>
      <w:bookmarkEnd w:id="9"/>
    </w:p>
    <w:p w14:paraId="5E62BA5D"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5. WYKONANIE ROBÓT</w:t>
      </w:r>
      <w:bookmarkEnd w:id="10"/>
    </w:p>
    <w:p w14:paraId="0C946B70"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5.1. Ogólne zasady wykonania robót</w:t>
      </w:r>
    </w:p>
    <w:p w14:paraId="34EA5F8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Ogólne zasady wykonania robót podano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D-M-00.00.00 „Wymagania ogólne” pkt 5.</w:t>
      </w:r>
    </w:p>
    <w:p w14:paraId="1E5EE46E"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5.2. Warunki atmosferyczne</w:t>
      </w:r>
    </w:p>
    <w:p w14:paraId="396E208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 czasie wykonywania oznakowania temperatura nawierzchni i powietrza powinna wynosić co najmniej 5</w:t>
      </w:r>
      <w:r w:rsidRPr="007D03F5">
        <w:rPr>
          <w:rFonts w:asciiTheme="minorHAnsi" w:hAnsiTheme="minorHAnsi"/>
          <w:sz w:val="16"/>
          <w:szCs w:val="16"/>
          <w:vertAlign w:val="superscript"/>
          <w:lang w:eastAsia="pl-PL"/>
        </w:rPr>
        <w:t>o</w:t>
      </w:r>
      <w:r w:rsidRPr="007D03F5">
        <w:rPr>
          <w:rFonts w:asciiTheme="minorHAnsi" w:hAnsiTheme="minorHAnsi"/>
          <w:sz w:val="16"/>
          <w:szCs w:val="16"/>
          <w:lang w:eastAsia="pl-PL"/>
        </w:rPr>
        <w:t>C, a wilgotność względna powietrza powinna być zgodna z zaleceniami producenta lub wynosić co najwyżej 85%.</w:t>
      </w:r>
    </w:p>
    <w:p w14:paraId="50E1FF2E"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5.3. Jednorodność nawierzchni znakowanej</w:t>
      </w:r>
    </w:p>
    <w:p w14:paraId="09076D6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Poprawność wykonania znakowania wymaga jednorodności nawierzchni znakowanej. Nierównomierności i/albo miejsca łatania nawierzchni, które nie wyróżniają się od starej nawierzchni i nie mają większego rozmiaru niż 15% powierzchni znakowanej, uznaje się za powierzchnie jednorodne. Dla powierzchni niejednorodnych należy ustalić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wymagania wobec materiału do znakowania nawierzchni.</w:t>
      </w:r>
    </w:p>
    <w:p w14:paraId="7CFC5B75"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5.4. Przygotowanie podłoża do wykonania znakowania</w:t>
      </w:r>
    </w:p>
    <w:p w14:paraId="784D984D"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Przed wykonaniem znakowania poziomego należy oczyścić powierzchnię nawierzchni malowanej z pyłu, kurzu, piasku, smarów, olejów i innych zanieczyszczeń, przy użyciu sprzętu wymienionego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i zaakceptowanego przez Inżyniera.</w:t>
      </w:r>
    </w:p>
    <w:p w14:paraId="53D8CB77"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Powierzchnia nawierzchni przygotowana do wykonania oznakowania poziomego musi być czysta i sucha.</w:t>
      </w:r>
    </w:p>
    <w:p w14:paraId="3F027A0F"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 xml:space="preserve">5.5. </w:t>
      </w:r>
      <w:proofErr w:type="spellStart"/>
      <w:r w:rsidRPr="007D03F5">
        <w:rPr>
          <w:rFonts w:asciiTheme="minorHAnsi" w:hAnsiTheme="minorHAnsi"/>
          <w:b/>
          <w:sz w:val="16"/>
          <w:szCs w:val="16"/>
          <w:lang w:eastAsia="pl-PL"/>
        </w:rPr>
        <w:t>Przedznakowanie</w:t>
      </w:r>
      <w:proofErr w:type="spellEnd"/>
    </w:p>
    <w:p w14:paraId="5D11658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W celu dokładnego wykonania poziomego oznakowania drogi, można wykonać </w:t>
      </w:r>
      <w:proofErr w:type="spellStart"/>
      <w:r w:rsidRPr="007D03F5">
        <w:rPr>
          <w:rFonts w:asciiTheme="minorHAnsi" w:hAnsiTheme="minorHAnsi"/>
          <w:sz w:val="16"/>
          <w:szCs w:val="16"/>
          <w:lang w:eastAsia="pl-PL"/>
        </w:rPr>
        <w:t>przedznakowanie</w:t>
      </w:r>
      <w:proofErr w:type="spellEnd"/>
      <w:r w:rsidRPr="007D03F5">
        <w:rPr>
          <w:rFonts w:asciiTheme="minorHAnsi" w:hAnsiTheme="minorHAnsi"/>
          <w:sz w:val="16"/>
          <w:szCs w:val="16"/>
          <w:lang w:eastAsia="pl-PL"/>
        </w:rPr>
        <w:t xml:space="preserve">, stosując się do ustaleń zawartych w dokumentacji projektowej, „Instrukcji o znakach drogowych poziomych” [3],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i wskazaniach Inżyniera.</w:t>
      </w:r>
    </w:p>
    <w:p w14:paraId="7F70718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Do wykonania </w:t>
      </w:r>
      <w:proofErr w:type="spellStart"/>
      <w:r w:rsidRPr="007D03F5">
        <w:rPr>
          <w:rFonts w:asciiTheme="minorHAnsi" w:hAnsiTheme="minorHAnsi"/>
          <w:sz w:val="16"/>
          <w:szCs w:val="16"/>
          <w:lang w:eastAsia="pl-PL"/>
        </w:rPr>
        <w:t>przedznakowania</w:t>
      </w:r>
      <w:proofErr w:type="spellEnd"/>
      <w:r w:rsidRPr="007D03F5">
        <w:rPr>
          <w:rFonts w:asciiTheme="minorHAnsi" w:hAnsiTheme="minorHAnsi"/>
          <w:sz w:val="16"/>
          <w:szCs w:val="16"/>
          <w:lang w:eastAsia="pl-PL"/>
        </w:rPr>
        <w:t xml:space="preserve"> można stosować nietrwałą farbę, np. farbę silnie rozcieńczoną rozpuszczalnikiem. Zaleca się wykonywanie </w:t>
      </w:r>
      <w:proofErr w:type="spellStart"/>
      <w:r w:rsidRPr="007D03F5">
        <w:rPr>
          <w:rFonts w:asciiTheme="minorHAnsi" w:hAnsiTheme="minorHAnsi"/>
          <w:sz w:val="16"/>
          <w:szCs w:val="16"/>
          <w:lang w:eastAsia="pl-PL"/>
        </w:rPr>
        <w:t>przedznakowania</w:t>
      </w:r>
      <w:proofErr w:type="spellEnd"/>
      <w:r w:rsidRPr="007D03F5">
        <w:rPr>
          <w:rFonts w:asciiTheme="minorHAnsi" w:hAnsiTheme="minorHAnsi"/>
          <w:sz w:val="16"/>
          <w:szCs w:val="16"/>
          <w:lang w:eastAsia="pl-PL"/>
        </w:rPr>
        <w:t xml:space="preserve"> w postaci cienkich linii lub kropek. Początek i koniec znakowania należy zaznaczyć małą kreską poprzeczną.</w:t>
      </w:r>
    </w:p>
    <w:p w14:paraId="17BF926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W przypadku odnawiania znakowania drogi, gdy stare znakowanie jest wystarczająco czytelne i zgodne z dokumentacją projektową, można </w:t>
      </w:r>
      <w:proofErr w:type="spellStart"/>
      <w:r w:rsidRPr="007D03F5">
        <w:rPr>
          <w:rFonts w:asciiTheme="minorHAnsi" w:hAnsiTheme="minorHAnsi"/>
          <w:sz w:val="16"/>
          <w:szCs w:val="16"/>
          <w:lang w:eastAsia="pl-PL"/>
        </w:rPr>
        <w:t>przedznakowania</w:t>
      </w:r>
      <w:proofErr w:type="spellEnd"/>
      <w:r w:rsidRPr="007D03F5">
        <w:rPr>
          <w:rFonts w:asciiTheme="minorHAnsi" w:hAnsiTheme="minorHAnsi"/>
          <w:sz w:val="16"/>
          <w:szCs w:val="16"/>
          <w:lang w:eastAsia="pl-PL"/>
        </w:rPr>
        <w:t xml:space="preserve"> nie wykonywać.</w:t>
      </w:r>
    </w:p>
    <w:p w14:paraId="2B60046F"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5.6. Wykonanie znakowania drogi</w:t>
      </w:r>
    </w:p>
    <w:p w14:paraId="1D96E4B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5.6.1.</w:t>
      </w:r>
      <w:r w:rsidRPr="007D03F5">
        <w:rPr>
          <w:rFonts w:asciiTheme="minorHAnsi" w:hAnsiTheme="minorHAnsi"/>
          <w:sz w:val="16"/>
          <w:szCs w:val="16"/>
          <w:lang w:eastAsia="pl-PL"/>
        </w:rPr>
        <w:t>  Dostarczenie materiałów i spełnienie zaleceń producenta materiałów</w:t>
      </w:r>
    </w:p>
    <w:p w14:paraId="40D080B7"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Materiały do znakowania drogi, spełniające wymagania podane w punkcie 2, powinny być dostarczone w oryginalnych opakowaniach handlowych i stosowane zgodnie z zaleceniami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producenta oraz wymaganiami znajdującymi się w aprobacie technicznej.</w:t>
      </w:r>
    </w:p>
    <w:p w14:paraId="19E6D69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5.6.2.</w:t>
      </w:r>
      <w:r w:rsidRPr="007D03F5">
        <w:rPr>
          <w:rFonts w:asciiTheme="minorHAnsi" w:hAnsiTheme="minorHAnsi"/>
          <w:sz w:val="16"/>
          <w:szCs w:val="16"/>
          <w:lang w:eastAsia="pl-PL"/>
        </w:rPr>
        <w:t> Wykonanie znakowania drogi materiałami cienkowarstwowymi</w:t>
      </w:r>
    </w:p>
    <w:p w14:paraId="47C2CD6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Wykonanie znakowania powinno być zgodne z zaleceniami producenta materiałów, a w przypadku ich braku lub niepełnych danych - zgodne z poniższymi wskazaniami.</w:t>
      </w:r>
    </w:p>
    <w:p w14:paraId="174E8F8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 xml:space="preserve">                Farbę do znakowania cienkowarstwowego po otwarciu opakowania należy wymieszać w czasie od 2 do 4 min do uzyskania pełnej jednorodności. Przed lub w czasie napełniania zbiornika </w:t>
      </w:r>
      <w:proofErr w:type="spellStart"/>
      <w:r w:rsidRPr="007D03F5">
        <w:rPr>
          <w:rFonts w:asciiTheme="minorHAnsi" w:hAnsiTheme="minorHAnsi"/>
          <w:sz w:val="16"/>
          <w:szCs w:val="16"/>
          <w:lang w:eastAsia="pl-PL"/>
        </w:rPr>
        <w:t>malowarki</w:t>
      </w:r>
      <w:proofErr w:type="spellEnd"/>
      <w:r w:rsidRPr="007D03F5">
        <w:rPr>
          <w:rFonts w:asciiTheme="minorHAnsi" w:hAnsiTheme="minorHAnsi"/>
          <w:sz w:val="16"/>
          <w:szCs w:val="16"/>
          <w:lang w:eastAsia="pl-PL"/>
        </w:rPr>
        <w:t xml:space="preserve"> zaleca się przecedzić farbę przez sito 0,6 mm. Nie wolno stosować do malowania mechanicznego farby, w której osad na dnie opakowania nie daje się całkowicie wymieszać lub na jej powierzchni znajduje się kożuch.</w:t>
      </w:r>
    </w:p>
    <w:p w14:paraId="3BE5273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Farbę należy nakładać równomierną warstwą o grubości ustalonej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zachowując wymiary i ostrość krawędzi. Grubość nanoszonej warstwy zaleca się kontrolować przy pomocy grzebienia pomiarowego na płytce szklanej lub metalowej podkładanej na drodze </w:t>
      </w:r>
      <w:proofErr w:type="spellStart"/>
      <w:r w:rsidRPr="007D03F5">
        <w:rPr>
          <w:rFonts w:asciiTheme="minorHAnsi" w:hAnsiTheme="minorHAnsi"/>
          <w:sz w:val="16"/>
          <w:szCs w:val="16"/>
          <w:lang w:eastAsia="pl-PL"/>
        </w:rPr>
        <w:t>malowarki</w:t>
      </w:r>
      <w:proofErr w:type="spellEnd"/>
      <w:r w:rsidRPr="007D03F5">
        <w:rPr>
          <w:rFonts w:asciiTheme="minorHAnsi" w:hAnsiTheme="minorHAnsi"/>
          <w:sz w:val="16"/>
          <w:szCs w:val="16"/>
          <w:lang w:eastAsia="pl-PL"/>
        </w:rPr>
        <w:t>. Ilość farby zużyta w czasie prac, określona przez średnie zużycie na metr kwadratowy nie może się różnić od ilości ustalonej, więcej niż o 20%.</w:t>
      </w:r>
    </w:p>
    <w:p w14:paraId="611DC4B7"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Wszystkie większe prace powinny być wykonane przy użyciu samojezdnych </w:t>
      </w:r>
      <w:proofErr w:type="spellStart"/>
      <w:r w:rsidRPr="007D03F5">
        <w:rPr>
          <w:rFonts w:asciiTheme="minorHAnsi" w:hAnsiTheme="minorHAnsi"/>
          <w:sz w:val="16"/>
          <w:szCs w:val="16"/>
          <w:lang w:eastAsia="pl-PL"/>
        </w:rPr>
        <w:t>malowarek</w:t>
      </w:r>
      <w:proofErr w:type="spellEnd"/>
      <w:r w:rsidRPr="007D03F5">
        <w:rPr>
          <w:rFonts w:asciiTheme="minorHAnsi" w:hAnsiTheme="minorHAnsi"/>
          <w:sz w:val="16"/>
          <w:szCs w:val="16"/>
          <w:lang w:eastAsia="pl-PL"/>
        </w:rPr>
        <w:t xml:space="preserve"> z automatycznym podziałem linii i posypywaniem kulkami szklanymi z ew. materiałem </w:t>
      </w:r>
      <w:proofErr w:type="spellStart"/>
      <w:r w:rsidRPr="007D03F5">
        <w:rPr>
          <w:rFonts w:asciiTheme="minorHAnsi" w:hAnsiTheme="minorHAnsi"/>
          <w:sz w:val="16"/>
          <w:szCs w:val="16"/>
          <w:lang w:eastAsia="pl-PL"/>
        </w:rPr>
        <w:t>uszorstniającym</w:t>
      </w:r>
      <w:proofErr w:type="spellEnd"/>
      <w:r w:rsidRPr="007D03F5">
        <w:rPr>
          <w:rFonts w:asciiTheme="minorHAnsi" w:hAnsiTheme="minorHAnsi"/>
          <w:sz w:val="16"/>
          <w:szCs w:val="16"/>
          <w:lang w:eastAsia="pl-PL"/>
        </w:rPr>
        <w:t>. W przypadku mniejszych prac, wielkość, wydajność i jakość sprzętu należy dostosować do zakresu i rozmiaru prac. Decyzję dotyczącą rodzaju sprzętu i sposobu wykonania znakowania podejmuje Inżynier na wniosek Wykonawcy.</w:t>
      </w:r>
    </w:p>
    <w:p w14:paraId="4E107D9E"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5.6.3.</w:t>
      </w:r>
      <w:r w:rsidRPr="007D03F5">
        <w:rPr>
          <w:rFonts w:asciiTheme="minorHAnsi" w:hAnsiTheme="minorHAnsi"/>
          <w:sz w:val="16"/>
          <w:szCs w:val="16"/>
          <w:lang w:eastAsia="pl-PL"/>
        </w:rPr>
        <w:t> Wykonanie znakowania drogi materiałami grubowarstwowymi</w:t>
      </w:r>
    </w:p>
    <w:p w14:paraId="69AFE7C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Wykonanie znakowania powinno być zgodne z zaleceniami producenta materiałów, a w przypadku ich braku lub niepełnych danych - zgodne z poniższymi wskazaniami.</w:t>
      </w:r>
    </w:p>
    <w:p w14:paraId="1C5B547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Materiał znakujący należy nakładać równomierną warstwą o grubości ustalonej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zachowując wymiary i ostrość krawędzi. Grubość nanoszonej warstwy zaleca się kontrolować przy pomocy grzebienia pomiarowego na płytce szklanej lub metalowej, podkładanej na drodze </w:t>
      </w:r>
      <w:proofErr w:type="spellStart"/>
      <w:r w:rsidRPr="007D03F5">
        <w:rPr>
          <w:rFonts w:asciiTheme="minorHAnsi" w:hAnsiTheme="minorHAnsi"/>
          <w:sz w:val="16"/>
          <w:szCs w:val="16"/>
          <w:lang w:eastAsia="pl-PL"/>
        </w:rPr>
        <w:t>malowarki</w:t>
      </w:r>
      <w:proofErr w:type="spellEnd"/>
      <w:r w:rsidRPr="007D03F5">
        <w:rPr>
          <w:rFonts w:asciiTheme="minorHAnsi" w:hAnsiTheme="minorHAnsi"/>
          <w:sz w:val="16"/>
          <w:szCs w:val="16"/>
          <w:lang w:eastAsia="pl-PL"/>
        </w:rPr>
        <w:t>. Ilość materiału zużyta w czasie prac, określona przez średnie zużycie na metr kwadratowy, nie może się różnić od ilości ustalonej, więcej niż o 20%.</w:t>
      </w:r>
    </w:p>
    <w:p w14:paraId="76C3781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W przypadku mas termoplastycznych wszystkie większe prace powinny być wykonywane przy użyciu urządzeń samojezdnych z automatycznym podziałem linii i posypywaniem kulkami szklanymi z ew. materiałem </w:t>
      </w:r>
      <w:proofErr w:type="spellStart"/>
      <w:r w:rsidRPr="007D03F5">
        <w:rPr>
          <w:rFonts w:asciiTheme="minorHAnsi" w:hAnsiTheme="minorHAnsi"/>
          <w:sz w:val="16"/>
          <w:szCs w:val="16"/>
          <w:lang w:eastAsia="pl-PL"/>
        </w:rPr>
        <w:t>uszorstniającym</w:t>
      </w:r>
      <w:proofErr w:type="spellEnd"/>
      <w:r w:rsidRPr="007D03F5">
        <w:rPr>
          <w:rFonts w:asciiTheme="minorHAnsi" w:hAnsiTheme="minorHAnsi"/>
          <w:sz w:val="16"/>
          <w:szCs w:val="16"/>
          <w:lang w:eastAsia="pl-PL"/>
        </w:rPr>
        <w:t>.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zastosować podkład (</w:t>
      </w:r>
      <w:proofErr w:type="spellStart"/>
      <w:r w:rsidRPr="007D03F5">
        <w:rPr>
          <w:rFonts w:asciiTheme="minorHAnsi" w:hAnsiTheme="minorHAnsi"/>
          <w:sz w:val="16"/>
          <w:szCs w:val="16"/>
          <w:lang w:eastAsia="pl-PL"/>
        </w:rPr>
        <w:t>primer</w:t>
      </w:r>
      <w:proofErr w:type="spellEnd"/>
      <w:r w:rsidRPr="007D03F5">
        <w:rPr>
          <w:rFonts w:asciiTheme="minorHAnsi" w:hAnsiTheme="minorHAnsi"/>
          <w:sz w:val="16"/>
          <w:szCs w:val="16"/>
          <w:lang w:eastAsia="pl-PL"/>
        </w:rPr>
        <w:t>) poprawiający przyczepność nakładanego termoplastu do nawierzchni.</w:t>
      </w:r>
    </w:p>
    <w:p w14:paraId="43E42DE1"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 przypadku dwuskładnikowych mas chemoutwardzalnych prace można wykonywać ręcznie, przy użyciu prostych urządzeń, np. typu „</w:t>
      </w:r>
      <w:proofErr w:type="spellStart"/>
      <w:r w:rsidRPr="007D03F5">
        <w:rPr>
          <w:rFonts w:asciiTheme="minorHAnsi" w:hAnsiTheme="minorHAnsi"/>
          <w:sz w:val="16"/>
          <w:szCs w:val="16"/>
          <w:lang w:eastAsia="pl-PL"/>
        </w:rPr>
        <w:t>Plastomarker</w:t>
      </w:r>
      <w:proofErr w:type="spellEnd"/>
      <w:r w:rsidRPr="007D03F5">
        <w:rPr>
          <w:rFonts w:asciiTheme="minorHAnsi" w:hAnsiTheme="minorHAnsi"/>
          <w:sz w:val="16"/>
          <w:szCs w:val="16"/>
          <w:lang w:eastAsia="pl-PL"/>
        </w:rPr>
        <w:t>” lub w inny sposób zaakceptowany przez Inżyniera.</w:t>
      </w:r>
    </w:p>
    <w:p w14:paraId="23C0EAE1"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5.6.4.</w:t>
      </w:r>
      <w:r w:rsidRPr="007D03F5">
        <w:rPr>
          <w:rFonts w:asciiTheme="minorHAnsi" w:hAnsiTheme="minorHAnsi"/>
          <w:sz w:val="16"/>
          <w:szCs w:val="16"/>
          <w:lang w:eastAsia="pl-PL"/>
        </w:rPr>
        <w:t> Wykonanie znakowania drogi punktowymi elementami odblaskowymi</w:t>
      </w:r>
    </w:p>
    <w:p w14:paraId="3AFF80EC"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Wykonanie znakowania powinno być zgodne z zaleceniami producenta materiałów, a w przypadku ich braku lub niepełnych danych - zgodne z poniższymi wskazaniami.</w:t>
      </w:r>
    </w:p>
    <w:p w14:paraId="7701A6A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Przy wykonywaniu znakowania punktowymi elementami odblaskowymi należy zwracać szczególną uwagę na staranne mocowanie elementów do podłoża, od czego zależy trwałość wykonanego oznakowania.</w:t>
      </w:r>
    </w:p>
    <w:p w14:paraId="1562B14E"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Nie wolno zmieniać ustalonego przez producenta rodzaju kleju z uwagi na możliwość uzyskania różnej jego przyczepności do nawierzchni i do materiałów, z których wykonano punktowe elementy odblaskowe.</w:t>
      </w:r>
    </w:p>
    <w:p w14:paraId="0638BB01"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 przypadku znakowania nawierzchni betonowych należy zastosować podkład (</w:t>
      </w:r>
      <w:proofErr w:type="spellStart"/>
      <w:r w:rsidRPr="007D03F5">
        <w:rPr>
          <w:rFonts w:asciiTheme="minorHAnsi" w:hAnsiTheme="minorHAnsi"/>
          <w:sz w:val="16"/>
          <w:szCs w:val="16"/>
          <w:lang w:eastAsia="pl-PL"/>
        </w:rPr>
        <w:t>primer</w:t>
      </w:r>
      <w:proofErr w:type="spellEnd"/>
      <w:r w:rsidRPr="007D03F5">
        <w:rPr>
          <w:rFonts w:asciiTheme="minorHAnsi" w:hAnsiTheme="minorHAnsi"/>
          <w:sz w:val="16"/>
          <w:szCs w:val="16"/>
          <w:lang w:eastAsia="pl-PL"/>
        </w:rPr>
        <w:t>) poprawiający przyczepność przyklejanych punktowych elementów odblaskowych do nawierzchni.</w:t>
      </w:r>
    </w:p>
    <w:p w14:paraId="496ADBA5"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5.7. Usuwanie oznakowania poziomego</w:t>
      </w:r>
    </w:p>
    <w:p w14:paraId="2379315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 przypadku konieczności usunięcia istniejącego oznakowania poziomego, czynność tę należy wykonać jak najmniej uszkadzając nawierzchnię.</w:t>
      </w:r>
    </w:p>
    <w:p w14:paraId="7B65CB3C"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Zaleca się wykonywać usuwanie oznakowania:</w:t>
      </w:r>
    </w:p>
    <w:p w14:paraId="0B32C2B3" w14:textId="77777777" w:rsidR="00FC4BA0" w:rsidRPr="007D03F5" w:rsidRDefault="00FC4BA0" w:rsidP="00CF52A1">
      <w:pPr>
        <w:pStyle w:val="Pro-Inwest"/>
        <w:numPr>
          <w:ilvl w:val="0"/>
          <w:numId w:val="103"/>
        </w:numPr>
        <w:jc w:val="both"/>
        <w:rPr>
          <w:rFonts w:asciiTheme="minorHAnsi" w:hAnsiTheme="minorHAnsi"/>
          <w:sz w:val="16"/>
          <w:szCs w:val="16"/>
          <w:lang w:eastAsia="pl-PL"/>
        </w:rPr>
      </w:pPr>
      <w:r w:rsidRPr="007D03F5">
        <w:rPr>
          <w:rFonts w:asciiTheme="minorHAnsi" w:hAnsiTheme="minorHAnsi"/>
          <w:sz w:val="16"/>
          <w:szCs w:val="16"/>
          <w:lang w:eastAsia="pl-PL"/>
        </w:rPr>
        <w:t>cienkowarstwowego, metodą: frezowania, piaskowania, trawienia, wypalania lub zamalowania,</w:t>
      </w:r>
    </w:p>
    <w:p w14:paraId="3563F0EB" w14:textId="77777777" w:rsidR="00FC4BA0" w:rsidRPr="007D03F5" w:rsidRDefault="00FC4BA0" w:rsidP="00CF52A1">
      <w:pPr>
        <w:pStyle w:val="Pro-Inwest"/>
        <w:numPr>
          <w:ilvl w:val="0"/>
          <w:numId w:val="103"/>
        </w:numPr>
        <w:jc w:val="both"/>
        <w:rPr>
          <w:rFonts w:asciiTheme="minorHAnsi" w:hAnsiTheme="minorHAnsi"/>
          <w:sz w:val="16"/>
          <w:szCs w:val="16"/>
          <w:lang w:eastAsia="pl-PL"/>
        </w:rPr>
      </w:pPr>
      <w:r w:rsidRPr="007D03F5">
        <w:rPr>
          <w:rFonts w:asciiTheme="minorHAnsi" w:hAnsiTheme="minorHAnsi"/>
          <w:sz w:val="16"/>
          <w:szCs w:val="16"/>
          <w:lang w:eastAsia="pl-PL"/>
        </w:rPr>
        <w:t>grubowarstwowego, metodą frezowania,</w:t>
      </w:r>
    </w:p>
    <w:p w14:paraId="561E416F" w14:textId="77777777" w:rsidR="00FC4BA0" w:rsidRPr="007D03F5" w:rsidRDefault="00FC4BA0" w:rsidP="00CF52A1">
      <w:pPr>
        <w:pStyle w:val="Pro-Inwest"/>
        <w:numPr>
          <w:ilvl w:val="0"/>
          <w:numId w:val="103"/>
        </w:numPr>
        <w:jc w:val="both"/>
        <w:rPr>
          <w:rFonts w:asciiTheme="minorHAnsi" w:hAnsiTheme="minorHAnsi"/>
          <w:sz w:val="16"/>
          <w:szCs w:val="16"/>
          <w:lang w:eastAsia="pl-PL"/>
        </w:rPr>
      </w:pPr>
      <w:r w:rsidRPr="007D03F5">
        <w:rPr>
          <w:rFonts w:asciiTheme="minorHAnsi" w:hAnsiTheme="minorHAnsi"/>
          <w:sz w:val="16"/>
          <w:szCs w:val="16"/>
          <w:lang w:eastAsia="pl-PL"/>
        </w:rPr>
        <w:t>punktowego, prostymi narzędziami mechanicznymi.</w:t>
      </w:r>
    </w:p>
    <w:p w14:paraId="61C125E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Środki zastosowane do usunięcia oznakowania nie mogą wpływać ujemnie na przyczepność nowego oznakowania do podłoża, na jego szorstkość, trwałość oraz na właściwości podłoża.</w:t>
      </w:r>
    </w:p>
    <w:p w14:paraId="49D7DBF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Usuwanie oznakowania na czas robót drogowych może być wykonane przez zamalowanie nietrwałą farbą barwy czarnej.</w:t>
      </w:r>
    </w:p>
    <w:p w14:paraId="791DA24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Materiały pozostałe po usunięciu oznakowania należy usunąć z drogi tak, aby nie zanieczyszczały środowiska, w miejsce zaakceptowane przez Inżyniera.</w:t>
      </w:r>
    </w:p>
    <w:p w14:paraId="00E6CBE5" w14:textId="77777777" w:rsidR="00FC4BA0" w:rsidRPr="007D03F5" w:rsidRDefault="00FC4BA0" w:rsidP="00FC4BA0">
      <w:pPr>
        <w:pStyle w:val="Pro-Inwest"/>
        <w:jc w:val="both"/>
        <w:rPr>
          <w:rFonts w:asciiTheme="minorHAnsi" w:hAnsiTheme="minorHAnsi"/>
          <w:b/>
          <w:sz w:val="16"/>
          <w:szCs w:val="16"/>
          <w:lang w:eastAsia="pl-PL"/>
        </w:rPr>
      </w:pPr>
      <w:bookmarkStart w:id="11" w:name="_Toc420816685"/>
      <w:bookmarkStart w:id="12" w:name="_Toc500914895"/>
      <w:bookmarkEnd w:id="11"/>
    </w:p>
    <w:p w14:paraId="3128C4DE"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6. KONTROLA JAKOŚCI ROBÓT</w:t>
      </w:r>
      <w:bookmarkEnd w:id="12"/>
    </w:p>
    <w:p w14:paraId="041546BB"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6.1. Ogólne zasady kontroli jakości robót</w:t>
      </w:r>
    </w:p>
    <w:p w14:paraId="3F4716E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Ogólne zasady kontroli jakości robót podano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D-M-00.00.00 „Wymagania ogólne” pkt 6.</w:t>
      </w:r>
    </w:p>
    <w:p w14:paraId="2545E556"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 xml:space="preserve">6.2. Badanie przygotowania podłoża i </w:t>
      </w:r>
      <w:proofErr w:type="spellStart"/>
      <w:r w:rsidRPr="007D03F5">
        <w:rPr>
          <w:rFonts w:asciiTheme="minorHAnsi" w:hAnsiTheme="minorHAnsi"/>
          <w:b/>
          <w:sz w:val="16"/>
          <w:szCs w:val="16"/>
          <w:lang w:eastAsia="pl-PL"/>
        </w:rPr>
        <w:t>przedznakowania</w:t>
      </w:r>
      <w:proofErr w:type="spellEnd"/>
    </w:p>
    <w:p w14:paraId="057BCE6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Powierzchnia jezdni przed wykonaniem znakowania poziomego musi być całkowicie czysta i sucha.</w:t>
      </w:r>
    </w:p>
    <w:p w14:paraId="79A98401"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roofErr w:type="spellStart"/>
      <w:r w:rsidRPr="007D03F5">
        <w:rPr>
          <w:rFonts w:asciiTheme="minorHAnsi" w:hAnsiTheme="minorHAnsi"/>
          <w:sz w:val="16"/>
          <w:szCs w:val="16"/>
          <w:lang w:eastAsia="pl-PL"/>
        </w:rPr>
        <w:t>Przedznakowanie</w:t>
      </w:r>
      <w:proofErr w:type="spellEnd"/>
      <w:r w:rsidRPr="007D03F5">
        <w:rPr>
          <w:rFonts w:asciiTheme="minorHAnsi" w:hAnsiTheme="minorHAnsi"/>
          <w:sz w:val="16"/>
          <w:szCs w:val="16"/>
          <w:lang w:eastAsia="pl-PL"/>
        </w:rPr>
        <w:t xml:space="preserve"> powinno być wykonane zgodnie z wymaganiami punktu 5.5.</w:t>
      </w:r>
    </w:p>
    <w:p w14:paraId="773A049C"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6.3. Badania wykonania oznakowania poziomego</w:t>
      </w:r>
    </w:p>
    <w:p w14:paraId="07CFC46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6.3.1.</w:t>
      </w:r>
      <w:r w:rsidRPr="007D03F5">
        <w:rPr>
          <w:rFonts w:asciiTheme="minorHAnsi" w:hAnsiTheme="minorHAnsi"/>
          <w:sz w:val="16"/>
          <w:szCs w:val="16"/>
          <w:lang w:eastAsia="pl-PL"/>
        </w:rPr>
        <w:t> Wymagania wobec oznakowania poziomego</w:t>
      </w:r>
    </w:p>
    <w:p w14:paraId="48AE039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6.3.1.1.</w:t>
      </w:r>
      <w:r w:rsidRPr="007D03F5">
        <w:rPr>
          <w:rFonts w:asciiTheme="minorHAnsi" w:hAnsiTheme="minorHAnsi"/>
          <w:sz w:val="16"/>
          <w:szCs w:val="16"/>
          <w:lang w:eastAsia="pl-PL"/>
        </w:rPr>
        <w:t xml:space="preserve"> Widzialność w dzień</w:t>
      </w:r>
    </w:p>
    <w:p w14:paraId="56CBF0AC"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Widzialność oznakowania w dzień jest określona współczynnikiem luminancji i barwą oznakowania.</w:t>
      </w:r>
    </w:p>
    <w:p w14:paraId="68DCE141"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Do określenia odbicia światła dziennego lub odbicia oświetlenia drogi od oznakowania stosuje się współczynnik luminancji w świetle rozproszonym Q = L/E, gdzie:</w:t>
      </w:r>
    </w:p>
    <w:p w14:paraId="7CBA7498"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Q - współczynnik luminancji w świetle rozproszonym, 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r w:rsidRPr="007D03F5">
        <w:rPr>
          <w:rFonts w:asciiTheme="minorHAnsi" w:hAnsiTheme="minorHAnsi"/>
          <w:sz w:val="16"/>
          <w:szCs w:val="16"/>
          <w:lang w:eastAsia="pl-PL"/>
        </w:rPr>
        <w:t>,</w:t>
      </w:r>
    </w:p>
    <w:p w14:paraId="1817E05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L - luminancja pola w świetle rozproszonym, mcd/m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w:t>
      </w:r>
    </w:p>
    <w:p w14:paraId="6705F31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E - oświetlenie płaszczyzny pola, lx.</w:t>
      </w:r>
    </w:p>
    <w:p w14:paraId="6A4CC8B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                Pomiary luminancji w świetle rozproszonym wykonuje się w praktyce miernikiem luminancji wg POD-97 [4]. Wartość współczynnika Q powinna wynosić dla oznakowania świeżego, barwy:</w:t>
      </w:r>
    </w:p>
    <w:p w14:paraId="1EBD4098" w14:textId="77777777" w:rsidR="00FC4BA0" w:rsidRPr="007D03F5" w:rsidRDefault="00FC4BA0" w:rsidP="00CF52A1">
      <w:pPr>
        <w:pStyle w:val="Pro-Inwest"/>
        <w:numPr>
          <w:ilvl w:val="0"/>
          <w:numId w:val="104"/>
        </w:numPr>
        <w:jc w:val="both"/>
        <w:rPr>
          <w:rFonts w:asciiTheme="minorHAnsi" w:hAnsiTheme="minorHAnsi"/>
          <w:sz w:val="16"/>
          <w:szCs w:val="16"/>
          <w:lang w:eastAsia="pl-PL"/>
        </w:rPr>
      </w:pPr>
      <w:r w:rsidRPr="007D03F5">
        <w:rPr>
          <w:rFonts w:asciiTheme="minorHAnsi" w:hAnsiTheme="minorHAnsi"/>
          <w:sz w:val="16"/>
          <w:szCs w:val="16"/>
          <w:lang w:eastAsia="pl-PL"/>
        </w:rPr>
        <w:t>białej na nawierzchni asfaltowej, co najmniej 130 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r w:rsidRPr="007D03F5">
        <w:rPr>
          <w:rFonts w:asciiTheme="minorHAnsi" w:hAnsiTheme="minorHAnsi"/>
          <w:sz w:val="16"/>
          <w:szCs w:val="16"/>
          <w:lang w:eastAsia="pl-PL"/>
        </w:rPr>
        <w:t>,</w:t>
      </w:r>
    </w:p>
    <w:p w14:paraId="5D63C376" w14:textId="77777777" w:rsidR="00FC4BA0" w:rsidRPr="007D03F5" w:rsidRDefault="00FC4BA0" w:rsidP="00CF52A1">
      <w:pPr>
        <w:pStyle w:val="Pro-Inwest"/>
        <w:numPr>
          <w:ilvl w:val="0"/>
          <w:numId w:val="104"/>
        </w:numPr>
        <w:jc w:val="both"/>
        <w:rPr>
          <w:rFonts w:asciiTheme="minorHAnsi" w:hAnsiTheme="minorHAnsi"/>
          <w:sz w:val="16"/>
          <w:szCs w:val="16"/>
          <w:lang w:eastAsia="pl-PL"/>
        </w:rPr>
      </w:pPr>
      <w:r w:rsidRPr="007D03F5">
        <w:rPr>
          <w:rFonts w:asciiTheme="minorHAnsi" w:hAnsiTheme="minorHAnsi"/>
          <w:sz w:val="16"/>
          <w:szCs w:val="16"/>
          <w:lang w:eastAsia="pl-PL"/>
        </w:rPr>
        <w:t>białej na nawierzchni betonowej, co najmniej 160 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r w:rsidRPr="007D03F5">
        <w:rPr>
          <w:rFonts w:asciiTheme="minorHAnsi" w:hAnsiTheme="minorHAnsi"/>
          <w:sz w:val="16"/>
          <w:szCs w:val="16"/>
          <w:lang w:eastAsia="pl-PL"/>
        </w:rPr>
        <w:t>,</w:t>
      </w:r>
    </w:p>
    <w:p w14:paraId="574E6134" w14:textId="77777777" w:rsidR="00FC4BA0" w:rsidRPr="007D03F5" w:rsidRDefault="00FC4BA0" w:rsidP="00CF52A1">
      <w:pPr>
        <w:pStyle w:val="Pro-Inwest"/>
        <w:numPr>
          <w:ilvl w:val="0"/>
          <w:numId w:val="104"/>
        </w:numPr>
        <w:jc w:val="both"/>
        <w:rPr>
          <w:rFonts w:asciiTheme="minorHAnsi" w:hAnsiTheme="minorHAnsi"/>
          <w:sz w:val="16"/>
          <w:szCs w:val="16"/>
          <w:lang w:eastAsia="pl-PL"/>
        </w:rPr>
      </w:pPr>
      <w:r w:rsidRPr="007D03F5">
        <w:rPr>
          <w:rFonts w:asciiTheme="minorHAnsi" w:hAnsiTheme="minorHAnsi"/>
          <w:sz w:val="16"/>
          <w:szCs w:val="16"/>
          <w:lang w:eastAsia="pl-PL"/>
        </w:rPr>
        <w:t>żółtej, co najmniej 100 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r w:rsidRPr="007D03F5">
        <w:rPr>
          <w:rFonts w:asciiTheme="minorHAnsi" w:hAnsiTheme="minorHAnsi"/>
          <w:sz w:val="16"/>
          <w:szCs w:val="16"/>
          <w:lang w:eastAsia="pl-PL"/>
        </w:rPr>
        <w:t>.</w:t>
      </w:r>
    </w:p>
    <w:p w14:paraId="74F3F1D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Pomiar współczynnika luminancji w świetle rozproszonym może być zastąpiony pomiarem współczynnika luminancji </w:t>
      </w:r>
      <w:r w:rsidRPr="007D03F5">
        <w:rPr>
          <w:rFonts w:asciiTheme="minorHAnsi" w:hAnsiTheme="minorHAnsi"/>
          <w:sz w:val="16"/>
          <w:szCs w:val="16"/>
          <w:lang w:eastAsia="pl-PL"/>
        </w:rPr>
        <w:t>, wg POD-97 [4]. Wartość współczynnika </w:t>
      </w:r>
      <w:r w:rsidRPr="007D03F5">
        <w:rPr>
          <w:rFonts w:asciiTheme="minorHAnsi" w:hAnsiTheme="minorHAnsi"/>
          <w:sz w:val="16"/>
          <w:szCs w:val="16"/>
          <w:lang w:eastAsia="pl-PL"/>
        </w:rPr>
        <w:t> powinna wynosić dla oznakowania świeżego, barwy:</w:t>
      </w:r>
    </w:p>
    <w:p w14:paraId="4D9198CD" w14:textId="77777777" w:rsidR="00FC4BA0" w:rsidRPr="007D03F5" w:rsidRDefault="00FC4BA0" w:rsidP="00CF52A1">
      <w:pPr>
        <w:pStyle w:val="Pro-Inwest"/>
        <w:numPr>
          <w:ilvl w:val="0"/>
          <w:numId w:val="105"/>
        </w:numPr>
        <w:jc w:val="both"/>
        <w:rPr>
          <w:rFonts w:asciiTheme="minorHAnsi" w:hAnsiTheme="minorHAnsi"/>
          <w:sz w:val="16"/>
          <w:szCs w:val="16"/>
          <w:lang w:eastAsia="pl-PL"/>
        </w:rPr>
      </w:pPr>
      <w:r w:rsidRPr="007D03F5">
        <w:rPr>
          <w:rFonts w:asciiTheme="minorHAnsi" w:hAnsiTheme="minorHAnsi"/>
          <w:sz w:val="16"/>
          <w:szCs w:val="16"/>
          <w:lang w:eastAsia="pl-PL"/>
        </w:rPr>
        <w:t>białej, co najmniej 0,60,</w:t>
      </w:r>
    </w:p>
    <w:p w14:paraId="659FC643" w14:textId="77777777" w:rsidR="00FC4BA0" w:rsidRPr="007D03F5" w:rsidRDefault="00FC4BA0" w:rsidP="00CF52A1">
      <w:pPr>
        <w:pStyle w:val="Pro-Inwest"/>
        <w:numPr>
          <w:ilvl w:val="0"/>
          <w:numId w:val="105"/>
        </w:numPr>
        <w:jc w:val="both"/>
        <w:rPr>
          <w:rFonts w:asciiTheme="minorHAnsi" w:hAnsiTheme="minorHAnsi"/>
          <w:sz w:val="16"/>
          <w:szCs w:val="16"/>
          <w:lang w:eastAsia="pl-PL"/>
        </w:rPr>
      </w:pPr>
      <w:r w:rsidRPr="007D03F5">
        <w:rPr>
          <w:rFonts w:asciiTheme="minorHAnsi" w:hAnsiTheme="minorHAnsi"/>
          <w:sz w:val="16"/>
          <w:szCs w:val="16"/>
          <w:lang w:eastAsia="pl-PL"/>
        </w:rPr>
        <w:t>żółtej, co najmniej 0,40.</w:t>
      </w:r>
    </w:p>
    <w:p w14:paraId="3D85F7B8"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Wartość współczynnika </w:t>
      </w:r>
      <w:r w:rsidRPr="007D03F5">
        <w:rPr>
          <w:rFonts w:asciiTheme="minorHAnsi" w:hAnsiTheme="minorHAnsi"/>
          <w:sz w:val="16"/>
          <w:szCs w:val="16"/>
          <w:lang w:eastAsia="pl-PL"/>
        </w:rPr>
        <w:t> powinna wynosić dla oznakowania używanego barwy:</w:t>
      </w:r>
    </w:p>
    <w:p w14:paraId="577D1F97" w14:textId="77777777" w:rsidR="00FC4BA0" w:rsidRPr="007D03F5" w:rsidRDefault="00FC4BA0" w:rsidP="00CF52A1">
      <w:pPr>
        <w:pStyle w:val="Pro-Inwest"/>
        <w:numPr>
          <w:ilvl w:val="0"/>
          <w:numId w:val="106"/>
        </w:numPr>
        <w:jc w:val="both"/>
        <w:rPr>
          <w:rFonts w:asciiTheme="minorHAnsi" w:hAnsiTheme="minorHAnsi"/>
          <w:sz w:val="16"/>
          <w:szCs w:val="16"/>
          <w:lang w:eastAsia="pl-PL"/>
        </w:rPr>
      </w:pPr>
      <w:r w:rsidRPr="007D03F5">
        <w:rPr>
          <w:rFonts w:asciiTheme="minorHAnsi" w:hAnsiTheme="minorHAnsi"/>
          <w:sz w:val="16"/>
          <w:szCs w:val="16"/>
          <w:lang w:eastAsia="pl-PL"/>
        </w:rPr>
        <w:t>białej, po 12 miesiącach używalności, co najmniej 0,30,</w:t>
      </w:r>
    </w:p>
    <w:p w14:paraId="7631C436" w14:textId="77777777" w:rsidR="00FC4BA0" w:rsidRPr="007D03F5" w:rsidRDefault="00FC4BA0" w:rsidP="00CF52A1">
      <w:pPr>
        <w:pStyle w:val="Pro-Inwest"/>
        <w:numPr>
          <w:ilvl w:val="0"/>
          <w:numId w:val="106"/>
        </w:numPr>
        <w:jc w:val="both"/>
        <w:rPr>
          <w:rFonts w:asciiTheme="minorHAnsi" w:hAnsiTheme="minorHAnsi"/>
          <w:sz w:val="16"/>
          <w:szCs w:val="16"/>
          <w:lang w:eastAsia="pl-PL"/>
        </w:rPr>
      </w:pPr>
      <w:r w:rsidRPr="007D03F5">
        <w:rPr>
          <w:rFonts w:asciiTheme="minorHAnsi" w:hAnsiTheme="minorHAnsi"/>
          <w:sz w:val="16"/>
          <w:szCs w:val="16"/>
          <w:lang w:eastAsia="pl-PL"/>
        </w:rPr>
        <w:t>żółtej, po 1 miesiącu używalności, co najmniej 0,20.</w:t>
      </w:r>
    </w:p>
    <w:p w14:paraId="6E413C1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Barwa oznakowania powinna być określona wg POD-97 [4] przez współrzędne chromatyczności x i y, które dla suchego oznakowania powinny leżeć w obszarze zdefiniowanym przez cztery punkty narożne:</w:t>
      </w:r>
    </w:p>
    <w:tbl>
      <w:tblPr>
        <w:tblW w:w="0" w:type="auto"/>
        <w:tblCellMar>
          <w:left w:w="0" w:type="dxa"/>
          <w:right w:w="0" w:type="dxa"/>
        </w:tblCellMar>
        <w:tblLook w:val="04A0" w:firstRow="1" w:lastRow="0" w:firstColumn="1" w:lastColumn="0" w:noHBand="0" w:noVBand="1"/>
      </w:tblPr>
      <w:tblGrid>
        <w:gridCol w:w="2197"/>
        <w:gridCol w:w="1062"/>
        <w:gridCol w:w="1062"/>
        <w:gridCol w:w="1062"/>
        <w:gridCol w:w="1062"/>
        <w:gridCol w:w="1062"/>
      </w:tblGrid>
      <w:tr w:rsidR="007D03F5" w:rsidRPr="007D03F5" w14:paraId="47561C95" w14:textId="77777777" w:rsidTr="00475945">
        <w:tc>
          <w:tcPr>
            <w:tcW w:w="2197"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hideMark/>
          </w:tcPr>
          <w:p w14:paraId="57AAE43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Punkt narożny</w:t>
            </w:r>
          </w:p>
        </w:tc>
        <w:tc>
          <w:tcPr>
            <w:tcW w:w="1062" w:type="dxa"/>
            <w:tcBorders>
              <w:top w:val="single" w:sz="4" w:space="0" w:color="auto"/>
              <w:left w:val="nil"/>
              <w:bottom w:val="single" w:sz="4" w:space="0" w:color="auto"/>
              <w:right w:val="single" w:sz="4" w:space="0" w:color="auto"/>
            </w:tcBorders>
            <w:shd w:val="clear" w:color="auto" w:fill="auto"/>
            <w:noWrap/>
            <w:tcMar>
              <w:top w:w="0" w:type="dxa"/>
              <w:left w:w="70" w:type="dxa"/>
              <w:bottom w:w="0" w:type="dxa"/>
              <w:right w:w="70" w:type="dxa"/>
            </w:tcMar>
            <w:hideMark/>
          </w:tcPr>
          <w:p w14:paraId="520121AA"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tc>
        <w:tc>
          <w:tcPr>
            <w:tcW w:w="1062" w:type="dxa"/>
            <w:tcBorders>
              <w:top w:val="single" w:sz="4" w:space="0" w:color="auto"/>
              <w:left w:val="nil"/>
              <w:bottom w:val="single" w:sz="4" w:space="0" w:color="auto"/>
              <w:right w:val="single" w:sz="4" w:space="0" w:color="auto"/>
            </w:tcBorders>
            <w:shd w:val="clear" w:color="auto" w:fill="auto"/>
            <w:noWrap/>
            <w:tcMar>
              <w:top w:w="0" w:type="dxa"/>
              <w:left w:w="70" w:type="dxa"/>
              <w:bottom w:w="0" w:type="dxa"/>
              <w:right w:w="70" w:type="dxa"/>
            </w:tcMar>
            <w:hideMark/>
          </w:tcPr>
          <w:p w14:paraId="107545E3"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1</w:t>
            </w:r>
          </w:p>
        </w:tc>
        <w:tc>
          <w:tcPr>
            <w:tcW w:w="1062" w:type="dxa"/>
            <w:tcBorders>
              <w:top w:val="single" w:sz="4" w:space="0" w:color="auto"/>
              <w:left w:val="nil"/>
              <w:bottom w:val="single" w:sz="4" w:space="0" w:color="auto"/>
              <w:right w:val="single" w:sz="4" w:space="0" w:color="auto"/>
            </w:tcBorders>
            <w:shd w:val="clear" w:color="auto" w:fill="auto"/>
            <w:noWrap/>
            <w:tcMar>
              <w:top w:w="0" w:type="dxa"/>
              <w:left w:w="70" w:type="dxa"/>
              <w:bottom w:w="0" w:type="dxa"/>
              <w:right w:w="70" w:type="dxa"/>
            </w:tcMar>
            <w:hideMark/>
          </w:tcPr>
          <w:p w14:paraId="7E06C1BE"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2</w:t>
            </w:r>
          </w:p>
        </w:tc>
        <w:tc>
          <w:tcPr>
            <w:tcW w:w="1062" w:type="dxa"/>
            <w:tcBorders>
              <w:top w:val="single" w:sz="4" w:space="0" w:color="auto"/>
              <w:left w:val="nil"/>
              <w:bottom w:val="single" w:sz="4" w:space="0" w:color="auto"/>
              <w:right w:val="single" w:sz="4" w:space="0" w:color="auto"/>
            </w:tcBorders>
            <w:shd w:val="clear" w:color="auto" w:fill="auto"/>
            <w:noWrap/>
            <w:tcMar>
              <w:top w:w="0" w:type="dxa"/>
              <w:left w:w="70" w:type="dxa"/>
              <w:bottom w:w="0" w:type="dxa"/>
              <w:right w:w="70" w:type="dxa"/>
            </w:tcMar>
            <w:hideMark/>
          </w:tcPr>
          <w:p w14:paraId="6443A3A3"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3</w:t>
            </w:r>
          </w:p>
        </w:tc>
        <w:tc>
          <w:tcPr>
            <w:tcW w:w="1062" w:type="dxa"/>
            <w:tcBorders>
              <w:top w:val="single" w:sz="4" w:space="0" w:color="auto"/>
              <w:left w:val="nil"/>
              <w:bottom w:val="single" w:sz="4" w:space="0" w:color="auto"/>
              <w:right w:val="single" w:sz="4" w:space="0" w:color="auto"/>
            </w:tcBorders>
            <w:shd w:val="clear" w:color="auto" w:fill="auto"/>
            <w:noWrap/>
            <w:tcMar>
              <w:top w:w="0" w:type="dxa"/>
              <w:left w:w="70" w:type="dxa"/>
              <w:bottom w:w="0" w:type="dxa"/>
              <w:right w:w="70" w:type="dxa"/>
            </w:tcMar>
            <w:hideMark/>
          </w:tcPr>
          <w:p w14:paraId="11E989B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4</w:t>
            </w:r>
          </w:p>
        </w:tc>
      </w:tr>
      <w:tr w:rsidR="007D03F5" w:rsidRPr="007D03F5" w14:paraId="0AAC2187" w14:textId="77777777" w:rsidTr="00475945">
        <w:tc>
          <w:tcPr>
            <w:tcW w:w="2197" w:type="dxa"/>
            <w:tcBorders>
              <w:top w:val="nil"/>
              <w:left w:val="single" w:sz="4" w:space="0" w:color="auto"/>
              <w:bottom w:val="single" w:sz="4" w:space="0" w:color="auto"/>
              <w:right w:val="single" w:sz="4" w:space="0" w:color="auto"/>
            </w:tcBorders>
            <w:shd w:val="clear" w:color="auto" w:fill="auto"/>
            <w:noWrap/>
            <w:tcMar>
              <w:top w:w="0" w:type="dxa"/>
              <w:left w:w="70" w:type="dxa"/>
              <w:bottom w:w="0" w:type="dxa"/>
              <w:right w:w="70" w:type="dxa"/>
            </w:tcMar>
            <w:hideMark/>
          </w:tcPr>
          <w:p w14:paraId="4D9362C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Oznakowanie białe:</w:t>
            </w:r>
          </w:p>
        </w:tc>
        <w:tc>
          <w:tcPr>
            <w:tcW w:w="1062" w:type="dxa"/>
            <w:tcBorders>
              <w:top w:val="nil"/>
              <w:left w:val="nil"/>
              <w:bottom w:val="single" w:sz="4" w:space="0" w:color="auto"/>
              <w:right w:val="single" w:sz="4" w:space="0" w:color="auto"/>
            </w:tcBorders>
            <w:shd w:val="clear" w:color="auto" w:fill="auto"/>
            <w:noWrap/>
            <w:tcMar>
              <w:top w:w="0" w:type="dxa"/>
              <w:left w:w="70" w:type="dxa"/>
              <w:bottom w:w="0" w:type="dxa"/>
              <w:right w:w="70" w:type="dxa"/>
            </w:tcMar>
            <w:hideMark/>
          </w:tcPr>
          <w:p w14:paraId="2A428182"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x</w:t>
            </w:r>
          </w:p>
          <w:p w14:paraId="546F17B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y</w:t>
            </w:r>
          </w:p>
        </w:tc>
        <w:tc>
          <w:tcPr>
            <w:tcW w:w="1062" w:type="dxa"/>
            <w:tcBorders>
              <w:top w:val="nil"/>
              <w:left w:val="nil"/>
              <w:bottom w:val="single" w:sz="4" w:space="0" w:color="auto"/>
              <w:right w:val="single" w:sz="4" w:space="0" w:color="auto"/>
            </w:tcBorders>
            <w:shd w:val="clear" w:color="auto" w:fill="auto"/>
            <w:noWrap/>
            <w:tcMar>
              <w:top w:w="0" w:type="dxa"/>
              <w:left w:w="70" w:type="dxa"/>
              <w:bottom w:w="0" w:type="dxa"/>
              <w:right w:w="70" w:type="dxa"/>
            </w:tcMar>
            <w:hideMark/>
          </w:tcPr>
          <w:p w14:paraId="44ECB55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0,4</w:t>
            </w:r>
          </w:p>
          <w:p w14:paraId="47F6CFB5"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0,4</w:t>
            </w:r>
          </w:p>
        </w:tc>
        <w:tc>
          <w:tcPr>
            <w:tcW w:w="1062" w:type="dxa"/>
            <w:tcBorders>
              <w:top w:val="nil"/>
              <w:left w:val="nil"/>
              <w:bottom w:val="single" w:sz="4" w:space="0" w:color="auto"/>
              <w:right w:val="single" w:sz="4" w:space="0" w:color="auto"/>
            </w:tcBorders>
            <w:shd w:val="clear" w:color="auto" w:fill="auto"/>
            <w:noWrap/>
            <w:tcMar>
              <w:top w:w="0" w:type="dxa"/>
              <w:left w:w="70" w:type="dxa"/>
              <w:bottom w:w="0" w:type="dxa"/>
              <w:right w:w="70" w:type="dxa"/>
            </w:tcMar>
            <w:hideMark/>
          </w:tcPr>
          <w:p w14:paraId="628B368E"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0,3</w:t>
            </w:r>
          </w:p>
          <w:p w14:paraId="11B8E3B2"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0,3</w:t>
            </w:r>
          </w:p>
        </w:tc>
        <w:tc>
          <w:tcPr>
            <w:tcW w:w="1062" w:type="dxa"/>
            <w:tcBorders>
              <w:top w:val="nil"/>
              <w:left w:val="nil"/>
              <w:bottom w:val="single" w:sz="4" w:space="0" w:color="auto"/>
              <w:right w:val="single" w:sz="4" w:space="0" w:color="auto"/>
            </w:tcBorders>
            <w:shd w:val="clear" w:color="auto" w:fill="auto"/>
            <w:noWrap/>
            <w:tcMar>
              <w:top w:w="0" w:type="dxa"/>
              <w:left w:w="70" w:type="dxa"/>
              <w:bottom w:w="0" w:type="dxa"/>
              <w:right w:w="70" w:type="dxa"/>
            </w:tcMar>
            <w:hideMark/>
          </w:tcPr>
          <w:p w14:paraId="7D03CBAC"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0,3</w:t>
            </w:r>
          </w:p>
          <w:p w14:paraId="15A9858A"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0,3</w:t>
            </w:r>
          </w:p>
        </w:tc>
        <w:tc>
          <w:tcPr>
            <w:tcW w:w="1062" w:type="dxa"/>
            <w:tcBorders>
              <w:top w:val="nil"/>
              <w:left w:val="nil"/>
              <w:bottom w:val="single" w:sz="4" w:space="0" w:color="auto"/>
              <w:right w:val="single" w:sz="4" w:space="0" w:color="auto"/>
            </w:tcBorders>
            <w:shd w:val="clear" w:color="auto" w:fill="auto"/>
            <w:noWrap/>
            <w:tcMar>
              <w:top w:w="0" w:type="dxa"/>
              <w:left w:w="70" w:type="dxa"/>
              <w:bottom w:w="0" w:type="dxa"/>
              <w:right w:w="70" w:type="dxa"/>
            </w:tcMar>
            <w:hideMark/>
          </w:tcPr>
          <w:p w14:paraId="2374C2F2"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0,34</w:t>
            </w:r>
          </w:p>
          <w:p w14:paraId="5167802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0,38</w:t>
            </w:r>
          </w:p>
        </w:tc>
      </w:tr>
      <w:tr w:rsidR="007D03F5" w:rsidRPr="007D03F5" w14:paraId="2F5F019D" w14:textId="77777777" w:rsidTr="00475945">
        <w:tc>
          <w:tcPr>
            <w:tcW w:w="2197" w:type="dxa"/>
            <w:tcBorders>
              <w:top w:val="nil"/>
              <w:left w:val="single" w:sz="4" w:space="0" w:color="auto"/>
              <w:bottom w:val="single" w:sz="4" w:space="0" w:color="auto"/>
              <w:right w:val="single" w:sz="4" w:space="0" w:color="auto"/>
            </w:tcBorders>
            <w:shd w:val="clear" w:color="auto" w:fill="auto"/>
            <w:noWrap/>
            <w:tcMar>
              <w:top w:w="0" w:type="dxa"/>
              <w:left w:w="70" w:type="dxa"/>
              <w:bottom w:w="0" w:type="dxa"/>
              <w:right w:w="70" w:type="dxa"/>
            </w:tcMar>
            <w:hideMark/>
          </w:tcPr>
          <w:p w14:paraId="088EE4D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Oznakowanie żółte:</w:t>
            </w:r>
          </w:p>
        </w:tc>
        <w:tc>
          <w:tcPr>
            <w:tcW w:w="1062" w:type="dxa"/>
            <w:tcBorders>
              <w:top w:val="nil"/>
              <w:left w:val="nil"/>
              <w:bottom w:val="single" w:sz="4" w:space="0" w:color="auto"/>
              <w:right w:val="single" w:sz="4" w:space="0" w:color="auto"/>
            </w:tcBorders>
            <w:shd w:val="clear" w:color="auto" w:fill="auto"/>
            <w:noWrap/>
            <w:tcMar>
              <w:top w:w="0" w:type="dxa"/>
              <w:left w:w="70" w:type="dxa"/>
              <w:bottom w:w="0" w:type="dxa"/>
              <w:right w:w="70" w:type="dxa"/>
            </w:tcMar>
            <w:hideMark/>
          </w:tcPr>
          <w:p w14:paraId="6CEE4A7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x</w:t>
            </w:r>
          </w:p>
          <w:p w14:paraId="0CACD909"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y</w:t>
            </w:r>
          </w:p>
        </w:tc>
        <w:tc>
          <w:tcPr>
            <w:tcW w:w="1062" w:type="dxa"/>
            <w:tcBorders>
              <w:top w:val="nil"/>
              <w:left w:val="nil"/>
              <w:bottom w:val="single" w:sz="4" w:space="0" w:color="auto"/>
              <w:right w:val="single" w:sz="4" w:space="0" w:color="auto"/>
            </w:tcBorders>
            <w:shd w:val="clear" w:color="auto" w:fill="auto"/>
            <w:noWrap/>
            <w:tcMar>
              <w:top w:w="0" w:type="dxa"/>
              <w:left w:w="70" w:type="dxa"/>
              <w:bottom w:w="0" w:type="dxa"/>
              <w:right w:w="70" w:type="dxa"/>
            </w:tcMar>
            <w:hideMark/>
          </w:tcPr>
          <w:p w14:paraId="5E0EDB2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0,5</w:t>
            </w:r>
          </w:p>
          <w:p w14:paraId="7AFA3970"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0,4</w:t>
            </w:r>
          </w:p>
        </w:tc>
        <w:tc>
          <w:tcPr>
            <w:tcW w:w="1062" w:type="dxa"/>
            <w:tcBorders>
              <w:top w:val="nil"/>
              <w:left w:val="nil"/>
              <w:bottom w:val="single" w:sz="4" w:space="0" w:color="auto"/>
              <w:right w:val="single" w:sz="4" w:space="0" w:color="auto"/>
            </w:tcBorders>
            <w:shd w:val="clear" w:color="auto" w:fill="auto"/>
            <w:noWrap/>
            <w:tcMar>
              <w:top w:w="0" w:type="dxa"/>
              <w:left w:w="70" w:type="dxa"/>
              <w:bottom w:w="0" w:type="dxa"/>
              <w:right w:w="70" w:type="dxa"/>
            </w:tcMar>
            <w:hideMark/>
          </w:tcPr>
          <w:p w14:paraId="6C7A6875"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0,5</w:t>
            </w:r>
          </w:p>
          <w:p w14:paraId="2F064A90"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0,5</w:t>
            </w:r>
          </w:p>
        </w:tc>
        <w:tc>
          <w:tcPr>
            <w:tcW w:w="1062" w:type="dxa"/>
            <w:tcBorders>
              <w:top w:val="nil"/>
              <w:left w:val="nil"/>
              <w:bottom w:val="single" w:sz="4" w:space="0" w:color="auto"/>
              <w:right w:val="single" w:sz="4" w:space="0" w:color="auto"/>
            </w:tcBorders>
            <w:shd w:val="clear" w:color="auto" w:fill="auto"/>
            <w:noWrap/>
            <w:tcMar>
              <w:top w:w="0" w:type="dxa"/>
              <w:left w:w="70" w:type="dxa"/>
              <w:bottom w:w="0" w:type="dxa"/>
              <w:right w:w="70" w:type="dxa"/>
            </w:tcMar>
            <w:hideMark/>
          </w:tcPr>
          <w:p w14:paraId="1F674C1C"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0,5</w:t>
            </w:r>
          </w:p>
          <w:p w14:paraId="58DF80D2"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0,5</w:t>
            </w:r>
          </w:p>
        </w:tc>
        <w:tc>
          <w:tcPr>
            <w:tcW w:w="1062" w:type="dxa"/>
            <w:tcBorders>
              <w:top w:val="nil"/>
              <w:left w:val="nil"/>
              <w:bottom w:val="single" w:sz="4" w:space="0" w:color="auto"/>
              <w:right w:val="single" w:sz="4" w:space="0" w:color="auto"/>
            </w:tcBorders>
            <w:shd w:val="clear" w:color="auto" w:fill="auto"/>
            <w:noWrap/>
            <w:tcMar>
              <w:top w:w="0" w:type="dxa"/>
              <w:left w:w="70" w:type="dxa"/>
              <w:bottom w:w="0" w:type="dxa"/>
              <w:right w:w="70" w:type="dxa"/>
            </w:tcMar>
            <w:hideMark/>
          </w:tcPr>
          <w:p w14:paraId="115DF067"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0,43</w:t>
            </w:r>
          </w:p>
          <w:p w14:paraId="5BDC5969"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0,48</w:t>
            </w:r>
          </w:p>
        </w:tc>
      </w:tr>
    </w:tbl>
    <w:p w14:paraId="6ACDB02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6.3.1.2.</w:t>
      </w:r>
      <w:r w:rsidRPr="007D03F5">
        <w:rPr>
          <w:rFonts w:asciiTheme="minorHAnsi" w:hAnsiTheme="minorHAnsi"/>
          <w:sz w:val="16"/>
          <w:szCs w:val="16"/>
          <w:lang w:eastAsia="pl-PL"/>
        </w:rPr>
        <w:t xml:space="preserve"> Widzialność w nocy</w:t>
      </w:r>
    </w:p>
    <w:p w14:paraId="6FEC03B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Za miarę widzialności w nocy przyjęto powierzchniowy współczynnik odblasku R</w:t>
      </w:r>
      <w:r w:rsidRPr="007D03F5">
        <w:rPr>
          <w:rFonts w:asciiTheme="minorHAnsi" w:hAnsiTheme="minorHAnsi"/>
          <w:sz w:val="16"/>
          <w:szCs w:val="16"/>
          <w:vertAlign w:val="subscript"/>
          <w:lang w:eastAsia="pl-PL"/>
        </w:rPr>
        <w:t>L</w:t>
      </w:r>
      <w:r w:rsidRPr="007D03F5">
        <w:rPr>
          <w:rFonts w:asciiTheme="minorHAnsi" w:hAnsiTheme="minorHAnsi"/>
          <w:sz w:val="16"/>
          <w:szCs w:val="16"/>
          <w:lang w:eastAsia="pl-PL"/>
        </w:rPr>
        <w:t>, określany wg POD-97 [4].</w:t>
      </w:r>
    </w:p>
    <w:p w14:paraId="4C574FD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Wartość współczynnika R</w:t>
      </w:r>
      <w:r w:rsidRPr="007D03F5">
        <w:rPr>
          <w:rFonts w:asciiTheme="minorHAnsi" w:hAnsiTheme="minorHAnsi"/>
          <w:sz w:val="16"/>
          <w:szCs w:val="16"/>
          <w:vertAlign w:val="subscript"/>
          <w:lang w:eastAsia="pl-PL"/>
        </w:rPr>
        <w:t>L</w:t>
      </w:r>
      <w:r w:rsidRPr="007D03F5">
        <w:rPr>
          <w:rFonts w:asciiTheme="minorHAnsi" w:hAnsiTheme="minorHAnsi"/>
          <w:sz w:val="16"/>
          <w:szCs w:val="16"/>
          <w:lang w:eastAsia="pl-PL"/>
        </w:rPr>
        <w:t> powinna wynosić dla oznakowania świeżego w stanie suchym, barwy:</w:t>
      </w:r>
    </w:p>
    <w:p w14:paraId="4C9E7BD0" w14:textId="77777777" w:rsidR="00FC4BA0" w:rsidRPr="007D03F5" w:rsidRDefault="00FC4BA0" w:rsidP="00CF52A1">
      <w:pPr>
        <w:pStyle w:val="Pro-Inwest"/>
        <w:numPr>
          <w:ilvl w:val="0"/>
          <w:numId w:val="107"/>
        </w:numPr>
        <w:jc w:val="both"/>
        <w:rPr>
          <w:rFonts w:asciiTheme="minorHAnsi" w:hAnsiTheme="minorHAnsi"/>
          <w:sz w:val="16"/>
          <w:szCs w:val="16"/>
          <w:lang w:eastAsia="pl-PL"/>
        </w:rPr>
      </w:pPr>
      <w:r w:rsidRPr="007D03F5">
        <w:rPr>
          <w:rFonts w:asciiTheme="minorHAnsi" w:hAnsiTheme="minorHAnsi"/>
          <w:sz w:val="16"/>
          <w:szCs w:val="16"/>
          <w:lang w:eastAsia="pl-PL"/>
        </w:rPr>
        <w:t>białej, co najmniej 300 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r w:rsidRPr="007D03F5">
        <w:rPr>
          <w:rFonts w:asciiTheme="minorHAnsi" w:hAnsiTheme="minorHAnsi"/>
          <w:sz w:val="16"/>
          <w:szCs w:val="16"/>
          <w:lang w:eastAsia="pl-PL"/>
        </w:rPr>
        <w:t>,</w:t>
      </w:r>
    </w:p>
    <w:p w14:paraId="7700C7CE" w14:textId="77777777" w:rsidR="00FC4BA0" w:rsidRPr="007D03F5" w:rsidRDefault="00FC4BA0" w:rsidP="00CF52A1">
      <w:pPr>
        <w:pStyle w:val="Pro-Inwest"/>
        <w:numPr>
          <w:ilvl w:val="0"/>
          <w:numId w:val="107"/>
        </w:numPr>
        <w:jc w:val="both"/>
        <w:rPr>
          <w:rFonts w:asciiTheme="minorHAnsi" w:hAnsiTheme="minorHAnsi"/>
          <w:sz w:val="16"/>
          <w:szCs w:val="16"/>
          <w:lang w:eastAsia="pl-PL"/>
        </w:rPr>
      </w:pPr>
      <w:r w:rsidRPr="007D03F5">
        <w:rPr>
          <w:rFonts w:asciiTheme="minorHAnsi" w:hAnsiTheme="minorHAnsi"/>
          <w:sz w:val="16"/>
          <w:szCs w:val="16"/>
          <w:lang w:eastAsia="pl-PL"/>
        </w:rPr>
        <w:t>żółtej, co najmniej 200 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r w:rsidRPr="007D03F5">
        <w:rPr>
          <w:rFonts w:asciiTheme="minorHAnsi" w:hAnsiTheme="minorHAnsi"/>
          <w:sz w:val="16"/>
          <w:szCs w:val="16"/>
          <w:lang w:eastAsia="pl-PL"/>
        </w:rPr>
        <w:t>.</w:t>
      </w:r>
    </w:p>
    <w:p w14:paraId="73FE2397"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Wartość współczynnika R</w:t>
      </w:r>
      <w:r w:rsidRPr="007D03F5">
        <w:rPr>
          <w:rFonts w:asciiTheme="minorHAnsi" w:hAnsiTheme="minorHAnsi"/>
          <w:sz w:val="16"/>
          <w:szCs w:val="16"/>
          <w:vertAlign w:val="subscript"/>
          <w:lang w:eastAsia="pl-PL"/>
        </w:rPr>
        <w:t>L</w:t>
      </w:r>
      <w:r w:rsidRPr="007D03F5">
        <w:rPr>
          <w:rFonts w:asciiTheme="minorHAnsi" w:hAnsiTheme="minorHAnsi"/>
          <w:sz w:val="16"/>
          <w:szCs w:val="16"/>
          <w:lang w:eastAsia="pl-PL"/>
        </w:rPr>
        <w:t> powinna wynosić dla oznakowania używanego:</w:t>
      </w:r>
    </w:p>
    <w:p w14:paraId="77A85E80"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a) cienko- i grubowarstwowego barwy:</w:t>
      </w:r>
    </w:p>
    <w:p w14:paraId="113E3E14" w14:textId="77777777" w:rsidR="00FC4BA0" w:rsidRPr="007D03F5" w:rsidRDefault="00FC4BA0" w:rsidP="00CF52A1">
      <w:pPr>
        <w:pStyle w:val="Pro-Inwest"/>
        <w:numPr>
          <w:ilvl w:val="0"/>
          <w:numId w:val="108"/>
        </w:numPr>
        <w:jc w:val="both"/>
        <w:rPr>
          <w:rFonts w:asciiTheme="minorHAnsi" w:hAnsiTheme="minorHAnsi"/>
          <w:sz w:val="16"/>
          <w:szCs w:val="16"/>
          <w:lang w:eastAsia="pl-PL"/>
        </w:rPr>
      </w:pPr>
      <w:r w:rsidRPr="007D03F5">
        <w:rPr>
          <w:rFonts w:asciiTheme="minorHAnsi" w:hAnsiTheme="minorHAnsi"/>
          <w:sz w:val="16"/>
          <w:szCs w:val="16"/>
          <w:lang w:eastAsia="pl-PL"/>
        </w:rPr>
        <w:t>białej, po 12 miesiącach eksploatacji, co najmniej 100 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r w:rsidRPr="007D03F5">
        <w:rPr>
          <w:rFonts w:asciiTheme="minorHAnsi" w:hAnsiTheme="minorHAnsi"/>
          <w:sz w:val="16"/>
          <w:szCs w:val="16"/>
          <w:lang w:eastAsia="pl-PL"/>
        </w:rPr>
        <w:t>,</w:t>
      </w:r>
    </w:p>
    <w:p w14:paraId="1BE03632" w14:textId="77777777" w:rsidR="00FC4BA0" w:rsidRPr="007D03F5" w:rsidRDefault="00FC4BA0" w:rsidP="00CF52A1">
      <w:pPr>
        <w:pStyle w:val="Pro-Inwest"/>
        <w:numPr>
          <w:ilvl w:val="0"/>
          <w:numId w:val="108"/>
        </w:numPr>
        <w:jc w:val="both"/>
        <w:rPr>
          <w:rFonts w:asciiTheme="minorHAnsi" w:hAnsiTheme="minorHAnsi"/>
          <w:sz w:val="16"/>
          <w:szCs w:val="16"/>
          <w:lang w:eastAsia="pl-PL"/>
        </w:rPr>
      </w:pPr>
      <w:r w:rsidRPr="007D03F5">
        <w:rPr>
          <w:rFonts w:asciiTheme="minorHAnsi" w:hAnsiTheme="minorHAnsi"/>
          <w:sz w:val="16"/>
          <w:szCs w:val="16"/>
          <w:lang w:eastAsia="pl-PL"/>
        </w:rPr>
        <w:t>żółtej, po 1 miesiącu eksploatacji, co najmniej 150 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r w:rsidRPr="007D03F5">
        <w:rPr>
          <w:rFonts w:asciiTheme="minorHAnsi" w:hAnsiTheme="minorHAnsi"/>
          <w:sz w:val="16"/>
          <w:szCs w:val="16"/>
          <w:lang w:eastAsia="pl-PL"/>
        </w:rPr>
        <w:t>,</w:t>
      </w:r>
    </w:p>
    <w:p w14:paraId="038BE71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b) folii:</w:t>
      </w:r>
    </w:p>
    <w:p w14:paraId="292D4FC6" w14:textId="77777777" w:rsidR="00FC4BA0" w:rsidRPr="007D03F5" w:rsidRDefault="00FC4BA0" w:rsidP="00CF52A1">
      <w:pPr>
        <w:pStyle w:val="Pro-Inwest"/>
        <w:numPr>
          <w:ilvl w:val="0"/>
          <w:numId w:val="109"/>
        </w:numPr>
        <w:jc w:val="both"/>
        <w:rPr>
          <w:rFonts w:asciiTheme="minorHAnsi" w:hAnsiTheme="minorHAnsi"/>
          <w:sz w:val="16"/>
          <w:szCs w:val="16"/>
          <w:lang w:eastAsia="pl-PL"/>
        </w:rPr>
      </w:pPr>
      <w:r w:rsidRPr="007D03F5">
        <w:rPr>
          <w:rFonts w:asciiTheme="minorHAnsi" w:hAnsiTheme="minorHAnsi"/>
          <w:sz w:val="16"/>
          <w:szCs w:val="16"/>
          <w:lang w:eastAsia="pl-PL"/>
        </w:rPr>
        <w:t xml:space="preserve">dla </w:t>
      </w:r>
      <w:proofErr w:type="spellStart"/>
      <w:r w:rsidRPr="007D03F5">
        <w:rPr>
          <w:rFonts w:asciiTheme="minorHAnsi" w:hAnsiTheme="minorHAnsi"/>
          <w:sz w:val="16"/>
          <w:szCs w:val="16"/>
          <w:lang w:eastAsia="pl-PL"/>
        </w:rPr>
        <w:t>oznakowań</w:t>
      </w:r>
      <w:proofErr w:type="spellEnd"/>
      <w:r w:rsidRPr="007D03F5">
        <w:rPr>
          <w:rFonts w:asciiTheme="minorHAnsi" w:hAnsiTheme="minorHAnsi"/>
          <w:sz w:val="16"/>
          <w:szCs w:val="16"/>
          <w:lang w:eastAsia="pl-PL"/>
        </w:rPr>
        <w:t xml:space="preserve"> trwałych i długotrwałych (białych), co najmniej 300 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r w:rsidRPr="007D03F5">
        <w:rPr>
          <w:rFonts w:asciiTheme="minorHAnsi" w:hAnsiTheme="minorHAnsi"/>
          <w:sz w:val="16"/>
          <w:szCs w:val="16"/>
          <w:lang w:eastAsia="pl-PL"/>
        </w:rPr>
        <w:t>,</w:t>
      </w:r>
    </w:p>
    <w:p w14:paraId="4A5A206B" w14:textId="77777777" w:rsidR="00FC4BA0" w:rsidRPr="007D03F5" w:rsidRDefault="00FC4BA0" w:rsidP="00CF52A1">
      <w:pPr>
        <w:pStyle w:val="Pro-Inwest"/>
        <w:numPr>
          <w:ilvl w:val="0"/>
          <w:numId w:val="109"/>
        </w:numPr>
        <w:jc w:val="both"/>
        <w:rPr>
          <w:rFonts w:asciiTheme="minorHAnsi" w:hAnsiTheme="minorHAnsi"/>
          <w:sz w:val="16"/>
          <w:szCs w:val="16"/>
          <w:lang w:eastAsia="pl-PL"/>
        </w:rPr>
      </w:pPr>
      <w:r w:rsidRPr="007D03F5">
        <w:rPr>
          <w:rFonts w:asciiTheme="minorHAnsi" w:hAnsiTheme="minorHAnsi"/>
          <w:sz w:val="16"/>
          <w:szCs w:val="16"/>
          <w:lang w:eastAsia="pl-PL"/>
        </w:rPr>
        <w:t xml:space="preserve">dla </w:t>
      </w:r>
      <w:proofErr w:type="spellStart"/>
      <w:r w:rsidRPr="007D03F5">
        <w:rPr>
          <w:rFonts w:asciiTheme="minorHAnsi" w:hAnsiTheme="minorHAnsi"/>
          <w:sz w:val="16"/>
          <w:szCs w:val="16"/>
          <w:lang w:eastAsia="pl-PL"/>
        </w:rPr>
        <w:t>oznakowań</w:t>
      </w:r>
      <w:proofErr w:type="spellEnd"/>
      <w:r w:rsidRPr="007D03F5">
        <w:rPr>
          <w:rFonts w:asciiTheme="minorHAnsi" w:hAnsiTheme="minorHAnsi"/>
          <w:sz w:val="16"/>
          <w:szCs w:val="16"/>
          <w:lang w:eastAsia="pl-PL"/>
        </w:rPr>
        <w:t xml:space="preserve"> tymczasowych (żółtych), co najmniej 300 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r w:rsidRPr="007D03F5">
        <w:rPr>
          <w:rFonts w:asciiTheme="minorHAnsi" w:hAnsiTheme="minorHAnsi"/>
          <w:sz w:val="16"/>
          <w:szCs w:val="16"/>
          <w:lang w:eastAsia="pl-PL"/>
        </w:rPr>
        <w:t>.</w:t>
      </w:r>
    </w:p>
    <w:p w14:paraId="7E9A794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6.3.1.3.</w:t>
      </w:r>
      <w:r w:rsidRPr="007D03F5">
        <w:rPr>
          <w:rFonts w:asciiTheme="minorHAnsi" w:hAnsiTheme="minorHAnsi"/>
          <w:sz w:val="16"/>
          <w:szCs w:val="16"/>
          <w:lang w:eastAsia="pl-PL"/>
        </w:rPr>
        <w:t xml:space="preserve"> Szorstkość oznakowania</w:t>
      </w:r>
    </w:p>
    <w:p w14:paraId="072B221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Miarą szorstkości oznakowania jest wartość wskaźnika szorstkości SRT (</w:t>
      </w:r>
      <w:proofErr w:type="spellStart"/>
      <w:r w:rsidRPr="007D03F5">
        <w:rPr>
          <w:rFonts w:asciiTheme="minorHAnsi" w:hAnsiTheme="minorHAnsi"/>
          <w:sz w:val="16"/>
          <w:szCs w:val="16"/>
          <w:lang w:eastAsia="pl-PL"/>
        </w:rPr>
        <w:t>Skid</w:t>
      </w:r>
      <w:proofErr w:type="spellEnd"/>
      <w:r w:rsidRPr="007D03F5">
        <w:rPr>
          <w:rFonts w:asciiTheme="minorHAnsi" w:hAnsiTheme="minorHAnsi"/>
          <w:sz w:val="16"/>
          <w:szCs w:val="16"/>
          <w:lang w:eastAsia="pl-PL"/>
        </w:rPr>
        <w:t xml:space="preserve"> </w:t>
      </w:r>
      <w:proofErr w:type="spellStart"/>
      <w:r w:rsidRPr="007D03F5">
        <w:rPr>
          <w:rFonts w:asciiTheme="minorHAnsi" w:hAnsiTheme="minorHAnsi"/>
          <w:sz w:val="16"/>
          <w:szCs w:val="16"/>
          <w:lang w:eastAsia="pl-PL"/>
        </w:rPr>
        <w:t>Resistance</w:t>
      </w:r>
      <w:proofErr w:type="spellEnd"/>
      <w:r w:rsidRPr="007D03F5">
        <w:rPr>
          <w:rFonts w:asciiTheme="minorHAnsi" w:hAnsiTheme="minorHAnsi"/>
          <w:sz w:val="16"/>
          <w:szCs w:val="16"/>
          <w:lang w:eastAsia="pl-PL"/>
        </w:rPr>
        <w:t xml:space="preserve"> Tester) mierzona wahadłem angielskim, wg POD-97 [4]. Wartość SRT symuluje warunki, w których pojazd wyposażony w typowe opony hamuje z blokadą kół przy prędkości 50 km/h na mokrej  nawierzchni.</w:t>
      </w:r>
    </w:p>
    <w:p w14:paraId="1CC76D8D"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Wymaga się, aby wartość wskaźnika szorstkości SRT wynosiła na oznakowaniu:</w:t>
      </w:r>
    </w:p>
    <w:p w14:paraId="29C27F9C" w14:textId="77777777" w:rsidR="00FC4BA0" w:rsidRPr="007D03F5" w:rsidRDefault="00FC4BA0" w:rsidP="00CF52A1">
      <w:pPr>
        <w:pStyle w:val="Pro-Inwest"/>
        <w:numPr>
          <w:ilvl w:val="0"/>
          <w:numId w:val="110"/>
        </w:numPr>
        <w:jc w:val="both"/>
        <w:rPr>
          <w:rFonts w:asciiTheme="minorHAnsi" w:hAnsiTheme="minorHAnsi"/>
          <w:sz w:val="16"/>
          <w:szCs w:val="16"/>
          <w:lang w:eastAsia="pl-PL"/>
        </w:rPr>
      </w:pPr>
      <w:r w:rsidRPr="007D03F5">
        <w:rPr>
          <w:rFonts w:asciiTheme="minorHAnsi" w:hAnsiTheme="minorHAnsi"/>
          <w:sz w:val="16"/>
          <w:szCs w:val="16"/>
          <w:lang w:eastAsia="pl-PL"/>
        </w:rPr>
        <w:t>świeżym, co najmniej 50 jednostek SRT,</w:t>
      </w:r>
    </w:p>
    <w:p w14:paraId="25A63ECB" w14:textId="77777777" w:rsidR="00FC4BA0" w:rsidRPr="007D03F5" w:rsidRDefault="00FC4BA0" w:rsidP="00CF52A1">
      <w:pPr>
        <w:pStyle w:val="Pro-Inwest"/>
        <w:numPr>
          <w:ilvl w:val="0"/>
          <w:numId w:val="110"/>
        </w:numPr>
        <w:jc w:val="both"/>
        <w:rPr>
          <w:rFonts w:asciiTheme="minorHAnsi" w:hAnsiTheme="minorHAnsi"/>
          <w:sz w:val="16"/>
          <w:szCs w:val="16"/>
          <w:lang w:eastAsia="pl-PL"/>
        </w:rPr>
      </w:pPr>
      <w:r w:rsidRPr="007D03F5">
        <w:rPr>
          <w:rFonts w:asciiTheme="minorHAnsi" w:hAnsiTheme="minorHAnsi"/>
          <w:sz w:val="16"/>
          <w:szCs w:val="16"/>
          <w:lang w:eastAsia="pl-PL"/>
        </w:rPr>
        <w:t>używanym, w ciągu całego okresu użytkowania, co najmniej 45 jednostek SRT.</w:t>
      </w:r>
    </w:p>
    <w:p w14:paraId="75C3B148"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Dla punktowych elementów odblaskowych badań szorstkości nie wykonuje się.</w:t>
      </w:r>
    </w:p>
    <w:p w14:paraId="6F75188E"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6.3.1.4.</w:t>
      </w:r>
      <w:r w:rsidRPr="007D03F5">
        <w:rPr>
          <w:rFonts w:asciiTheme="minorHAnsi" w:hAnsiTheme="minorHAnsi"/>
          <w:sz w:val="16"/>
          <w:szCs w:val="16"/>
          <w:lang w:eastAsia="pl-PL"/>
        </w:rPr>
        <w:t xml:space="preserve"> Trwałość oznakowania</w:t>
      </w:r>
    </w:p>
    <w:p w14:paraId="7A3BF41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Trwałość oznakowania oceniana jako stopień zużycia w 10-stopniowej skali na zasadzie porównania z wzorcami, wg POD-97 [4], powinna wynosić po 12-miesięcznym okresie eksploatacji oznakowania wykonanego:</w:t>
      </w:r>
    </w:p>
    <w:p w14:paraId="69104E4D" w14:textId="77777777" w:rsidR="00FC4BA0" w:rsidRPr="007D03F5" w:rsidRDefault="00FC4BA0" w:rsidP="00CF52A1">
      <w:pPr>
        <w:pStyle w:val="Pro-Inwest"/>
        <w:numPr>
          <w:ilvl w:val="0"/>
          <w:numId w:val="111"/>
        </w:numPr>
        <w:jc w:val="both"/>
        <w:rPr>
          <w:rFonts w:asciiTheme="minorHAnsi" w:hAnsiTheme="minorHAnsi"/>
          <w:sz w:val="16"/>
          <w:szCs w:val="16"/>
          <w:lang w:eastAsia="pl-PL"/>
        </w:rPr>
      </w:pPr>
      <w:r w:rsidRPr="007D03F5">
        <w:rPr>
          <w:rFonts w:asciiTheme="minorHAnsi" w:hAnsiTheme="minorHAnsi"/>
          <w:sz w:val="16"/>
          <w:szCs w:val="16"/>
          <w:lang w:eastAsia="pl-PL"/>
        </w:rPr>
        <w:t>farbami wodorozcieńczalnymi, co najmniej 5,</w:t>
      </w:r>
    </w:p>
    <w:p w14:paraId="3198DD7B" w14:textId="77777777" w:rsidR="00FC4BA0" w:rsidRPr="007D03F5" w:rsidRDefault="00FC4BA0" w:rsidP="00CF52A1">
      <w:pPr>
        <w:pStyle w:val="Pro-Inwest"/>
        <w:numPr>
          <w:ilvl w:val="0"/>
          <w:numId w:val="111"/>
        </w:numPr>
        <w:jc w:val="both"/>
        <w:rPr>
          <w:rFonts w:asciiTheme="minorHAnsi" w:hAnsiTheme="minorHAnsi"/>
          <w:sz w:val="16"/>
          <w:szCs w:val="16"/>
          <w:lang w:eastAsia="pl-PL"/>
        </w:rPr>
      </w:pPr>
      <w:r w:rsidRPr="007D03F5">
        <w:rPr>
          <w:rFonts w:asciiTheme="minorHAnsi" w:hAnsiTheme="minorHAnsi"/>
          <w:sz w:val="16"/>
          <w:szCs w:val="16"/>
          <w:lang w:eastAsia="pl-PL"/>
        </w:rPr>
        <w:t>pozostałymi materiałami, co najmniej 6.</w:t>
      </w:r>
    </w:p>
    <w:p w14:paraId="507574AD"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6.3.1.5.</w:t>
      </w:r>
      <w:r w:rsidRPr="007D03F5">
        <w:rPr>
          <w:rFonts w:asciiTheme="minorHAnsi" w:hAnsiTheme="minorHAnsi"/>
          <w:sz w:val="16"/>
          <w:szCs w:val="16"/>
          <w:lang w:eastAsia="pl-PL"/>
        </w:rPr>
        <w:t xml:space="preserve"> Czas schnięcia oznakowania (wzgl. czas przejezdności oznakowania)</w:t>
      </w:r>
    </w:p>
    <w:p w14:paraId="4509E52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Za czas schnięcia oznakowania przyjmuje się czas upływający między wykonaniem oznakowania a jego oddaniem do ruchu.</w:t>
      </w:r>
    </w:p>
    <w:p w14:paraId="27A87D2E"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Czas schnięcia oznakowania nie powinien przekraczać czasu gwarantowanego przez producenta, z tym że nie może przekraczać 2 godzin.</w:t>
      </w:r>
    </w:p>
    <w:p w14:paraId="05D72528"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6.3.1.6.</w:t>
      </w:r>
      <w:r w:rsidRPr="007D03F5">
        <w:rPr>
          <w:rFonts w:asciiTheme="minorHAnsi" w:hAnsiTheme="minorHAnsi"/>
          <w:sz w:val="16"/>
          <w:szCs w:val="16"/>
          <w:lang w:eastAsia="pl-PL"/>
        </w:rPr>
        <w:t xml:space="preserve"> Grubość oznakowania</w:t>
      </w:r>
    </w:p>
    <w:p w14:paraId="29B9220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Grubość oznakowania, tj. podwyższenie ponad górną powierzchnię nawierzchni, powinna wynosić dla:</w:t>
      </w:r>
    </w:p>
    <w:p w14:paraId="3E5B771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a)     oznakowania cienkowarstwowego (grubość na mokro bez kulek szklanych), co najwyżej 800 </w:t>
      </w:r>
      <w:r w:rsidRPr="007D03F5">
        <w:rPr>
          <w:rFonts w:asciiTheme="minorHAnsi" w:hAnsiTheme="minorHAnsi"/>
          <w:sz w:val="16"/>
          <w:szCs w:val="16"/>
          <w:lang w:eastAsia="pl-PL"/>
        </w:rPr>
        <w:t>m,</w:t>
      </w:r>
    </w:p>
    <w:p w14:paraId="55F422DD"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b)    oznakowania grubowarstwowego, co najwyżej 5 mm,</w:t>
      </w:r>
    </w:p>
    <w:p w14:paraId="11EA680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c)     punktowych elementów odblaskowych umieszczanych na części jezdnej drogi, co najwyżej 15 mm, a w uzasadnionych przypadkach ustalonych w dokumentacji projektowej, co najwyżej 25 mm.</w:t>
      </w:r>
    </w:p>
    <w:p w14:paraId="68A4C188"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Wymagania te nie obowiązują, jeśli nawierzchnia pod znakowaniem jest wyfrezowana.</w:t>
      </w:r>
    </w:p>
    <w:p w14:paraId="13A1701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6.3.2.</w:t>
      </w:r>
      <w:r w:rsidRPr="007D03F5">
        <w:rPr>
          <w:rFonts w:asciiTheme="minorHAnsi" w:hAnsiTheme="minorHAnsi"/>
          <w:sz w:val="16"/>
          <w:szCs w:val="16"/>
          <w:lang w:eastAsia="pl-PL"/>
        </w:rPr>
        <w:t> Badania wykonania znakowania poziomego z materiału cienkowarstwowego lub</w:t>
      </w:r>
    </w:p>
    <w:p w14:paraId="3355516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grubowarstwowego</w:t>
      </w:r>
    </w:p>
    <w:p w14:paraId="6B21E291"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Wykonawca wykonując znakowanie poziome z materiału cienko- lub grubowarstwowego przeprowadza przed rozpoczęciem każdej pracy oraz w czasie jej wykonywania, co najmniej raz dziennie, lub zgodnie z ustaleniem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następujące badania:</w:t>
      </w:r>
    </w:p>
    <w:p w14:paraId="0DFDCD50"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a) przed rozpoczęciem pracy:</w:t>
      </w:r>
    </w:p>
    <w:p w14:paraId="5CBA3A9F" w14:textId="77777777" w:rsidR="00FC4BA0" w:rsidRPr="007D03F5" w:rsidRDefault="00FC4BA0" w:rsidP="00CF52A1">
      <w:pPr>
        <w:pStyle w:val="Pro-Inwest"/>
        <w:numPr>
          <w:ilvl w:val="0"/>
          <w:numId w:val="112"/>
        </w:numPr>
        <w:jc w:val="both"/>
        <w:rPr>
          <w:rFonts w:asciiTheme="minorHAnsi" w:hAnsiTheme="minorHAnsi"/>
          <w:sz w:val="16"/>
          <w:szCs w:val="16"/>
          <w:lang w:eastAsia="pl-PL"/>
        </w:rPr>
      </w:pPr>
      <w:r w:rsidRPr="007D03F5">
        <w:rPr>
          <w:rFonts w:asciiTheme="minorHAnsi" w:hAnsiTheme="minorHAnsi"/>
          <w:sz w:val="16"/>
          <w:szCs w:val="16"/>
          <w:lang w:eastAsia="pl-PL"/>
        </w:rPr>
        <w:t>sprawdzenie oznakowania opakowań,</w:t>
      </w:r>
    </w:p>
    <w:p w14:paraId="6F67C751" w14:textId="77777777" w:rsidR="00FC4BA0" w:rsidRPr="007D03F5" w:rsidRDefault="00FC4BA0" w:rsidP="00CF52A1">
      <w:pPr>
        <w:pStyle w:val="Pro-Inwest"/>
        <w:numPr>
          <w:ilvl w:val="0"/>
          <w:numId w:val="112"/>
        </w:numPr>
        <w:jc w:val="both"/>
        <w:rPr>
          <w:rFonts w:asciiTheme="minorHAnsi" w:hAnsiTheme="minorHAnsi"/>
          <w:sz w:val="16"/>
          <w:szCs w:val="16"/>
          <w:lang w:eastAsia="pl-PL"/>
        </w:rPr>
      </w:pPr>
      <w:r w:rsidRPr="007D03F5">
        <w:rPr>
          <w:rFonts w:asciiTheme="minorHAnsi" w:hAnsiTheme="minorHAnsi"/>
          <w:sz w:val="16"/>
          <w:szCs w:val="16"/>
          <w:lang w:eastAsia="pl-PL"/>
        </w:rPr>
        <w:t>wizualną ocenę stanu  materiału, w zakresie jego jednorodności i widocznych wad,</w:t>
      </w:r>
    </w:p>
    <w:p w14:paraId="7B565B4B" w14:textId="77777777" w:rsidR="00FC4BA0" w:rsidRPr="007D03F5" w:rsidRDefault="00FC4BA0" w:rsidP="00CF52A1">
      <w:pPr>
        <w:pStyle w:val="Pro-Inwest"/>
        <w:numPr>
          <w:ilvl w:val="0"/>
          <w:numId w:val="112"/>
        </w:numPr>
        <w:jc w:val="both"/>
        <w:rPr>
          <w:rFonts w:asciiTheme="minorHAnsi" w:hAnsiTheme="minorHAnsi"/>
          <w:sz w:val="16"/>
          <w:szCs w:val="16"/>
          <w:lang w:eastAsia="pl-PL"/>
        </w:rPr>
      </w:pPr>
      <w:r w:rsidRPr="007D03F5">
        <w:rPr>
          <w:rFonts w:asciiTheme="minorHAnsi" w:hAnsiTheme="minorHAnsi"/>
          <w:sz w:val="16"/>
          <w:szCs w:val="16"/>
          <w:lang w:eastAsia="pl-PL"/>
        </w:rPr>
        <w:lastRenderedPageBreak/>
        <w:t>pomiar wilgotności względnej powietrza,</w:t>
      </w:r>
    </w:p>
    <w:p w14:paraId="3AF9499A" w14:textId="77777777" w:rsidR="00FC4BA0" w:rsidRPr="007D03F5" w:rsidRDefault="00FC4BA0" w:rsidP="00CF52A1">
      <w:pPr>
        <w:pStyle w:val="Pro-Inwest"/>
        <w:numPr>
          <w:ilvl w:val="0"/>
          <w:numId w:val="112"/>
        </w:numPr>
        <w:jc w:val="both"/>
        <w:rPr>
          <w:rFonts w:asciiTheme="minorHAnsi" w:hAnsiTheme="minorHAnsi"/>
          <w:sz w:val="16"/>
          <w:szCs w:val="16"/>
          <w:lang w:eastAsia="pl-PL"/>
        </w:rPr>
      </w:pPr>
      <w:r w:rsidRPr="007D03F5">
        <w:rPr>
          <w:rFonts w:asciiTheme="minorHAnsi" w:hAnsiTheme="minorHAnsi"/>
          <w:sz w:val="16"/>
          <w:szCs w:val="16"/>
          <w:lang w:eastAsia="pl-PL"/>
        </w:rPr>
        <w:t>pomiar temperatury powietrza i nawierzchni,</w:t>
      </w:r>
    </w:p>
    <w:p w14:paraId="08896E71" w14:textId="77777777" w:rsidR="00FC4BA0" w:rsidRPr="007D03F5" w:rsidRDefault="00FC4BA0" w:rsidP="00CF52A1">
      <w:pPr>
        <w:pStyle w:val="Pro-Inwest"/>
        <w:numPr>
          <w:ilvl w:val="0"/>
          <w:numId w:val="112"/>
        </w:numPr>
        <w:jc w:val="both"/>
        <w:rPr>
          <w:rFonts w:asciiTheme="minorHAnsi" w:hAnsiTheme="minorHAnsi"/>
          <w:sz w:val="16"/>
          <w:szCs w:val="16"/>
          <w:lang w:eastAsia="pl-PL"/>
        </w:rPr>
      </w:pPr>
      <w:r w:rsidRPr="007D03F5">
        <w:rPr>
          <w:rFonts w:asciiTheme="minorHAnsi" w:hAnsiTheme="minorHAnsi"/>
          <w:sz w:val="16"/>
          <w:szCs w:val="16"/>
          <w:lang w:eastAsia="pl-PL"/>
        </w:rPr>
        <w:t>badanie lepkości farby (cienkowarstwowej), wg POD-97 [4],</w:t>
      </w:r>
    </w:p>
    <w:p w14:paraId="1B5EA23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b) w czasie wykonywania pracy:</w:t>
      </w:r>
    </w:p>
    <w:p w14:paraId="18811409" w14:textId="77777777" w:rsidR="00FC4BA0" w:rsidRPr="007D03F5" w:rsidRDefault="00FC4BA0" w:rsidP="00CF52A1">
      <w:pPr>
        <w:pStyle w:val="Pro-Inwest"/>
        <w:numPr>
          <w:ilvl w:val="0"/>
          <w:numId w:val="113"/>
        </w:numPr>
        <w:jc w:val="both"/>
        <w:rPr>
          <w:rFonts w:asciiTheme="minorHAnsi" w:hAnsiTheme="minorHAnsi"/>
          <w:sz w:val="16"/>
          <w:szCs w:val="16"/>
          <w:lang w:eastAsia="pl-PL"/>
        </w:rPr>
      </w:pPr>
      <w:r w:rsidRPr="007D03F5">
        <w:rPr>
          <w:rFonts w:asciiTheme="minorHAnsi" w:hAnsiTheme="minorHAnsi"/>
          <w:sz w:val="16"/>
          <w:szCs w:val="16"/>
          <w:lang w:eastAsia="pl-PL"/>
        </w:rPr>
        <w:t>pomiar grubości warstwy oznakowania,</w:t>
      </w:r>
    </w:p>
    <w:p w14:paraId="2AEA55C4" w14:textId="77777777" w:rsidR="00FC4BA0" w:rsidRPr="007D03F5" w:rsidRDefault="00FC4BA0" w:rsidP="00CF52A1">
      <w:pPr>
        <w:pStyle w:val="Pro-Inwest"/>
        <w:numPr>
          <w:ilvl w:val="0"/>
          <w:numId w:val="113"/>
        </w:numPr>
        <w:jc w:val="both"/>
        <w:rPr>
          <w:rFonts w:asciiTheme="minorHAnsi" w:hAnsiTheme="minorHAnsi"/>
          <w:sz w:val="16"/>
          <w:szCs w:val="16"/>
          <w:lang w:eastAsia="pl-PL"/>
        </w:rPr>
      </w:pPr>
      <w:r w:rsidRPr="007D03F5">
        <w:rPr>
          <w:rFonts w:asciiTheme="minorHAnsi" w:hAnsiTheme="minorHAnsi"/>
          <w:sz w:val="16"/>
          <w:szCs w:val="16"/>
          <w:lang w:eastAsia="pl-PL"/>
        </w:rPr>
        <w:t>pomiar czasu schnięcia, wg POD-97 [4],</w:t>
      </w:r>
    </w:p>
    <w:p w14:paraId="7AE91864" w14:textId="77777777" w:rsidR="00FC4BA0" w:rsidRPr="007D03F5" w:rsidRDefault="00FC4BA0" w:rsidP="00CF52A1">
      <w:pPr>
        <w:pStyle w:val="Pro-Inwest"/>
        <w:numPr>
          <w:ilvl w:val="0"/>
          <w:numId w:val="113"/>
        </w:numPr>
        <w:jc w:val="both"/>
        <w:rPr>
          <w:rFonts w:asciiTheme="minorHAnsi" w:hAnsiTheme="minorHAnsi"/>
          <w:sz w:val="16"/>
          <w:szCs w:val="16"/>
          <w:lang w:eastAsia="pl-PL"/>
        </w:rPr>
      </w:pPr>
      <w:r w:rsidRPr="007D03F5">
        <w:rPr>
          <w:rFonts w:asciiTheme="minorHAnsi" w:hAnsiTheme="minorHAnsi"/>
          <w:sz w:val="16"/>
          <w:szCs w:val="16"/>
          <w:lang w:eastAsia="pl-PL"/>
        </w:rPr>
        <w:t>wizualną ocenę równomierności rozłożenia kulek szklanych,</w:t>
      </w:r>
    </w:p>
    <w:p w14:paraId="5B59AC83" w14:textId="77777777" w:rsidR="00FC4BA0" w:rsidRPr="007D03F5" w:rsidRDefault="00FC4BA0" w:rsidP="00CF52A1">
      <w:pPr>
        <w:pStyle w:val="Pro-Inwest"/>
        <w:numPr>
          <w:ilvl w:val="0"/>
          <w:numId w:val="113"/>
        </w:numPr>
        <w:jc w:val="both"/>
        <w:rPr>
          <w:rFonts w:asciiTheme="minorHAnsi" w:hAnsiTheme="minorHAnsi"/>
          <w:sz w:val="16"/>
          <w:szCs w:val="16"/>
          <w:lang w:eastAsia="pl-PL"/>
        </w:rPr>
      </w:pPr>
      <w:r w:rsidRPr="007D03F5">
        <w:rPr>
          <w:rFonts w:asciiTheme="minorHAnsi" w:hAnsiTheme="minorHAnsi"/>
          <w:sz w:val="16"/>
          <w:szCs w:val="16"/>
          <w:lang w:eastAsia="pl-PL"/>
        </w:rPr>
        <w:t> pomiar poziomych wymiarów oznakowania, na zgodność z dokumentacją projektową i „Instrukcją o znakach drogowych poziomych” [3],</w:t>
      </w:r>
    </w:p>
    <w:p w14:paraId="1A3C04EB" w14:textId="77777777" w:rsidR="00FC4BA0" w:rsidRPr="007D03F5" w:rsidRDefault="00FC4BA0" w:rsidP="00CF52A1">
      <w:pPr>
        <w:pStyle w:val="Pro-Inwest"/>
        <w:numPr>
          <w:ilvl w:val="0"/>
          <w:numId w:val="113"/>
        </w:numPr>
        <w:jc w:val="both"/>
        <w:rPr>
          <w:rFonts w:asciiTheme="minorHAnsi" w:hAnsiTheme="minorHAnsi"/>
          <w:sz w:val="16"/>
          <w:szCs w:val="16"/>
          <w:lang w:eastAsia="pl-PL"/>
        </w:rPr>
      </w:pPr>
      <w:r w:rsidRPr="007D03F5">
        <w:rPr>
          <w:rFonts w:asciiTheme="minorHAnsi" w:hAnsiTheme="minorHAnsi"/>
          <w:sz w:val="16"/>
          <w:szCs w:val="16"/>
          <w:lang w:eastAsia="pl-PL"/>
        </w:rPr>
        <w:t>wizualną ocenę równomierności skropienia (rozłożenia materiału) na całej szerokości linii,</w:t>
      </w:r>
    </w:p>
    <w:p w14:paraId="0B95715C" w14:textId="77777777" w:rsidR="00FC4BA0" w:rsidRPr="007D03F5" w:rsidRDefault="00FC4BA0" w:rsidP="00CF52A1">
      <w:pPr>
        <w:pStyle w:val="Pro-Inwest"/>
        <w:numPr>
          <w:ilvl w:val="0"/>
          <w:numId w:val="113"/>
        </w:numPr>
        <w:jc w:val="both"/>
        <w:rPr>
          <w:rFonts w:asciiTheme="minorHAnsi" w:hAnsiTheme="minorHAnsi"/>
          <w:sz w:val="16"/>
          <w:szCs w:val="16"/>
          <w:lang w:eastAsia="pl-PL"/>
        </w:rPr>
      </w:pPr>
      <w:r w:rsidRPr="007D03F5">
        <w:rPr>
          <w:rFonts w:asciiTheme="minorHAnsi" w:hAnsiTheme="minorHAnsi"/>
          <w:sz w:val="16"/>
          <w:szCs w:val="16"/>
          <w:lang w:eastAsia="pl-PL"/>
        </w:rPr>
        <w:t>oznaczenia czasu przejezdności, wg POD-97 [4].</w:t>
      </w:r>
    </w:p>
    <w:p w14:paraId="7F2A7C8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Protokół z przeprowadzonych badań wraz z jedną próbką na blasze (300 x 250 x 0,8 mm) Wykonawca powinien przechować do czasu upływu okresu gwarancji.</w:t>
      </w:r>
    </w:p>
    <w:p w14:paraId="1BF96540"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 przypadku wątpliwości dotyczących wykonania oznakowania poziomego, Inżynier może zlecić wykonanie badań:</w:t>
      </w:r>
    </w:p>
    <w:p w14:paraId="49ADFFEC" w14:textId="77777777" w:rsidR="00FC4BA0" w:rsidRPr="007D03F5" w:rsidRDefault="00FC4BA0" w:rsidP="00CF52A1">
      <w:pPr>
        <w:pStyle w:val="Pro-Inwest"/>
        <w:numPr>
          <w:ilvl w:val="0"/>
          <w:numId w:val="114"/>
        </w:numPr>
        <w:jc w:val="both"/>
        <w:rPr>
          <w:rFonts w:asciiTheme="minorHAnsi" w:hAnsiTheme="minorHAnsi"/>
          <w:sz w:val="16"/>
          <w:szCs w:val="16"/>
          <w:lang w:eastAsia="pl-PL"/>
        </w:rPr>
      </w:pPr>
      <w:r w:rsidRPr="007D03F5">
        <w:rPr>
          <w:rFonts w:asciiTheme="minorHAnsi" w:hAnsiTheme="minorHAnsi"/>
          <w:sz w:val="16"/>
          <w:szCs w:val="16"/>
          <w:lang w:eastAsia="pl-PL"/>
        </w:rPr>
        <w:t>widzialności w dzień,</w:t>
      </w:r>
    </w:p>
    <w:p w14:paraId="333FD900" w14:textId="77777777" w:rsidR="00FC4BA0" w:rsidRPr="007D03F5" w:rsidRDefault="00FC4BA0" w:rsidP="00CF52A1">
      <w:pPr>
        <w:pStyle w:val="Pro-Inwest"/>
        <w:numPr>
          <w:ilvl w:val="0"/>
          <w:numId w:val="114"/>
        </w:numPr>
        <w:jc w:val="both"/>
        <w:rPr>
          <w:rFonts w:asciiTheme="minorHAnsi" w:hAnsiTheme="minorHAnsi"/>
          <w:sz w:val="16"/>
          <w:szCs w:val="16"/>
          <w:lang w:eastAsia="pl-PL"/>
        </w:rPr>
      </w:pPr>
      <w:r w:rsidRPr="007D03F5">
        <w:rPr>
          <w:rFonts w:asciiTheme="minorHAnsi" w:hAnsiTheme="minorHAnsi"/>
          <w:sz w:val="16"/>
          <w:szCs w:val="16"/>
          <w:lang w:eastAsia="pl-PL"/>
        </w:rPr>
        <w:t>widzialności w nocy,</w:t>
      </w:r>
    </w:p>
    <w:p w14:paraId="3374ADCB" w14:textId="77777777" w:rsidR="00FC4BA0" w:rsidRPr="007D03F5" w:rsidRDefault="00FC4BA0" w:rsidP="00CF52A1">
      <w:pPr>
        <w:pStyle w:val="Pro-Inwest"/>
        <w:numPr>
          <w:ilvl w:val="0"/>
          <w:numId w:val="114"/>
        </w:numPr>
        <w:jc w:val="both"/>
        <w:rPr>
          <w:rFonts w:asciiTheme="minorHAnsi" w:hAnsiTheme="minorHAnsi"/>
          <w:sz w:val="16"/>
          <w:szCs w:val="16"/>
          <w:lang w:eastAsia="pl-PL"/>
        </w:rPr>
      </w:pPr>
      <w:r w:rsidRPr="007D03F5">
        <w:rPr>
          <w:rFonts w:asciiTheme="minorHAnsi" w:hAnsiTheme="minorHAnsi"/>
          <w:sz w:val="16"/>
          <w:szCs w:val="16"/>
          <w:lang w:eastAsia="pl-PL"/>
        </w:rPr>
        <w:t>szorstkości,</w:t>
      </w:r>
    </w:p>
    <w:p w14:paraId="1E3C0197"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odpowiadających wymaganiom podanym w punkcie 6.3.1 i wykonanych według metod określonych w „Warunkach technicznych POD-97” [4]. Jeżeli wyniki tych badań wykażą wadliwość wykonanego oznakowania to koszt badań ponosi Wykonawca, w przypadku przeciwnym - Zamawiający.</w:t>
      </w:r>
    </w:p>
    <w:p w14:paraId="7F15C43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6.3.3.</w:t>
      </w:r>
      <w:r w:rsidRPr="007D03F5">
        <w:rPr>
          <w:rFonts w:asciiTheme="minorHAnsi" w:hAnsiTheme="minorHAnsi"/>
          <w:sz w:val="16"/>
          <w:szCs w:val="16"/>
          <w:lang w:eastAsia="pl-PL"/>
        </w:rPr>
        <w:t> Badania wykonania znakowania poziomego z punktowych elementów odblaskowych</w:t>
      </w:r>
    </w:p>
    <w:p w14:paraId="01153AF7"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Wykonawca wykonując znakowanie z prefabrykowanych elementów odblaskowych przeprowadza, co najmniej raz dziennie lub zgodnie z ustaleniem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następujące badania:</w:t>
      </w:r>
    </w:p>
    <w:p w14:paraId="2683C636" w14:textId="77777777" w:rsidR="00FC4BA0" w:rsidRPr="007D03F5" w:rsidRDefault="00FC4BA0" w:rsidP="00CF52A1">
      <w:pPr>
        <w:pStyle w:val="Pro-Inwest"/>
        <w:numPr>
          <w:ilvl w:val="0"/>
          <w:numId w:val="115"/>
        </w:numPr>
        <w:jc w:val="both"/>
        <w:rPr>
          <w:rFonts w:asciiTheme="minorHAnsi" w:hAnsiTheme="minorHAnsi"/>
          <w:sz w:val="16"/>
          <w:szCs w:val="16"/>
          <w:lang w:eastAsia="pl-PL"/>
        </w:rPr>
      </w:pPr>
      <w:r w:rsidRPr="007D03F5">
        <w:rPr>
          <w:rFonts w:asciiTheme="minorHAnsi" w:hAnsiTheme="minorHAnsi"/>
          <w:sz w:val="16"/>
          <w:szCs w:val="16"/>
          <w:lang w:eastAsia="pl-PL"/>
        </w:rPr>
        <w:t>sprawdzenie oznakowania opakowań,</w:t>
      </w:r>
    </w:p>
    <w:p w14:paraId="2857CD1A" w14:textId="77777777" w:rsidR="00FC4BA0" w:rsidRPr="007D03F5" w:rsidRDefault="00FC4BA0" w:rsidP="00CF52A1">
      <w:pPr>
        <w:pStyle w:val="Pro-Inwest"/>
        <w:numPr>
          <w:ilvl w:val="0"/>
          <w:numId w:val="115"/>
        </w:numPr>
        <w:jc w:val="both"/>
        <w:rPr>
          <w:rFonts w:asciiTheme="minorHAnsi" w:hAnsiTheme="minorHAnsi"/>
          <w:sz w:val="16"/>
          <w:szCs w:val="16"/>
          <w:lang w:eastAsia="pl-PL"/>
        </w:rPr>
      </w:pPr>
      <w:r w:rsidRPr="007D03F5">
        <w:rPr>
          <w:rFonts w:asciiTheme="minorHAnsi" w:hAnsiTheme="minorHAnsi"/>
          <w:sz w:val="16"/>
          <w:szCs w:val="16"/>
          <w:lang w:eastAsia="pl-PL"/>
        </w:rPr>
        <w:t xml:space="preserve">sprawdzenie rodzaju stosowanego kleju lub innych elementów mocujących, zgodnie z zaleceniami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w:t>
      </w:r>
    </w:p>
    <w:p w14:paraId="4B64285D" w14:textId="77777777" w:rsidR="00FC4BA0" w:rsidRPr="007D03F5" w:rsidRDefault="00FC4BA0" w:rsidP="00CF52A1">
      <w:pPr>
        <w:pStyle w:val="Pro-Inwest"/>
        <w:numPr>
          <w:ilvl w:val="0"/>
          <w:numId w:val="115"/>
        </w:numPr>
        <w:jc w:val="both"/>
        <w:rPr>
          <w:rFonts w:asciiTheme="minorHAnsi" w:hAnsiTheme="minorHAnsi"/>
          <w:sz w:val="16"/>
          <w:szCs w:val="16"/>
          <w:lang w:eastAsia="pl-PL"/>
        </w:rPr>
      </w:pPr>
      <w:r w:rsidRPr="007D03F5">
        <w:rPr>
          <w:rFonts w:asciiTheme="minorHAnsi" w:hAnsiTheme="minorHAnsi"/>
          <w:sz w:val="16"/>
          <w:szCs w:val="16"/>
          <w:lang w:eastAsia="pl-PL"/>
        </w:rPr>
        <w:t>wizualną ocenę stanu elementów, w zakresie ich kompletności i braku wad,</w:t>
      </w:r>
    </w:p>
    <w:p w14:paraId="5C6D45AC" w14:textId="77777777" w:rsidR="00FC4BA0" w:rsidRPr="007D03F5" w:rsidRDefault="00FC4BA0" w:rsidP="00CF52A1">
      <w:pPr>
        <w:pStyle w:val="Pro-Inwest"/>
        <w:numPr>
          <w:ilvl w:val="0"/>
          <w:numId w:val="115"/>
        </w:numPr>
        <w:jc w:val="both"/>
        <w:rPr>
          <w:rFonts w:asciiTheme="minorHAnsi" w:hAnsiTheme="minorHAnsi"/>
          <w:sz w:val="16"/>
          <w:szCs w:val="16"/>
          <w:lang w:eastAsia="pl-PL"/>
        </w:rPr>
      </w:pPr>
      <w:r w:rsidRPr="007D03F5">
        <w:rPr>
          <w:rFonts w:asciiTheme="minorHAnsi" w:hAnsiTheme="minorHAnsi"/>
          <w:sz w:val="16"/>
          <w:szCs w:val="16"/>
          <w:lang w:eastAsia="pl-PL"/>
        </w:rPr>
        <w:t>wilgotności względnej powietrza,</w:t>
      </w:r>
    </w:p>
    <w:p w14:paraId="6716BD63" w14:textId="77777777" w:rsidR="00FC4BA0" w:rsidRPr="007D03F5" w:rsidRDefault="00FC4BA0" w:rsidP="00CF52A1">
      <w:pPr>
        <w:pStyle w:val="Pro-Inwest"/>
        <w:numPr>
          <w:ilvl w:val="0"/>
          <w:numId w:val="115"/>
        </w:numPr>
        <w:jc w:val="both"/>
        <w:rPr>
          <w:rFonts w:asciiTheme="minorHAnsi" w:hAnsiTheme="minorHAnsi"/>
          <w:sz w:val="16"/>
          <w:szCs w:val="16"/>
          <w:lang w:eastAsia="pl-PL"/>
        </w:rPr>
      </w:pPr>
      <w:r w:rsidRPr="007D03F5">
        <w:rPr>
          <w:rFonts w:asciiTheme="minorHAnsi" w:hAnsiTheme="minorHAnsi"/>
          <w:sz w:val="16"/>
          <w:szCs w:val="16"/>
          <w:lang w:eastAsia="pl-PL"/>
        </w:rPr>
        <w:t>temperatury powietrza i nawierzchni,</w:t>
      </w:r>
    </w:p>
    <w:p w14:paraId="6E6C5A00" w14:textId="77777777" w:rsidR="00FC4BA0" w:rsidRPr="007D03F5" w:rsidRDefault="00FC4BA0" w:rsidP="00CF52A1">
      <w:pPr>
        <w:pStyle w:val="Pro-Inwest"/>
        <w:numPr>
          <w:ilvl w:val="0"/>
          <w:numId w:val="115"/>
        </w:numPr>
        <w:jc w:val="both"/>
        <w:rPr>
          <w:rFonts w:asciiTheme="minorHAnsi" w:hAnsiTheme="minorHAnsi"/>
          <w:sz w:val="16"/>
          <w:szCs w:val="16"/>
          <w:lang w:eastAsia="pl-PL"/>
        </w:rPr>
      </w:pPr>
      <w:r w:rsidRPr="007D03F5">
        <w:rPr>
          <w:rFonts w:asciiTheme="minorHAnsi" w:hAnsiTheme="minorHAnsi"/>
          <w:sz w:val="16"/>
          <w:szCs w:val="16"/>
          <w:lang w:eastAsia="pl-PL"/>
        </w:rPr>
        <w:t>pomiaru czasu oddania do ruchu (schnięcia),</w:t>
      </w:r>
    </w:p>
    <w:p w14:paraId="4DC5A670" w14:textId="77777777" w:rsidR="00FC4BA0" w:rsidRPr="007D03F5" w:rsidRDefault="00FC4BA0" w:rsidP="00CF52A1">
      <w:pPr>
        <w:pStyle w:val="Pro-Inwest"/>
        <w:numPr>
          <w:ilvl w:val="0"/>
          <w:numId w:val="115"/>
        </w:numPr>
        <w:jc w:val="both"/>
        <w:rPr>
          <w:rFonts w:asciiTheme="minorHAnsi" w:hAnsiTheme="minorHAnsi"/>
          <w:sz w:val="16"/>
          <w:szCs w:val="16"/>
          <w:lang w:eastAsia="pl-PL"/>
        </w:rPr>
      </w:pPr>
      <w:r w:rsidRPr="007D03F5">
        <w:rPr>
          <w:rFonts w:asciiTheme="minorHAnsi" w:hAnsiTheme="minorHAnsi"/>
          <w:sz w:val="16"/>
          <w:szCs w:val="16"/>
          <w:lang w:eastAsia="pl-PL"/>
        </w:rPr>
        <w:t>wizualną ocenę liniowości przyklejenia elementów,</w:t>
      </w:r>
    </w:p>
    <w:p w14:paraId="328EFB05" w14:textId="77777777" w:rsidR="00FC4BA0" w:rsidRPr="007D03F5" w:rsidRDefault="00FC4BA0" w:rsidP="00CF52A1">
      <w:pPr>
        <w:pStyle w:val="Pro-Inwest"/>
        <w:numPr>
          <w:ilvl w:val="0"/>
          <w:numId w:val="115"/>
        </w:numPr>
        <w:jc w:val="both"/>
        <w:rPr>
          <w:rFonts w:asciiTheme="minorHAnsi" w:hAnsiTheme="minorHAnsi"/>
          <w:sz w:val="16"/>
          <w:szCs w:val="16"/>
          <w:lang w:eastAsia="pl-PL"/>
        </w:rPr>
      </w:pPr>
      <w:r w:rsidRPr="007D03F5">
        <w:rPr>
          <w:rFonts w:asciiTheme="minorHAnsi" w:hAnsiTheme="minorHAnsi"/>
          <w:sz w:val="16"/>
          <w:szCs w:val="16"/>
          <w:lang w:eastAsia="pl-PL"/>
        </w:rPr>
        <w:t>równomierności przyklejenia elementów na całej długości linii,</w:t>
      </w:r>
    </w:p>
    <w:p w14:paraId="3240AA9C" w14:textId="77777777" w:rsidR="00FC4BA0" w:rsidRPr="007D03F5" w:rsidRDefault="00FC4BA0" w:rsidP="00CF52A1">
      <w:pPr>
        <w:pStyle w:val="Pro-Inwest"/>
        <w:numPr>
          <w:ilvl w:val="0"/>
          <w:numId w:val="115"/>
        </w:numPr>
        <w:jc w:val="both"/>
        <w:rPr>
          <w:rFonts w:asciiTheme="minorHAnsi" w:hAnsiTheme="minorHAnsi"/>
          <w:sz w:val="16"/>
          <w:szCs w:val="16"/>
          <w:lang w:eastAsia="pl-PL"/>
        </w:rPr>
      </w:pPr>
      <w:r w:rsidRPr="007D03F5">
        <w:rPr>
          <w:rFonts w:asciiTheme="minorHAnsi" w:hAnsiTheme="minorHAnsi"/>
          <w:sz w:val="16"/>
          <w:szCs w:val="16"/>
          <w:lang w:eastAsia="pl-PL"/>
        </w:rPr>
        <w:t>zgodności wykonania oznakowania z dokumentacja projektową i „Instrukcją o znakach drogowych poziomych” [3].</w:t>
      </w:r>
    </w:p>
    <w:p w14:paraId="75DDFA8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Protokół z przeprowadzonych badań wraz z próbkami przyklejanych elementów, w liczbie określonej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Wykonawca przechowuje do czasu upływu okresu gwarancji.</w:t>
      </w:r>
    </w:p>
    <w:p w14:paraId="5FE2429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 przypadku wątpliwości dotyczących wykonania oznakowania poziomego Inżynier  może zlecić wykonanie badań:</w:t>
      </w:r>
    </w:p>
    <w:p w14:paraId="0622C593" w14:textId="77777777" w:rsidR="00FC4BA0" w:rsidRPr="007D03F5" w:rsidRDefault="00FC4BA0" w:rsidP="00CF52A1">
      <w:pPr>
        <w:pStyle w:val="Pro-Inwest"/>
        <w:numPr>
          <w:ilvl w:val="0"/>
          <w:numId w:val="116"/>
        </w:numPr>
        <w:jc w:val="both"/>
        <w:rPr>
          <w:rFonts w:asciiTheme="minorHAnsi" w:hAnsiTheme="minorHAnsi"/>
          <w:sz w:val="16"/>
          <w:szCs w:val="16"/>
          <w:lang w:eastAsia="pl-PL"/>
        </w:rPr>
      </w:pPr>
      <w:r w:rsidRPr="007D03F5">
        <w:rPr>
          <w:rFonts w:asciiTheme="minorHAnsi" w:hAnsiTheme="minorHAnsi"/>
          <w:sz w:val="16"/>
          <w:szCs w:val="16"/>
          <w:lang w:eastAsia="pl-PL"/>
        </w:rPr>
        <w:t>widzialności w dzień,</w:t>
      </w:r>
    </w:p>
    <w:p w14:paraId="7F025CE2" w14:textId="77777777" w:rsidR="00FC4BA0" w:rsidRPr="007D03F5" w:rsidRDefault="00FC4BA0" w:rsidP="00CF52A1">
      <w:pPr>
        <w:pStyle w:val="Pro-Inwest"/>
        <w:numPr>
          <w:ilvl w:val="0"/>
          <w:numId w:val="116"/>
        </w:numPr>
        <w:jc w:val="both"/>
        <w:rPr>
          <w:rFonts w:asciiTheme="minorHAnsi" w:hAnsiTheme="minorHAnsi"/>
          <w:sz w:val="16"/>
          <w:szCs w:val="16"/>
          <w:lang w:eastAsia="pl-PL"/>
        </w:rPr>
      </w:pPr>
      <w:r w:rsidRPr="007D03F5">
        <w:rPr>
          <w:rFonts w:asciiTheme="minorHAnsi" w:hAnsiTheme="minorHAnsi"/>
          <w:sz w:val="16"/>
          <w:szCs w:val="16"/>
          <w:lang w:eastAsia="pl-PL"/>
        </w:rPr>
        <w:t>widzialności w nocy,</w:t>
      </w:r>
    </w:p>
    <w:p w14:paraId="18B24B0E"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odpowiadających wymaganiom podanym w punkcie 6.3.1 i wykonanych według metod określonych w „Warunkach technicznych POD-97” [4]. Jeśli wyniki tych badań wykażą wadliwość wykonanego oznakowania to koszt badań ponosi Wykonawca, w przypadku przeciwnym - Zamawiający.</w:t>
      </w:r>
    </w:p>
    <w:p w14:paraId="0AF622CB"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6.3.4.</w:t>
      </w:r>
      <w:r w:rsidRPr="007D03F5">
        <w:rPr>
          <w:rFonts w:asciiTheme="minorHAnsi" w:hAnsiTheme="minorHAnsi"/>
          <w:sz w:val="16"/>
          <w:szCs w:val="16"/>
          <w:lang w:eastAsia="pl-PL"/>
        </w:rPr>
        <w:t> Zbiorcze zestawienie wymagań dla materiałów i wykonanego oznakowania</w:t>
      </w:r>
    </w:p>
    <w:tbl>
      <w:tblPr>
        <w:tblW w:w="0" w:type="auto"/>
        <w:tblCellMar>
          <w:left w:w="0" w:type="dxa"/>
          <w:right w:w="0" w:type="dxa"/>
        </w:tblCellMar>
        <w:tblLook w:val="04A0" w:firstRow="1" w:lastRow="0" w:firstColumn="1" w:lastColumn="0" w:noHBand="0" w:noVBand="1"/>
      </w:tblPr>
      <w:tblGrid>
        <w:gridCol w:w="496"/>
        <w:gridCol w:w="3402"/>
        <w:gridCol w:w="1275"/>
        <w:gridCol w:w="1171"/>
        <w:gridCol w:w="1161"/>
      </w:tblGrid>
      <w:tr w:rsidR="007D03F5" w:rsidRPr="007D03F5" w14:paraId="4B576E50" w14:textId="77777777" w:rsidTr="00475945">
        <w:tc>
          <w:tcPr>
            <w:tcW w:w="496" w:type="dxa"/>
            <w:vMerge w:val="restart"/>
            <w:tcBorders>
              <w:top w:val="single" w:sz="6" w:space="0" w:color="auto"/>
              <w:left w:val="single" w:sz="6" w:space="0" w:color="auto"/>
              <w:bottom w:val="nil"/>
              <w:right w:val="nil"/>
            </w:tcBorders>
            <w:shd w:val="clear" w:color="auto" w:fill="auto"/>
            <w:noWrap/>
            <w:tcMar>
              <w:top w:w="0" w:type="dxa"/>
              <w:left w:w="70" w:type="dxa"/>
              <w:bottom w:w="0" w:type="dxa"/>
              <w:right w:w="70" w:type="dxa"/>
            </w:tcMar>
            <w:hideMark/>
          </w:tcPr>
          <w:p w14:paraId="1FA17CE5"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Lp.</w:t>
            </w:r>
          </w:p>
        </w:tc>
        <w:tc>
          <w:tcPr>
            <w:tcW w:w="3402" w:type="dxa"/>
            <w:vMerge w:val="restart"/>
            <w:tcBorders>
              <w:top w:val="single" w:sz="6" w:space="0" w:color="auto"/>
              <w:left w:val="single" w:sz="6" w:space="0" w:color="auto"/>
              <w:bottom w:val="nil"/>
              <w:right w:val="nil"/>
            </w:tcBorders>
            <w:shd w:val="clear" w:color="auto" w:fill="auto"/>
            <w:noWrap/>
            <w:tcMar>
              <w:top w:w="0" w:type="dxa"/>
              <w:left w:w="70" w:type="dxa"/>
              <w:bottom w:w="0" w:type="dxa"/>
              <w:right w:w="70" w:type="dxa"/>
            </w:tcMar>
            <w:hideMark/>
          </w:tcPr>
          <w:p w14:paraId="11412B0C"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Rodzaj wymagania</w:t>
            </w:r>
          </w:p>
        </w:tc>
        <w:tc>
          <w:tcPr>
            <w:tcW w:w="1275" w:type="dxa"/>
            <w:vMerge w:val="restart"/>
            <w:tcBorders>
              <w:top w:val="single" w:sz="6" w:space="0" w:color="auto"/>
              <w:left w:val="single" w:sz="6" w:space="0" w:color="auto"/>
              <w:bottom w:val="nil"/>
              <w:right w:val="nil"/>
            </w:tcBorders>
            <w:shd w:val="clear" w:color="auto" w:fill="auto"/>
            <w:noWrap/>
            <w:tcMar>
              <w:top w:w="0" w:type="dxa"/>
              <w:left w:w="70" w:type="dxa"/>
              <w:bottom w:w="0" w:type="dxa"/>
              <w:right w:w="70" w:type="dxa"/>
            </w:tcMar>
            <w:hideMark/>
          </w:tcPr>
          <w:p w14:paraId="0C1D144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Jednostka</w:t>
            </w:r>
          </w:p>
        </w:tc>
        <w:tc>
          <w:tcPr>
            <w:tcW w:w="2332" w:type="dxa"/>
            <w:gridSpan w:val="2"/>
            <w:tcBorders>
              <w:top w:val="single" w:sz="6" w:space="0" w:color="auto"/>
              <w:left w:val="single" w:sz="6" w:space="0" w:color="auto"/>
              <w:bottom w:val="single" w:sz="6" w:space="0" w:color="auto"/>
              <w:right w:val="single" w:sz="6" w:space="0" w:color="auto"/>
            </w:tcBorders>
            <w:shd w:val="clear" w:color="auto" w:fill="auto"/>
            <w:noWrap/>
            <w:tcMar>
              <w:top w:w="0" w:type="dxa"/>
              <w:left w:w="70" w:type="dxa"/>
              <w:bottom w:w="0" w:type="dxa"/>
              <w:right w:w="70" w:type="dxa"/>
            </w:tcMar>
            <w:hideMark/>
          </w:tcPr>
          <w:p w14:paraId="529F7BA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Materiały do znakowania</w:t>
            </w:r>
          </w:p>
        </w:tc>
      </w:tr>
      <w:tr w:rsidR="007D03F5" w:rsidRPr="007D03F5" w14:paraId="3B6E928F" w14:textId="77777777" w:rsidTr="00475945">
        <w:tc>
          <w:tcPr>
            <w:tcW w:w="0" w:type="auto"/>
            <w:vMerge/>
            <w:tcBorders>
              <w:top w:val="single" w:sz="6" w:space="0" w:color="auto"/>
              <w:left w:val="single" w:sz="6" w:space="0" w:color="auto"/>
              <w:bottom w:val="nil"/>
              <w:right w:val="nil"/>
            </w:tcBorders>
            <w:shd w:val="clear" w:color="auto" w:fill="auto"/>
            <w:vAlign w:val="center"/>
            <w:hideMark/>
          </w:tcPr>
          <w:p w14:paraId="742FD930" w14:textId="77777777" w:rsidR="00FC4BA0" w:rsidRPr="007D03F5" w:rsidRDefault="00FC4BA0" w:rsidP="00475945">
            <w:pPr>
              <w:pStyle w:val="Pro-Inwest"/>
              <w:jc w:val="both"/>
              <w:rPr>
                <w:rFonts w:asciiTheme="minorHAnsi" w:hAnsiTheme="minorHAnsi"/>
                <w:sz w:val="16"/>
                <w:szCs w:val="16"/>
                <w:lang w:eastAsia="pl-PL"/>
              </w:rPr>
            </w:pPr>
          </w:p>
        </w:tc>
        <w:tc>
          <w:tcPr>
            <w:tcW w:w="0" w:type="auto"/>
            <w:vMerge/>
            <w:tcBorders>
              <w:top w:val="single" w:sz="6" w:space="0" w:color="auto"/>
              <w:left w:val="single" w:sz="6" w:space="0" w:color="auto"/>
              <w:bottom w:val="nil"/>
              <w:right w:val="nil"/>
            </w:tcBorders>
            <w:shd w:val="clear" w:color="auto" w:fill="auto"/>
            <w:vAlign w:val="center"/>
            <w:hideMark/>
          </w:tcPr>
          <w:p w14:paraId="6AABF661" w14:textId="77777777" w:rsidR="00FC4BA0" w:rsidRPr="007D03F5" w:rsidRDefault="00FC4BA0" w:rsidP="00475945">
            <w:pPr>
              <w:pStyle w:val="Pro-Inwest"/>
              <w:jc w:val="both"/>
              <w:rPr>
                <w:rFonts w:asciiTheme="minorHAnsi" w:hAnsiTheme="minorHAnsi"/>
                <w:sz w:val="16"/>
                <w:szCs w:val="16"/>
                <w:lang w:eastAsia="pl-PL"/>
              </w:rPr>
            </w:pPr>
          </w:p>
        </w:tc>
        <w:tc>
          <w:tcPr>
            <w:tcW w:w="0" w:type="auto"/>
            <w:vMerge/>
            <w:tcBorders>
              <w:top w:val="single" w:sz="6" w:space="0" w:color="auto"/>
              <w:left w:val="single" w:sz="6" w:space="0" w:color="auto"/>
              <w:bottom w:val="nil"/>
              <w:right w:val="nil"/>
            </w:tcBorders>
            <w:shd w:val="clear" w:color="auto" w:fill="auto"/>
            <w:vAlign w:val="center"/>
            <w:hideMark/>
          </w:tcPr>
          <w:p w14:paraId="6217CF76" w14:textId="77777777" w:rsidR="00FC4BA0" w:rsidRPr="007D03F5" w:rsidRDefault="00FC4BA0" w:rsidP="00475945">
            <w:pPr>
              <w:pStyle w:val="Pro-Inwest"/>
              <w:jc w:val="both"/>
              <w:rPr>
                <w:rFonts w:asciiTheme="minorHAnsi" w:hAnsiTheme="minorHAnsi"/>
                <w:sz w:val="16"/>
                <w:szCs w:val="16"/>
                <w:lang w:eastAsia="pl-PL"/>
              </w:rPr>
            </w:pPr>
          </w:p>
        </w:tc>
        <w:tc>
          <w:tcPr>
            <w:tcW w:w="1171" w:type="dxa"/>
            <w:tcBorders>
              <w:top w:val="nil"/>
              <w:left w:val="single" w:sz="6" w:space="0" w:color="auto"/>
              <w:bottom w:val="nil"/>
              <w:right w:val="single" w:sz="6" w:space="0" w:color="auto"/>
            </w:tcBorders>
            <w:shd w:val="clear" w:color="auto" w:fill="auto"/>
            <w:noWrap/>
            <w:tcMar>
              <w:top w:w="0" w:type="dxa"/>
              <w:left w:w="70" w:type="dxa"/>
              <w:bottom w:w="0" w:type="dxa"/>
              <w:right w:w="70" w:type="dxa"/>
            </w:tcMar>
            <w:hideMark/>
          </w:tcPr>
          <w:p w14:paraId="467ED51B" w14:textId="77777777" w:rsidR="00FC4BA0" w:rsidRPr="007D03F5" w:rsidRDefault="00FC4BA0" w:rsidP="00475945">
            <w:pPr>
              <w:pStyle w:val="Pro-Inwest"/>
              <w:jc w:val="both"/>
              <w:rPr>
                <w:rFonts w:asciiTheme="minorHAnsi" w:hAnsiTheme="minorHAnsi"/>
                <w:sz w:val="16"/>
                <w:szCs w:val="16"/>
                <w:lang w:eastAsia="pl-PL"/>
              </w:rPr>
            </w:pPr>
            <w:proofErr w:type="spellStart"/>
            <w:r w:rsidRPr="007D03F5">
              <w:rPr>
                <w:rFonts w:asciiTheme="minorHAnsi" w:hAnsiTheme="minorHAnsi"/>
                <w:sz w:val="16"/>
                <w:szCs w:val="16"/>
                <w:lang w:eastAsia="pl-PL"/>
              </w:rPr>
              <w:t>cienkowars</w:t>
            </w:r>
            <w:proofErr w:type="spellEnd"/>
            <w:r w:rsidRPr="007D03F5">
              <w:rPr>
                <w:rFonts w:asciiTheme="minorHAnsi" w:hAnsiTheme="minorHAnsi"/>
                <w:sz w:val="16"/>
                <w:szCs w:val="16"/>
                <w:lang w:eastAsia="pl-PL"/>
              </w:rPr>
              <w:t>-</w:t>
            </w:r>
          </w:p>
          <w:p w14:paraId="0AC25496" w14:textId="77777777" w:rsidR="00FC4BA0" w:rsidRPr="007D03F5" w:rsidRDefault="00FC4BA0" w:rsidP="00475945">
            <w:pPr>
              <w:pStyle w:val="Pro-Inwest"/>
              <w:jc w:val="both"/>
              <w:rPr>
                <w:rFonts w:asciiTheme="minorHAnsi" w:hAnsiTheme="minorHAnsi"/>
                <w:sz w:val="16"/>
                <w:szCs w:val="16"/>
                <w:lang w:eastAsia="pl-PL"/>
              </w:rPr>
            </w:pPr>
            <w:proofErr w:type="spellStart"/>
            <w:r w:rsidRPr="007D03F5">
              <w:rPr>
                <w:rFonts w:asciiTheme="minorHAnsi" w:hAnsiTheme="minorHAnsi"/>
                <w:sz w:val="16"/>
                <w:szCs w:val="16"/>
                <w:lang w:eastAsia="pl-PL"/>
              </w:rPr>
              <w:t>twowego</w:t>
            </w:r>
            <w:proofErr w:type="spellEnd"/>
          </w:p>
        </w:tc>
        <w:tc>
          <w:tcPr>
            <w:tcW w:w="1161" w:type="dxa"/>
            <w:tcBorders>
              <w:top w:val="single" w:sz="6" w:space="0" w:color="auto"/>
              <w:left w:val="nil"/>
              <w:bottom w:val="nil"/>
              <w:right w:val="single" w:sz="6" w:space="0" w:color="auto"/>
            </w:tcBorders>
            <w:shd w:val="clear" w:color="auto" w:fill="auto"/>
            <w:noWrap/>
            <w:tcMar>
              <w:top w:w="0" w:type="dxa"/>
              <w:left w:w="70" w:type="dxa"/>
              <w:bottom w:w="0" w:type="dxa"/>
              <w:right w:w="70" w:type="dxa"/>
            </w:tcMar>
            <w:hideMark/>
          </w:tcPr>
          <w:p w14:paraId="5C33C7EC" w14:textId="77777777" w:rsidR="00FC4BA0" w:rsidRPr="007D03F5" w:rsidRDefault="00FC4BA0" w:rsidP="00475945">
            <w:pPr>
              <w:pStyle w:val="Pro-Inwest"/>
              <w:jc w:val="both"/>
              <w:rPr>
                <w:rFonts w:asciiTheme="minorHAnsi" w:hAnsiTheme="minorHAnsi"/>
                <w:sz w:val="16"/>
                <w:szCs w:val="16"/>
                <w:lang w:eastAsia="pl-PL"/>
              </w:rPr>
            </w:pPr>
            <w:proofErr w:type="spellStart"/>
            <w:r w:rsidRPr="007D03F5">
              <w:rPr>
                <w:rFonts w:asciiTheme="minorHAnsi" w:hAnsiTheme="minorHAnsi"/>
                <w:sz w:val="16"/>
                <w:szCs w:val="16"/>
                <w:lang w:eastAsia="pl-PL"/>
              </w:rPr>
              <w:t>grubowars</w:t>
            </w:r>
            <w:proofErr w:type="spellEnd"/>
            <w:r w:rsidRPr="007D03F5">
              <w:rPr>
                <w:rFonts w:asciiTheme="minorHAnsi" w:hAnsiTheme="minorHAnsi"/>
                <w:sz w:val="16"/>
                <w:szCs w:val="16"/>
                <w:lang w:eastAsia="pl-PL"/>
              </w:rPr>
              <w:t>-</w:t>
            </w:r>
          </w:p>
          <w:p w14:paraId="498982DF" w14:textId="77777777" w:rsidR="00FC4BA0" w:rsidRPr="007D03F5" w:rsidRDefault="00FC4BA0" w:rsidP="00475945">
            <w:pPr>
              <w:pStyle w:val="Pro-Inwest"/>
              <w:jc w:val="both"/>
              <w:rPr>
                <w:rFonts w:asciiTheme="minorHAnsi" w:hAnsiTheme="minorHAnsi"/>
                <w:sz w:val="16"/>
                <w:szCs w:val="16"/>
                <w:lang w:eastAsia="pl-PL"/>
              </w:rPr>
            </w:pPr>
            <w:proofErr w:type="spellStart"/>
            <w:r w:rsidRPr="007D03F5">
              <w:rPr>
                <w:rFonts w:asciiTheme="minorHAnsi" w:hAnsiTheme="minorHAnsi"/>
                <w:sz w:val="16"/>
                <w:szCs w:val="16"/>
                <w:lang w:eastAsia="pl-PL"/>
              </w:rPr>
              <w:t>twowego</w:t>
            </w:r>
            <w:proofErr w:type="spellEnd"/>
          </w:p>
        </w:tc>
      </w:tr>
      <w:tr w:rsidR="007D03F5" w:rsidRPr="007D03F5" w14:paraId="49FFB549" w14:textId="77777777" w:rsidTr="00475945">
        <w:tc>
          <w:tcPr>
            <w:tcW w:w="496" w:type="dxa"/>
            <w:tcBorders>
              <w:top w:val="double" w:sz="6" w:space="0" w:color="auto"/>
              <w:left w:val="single" w:sz="6" w:space="0" w:color="auto"/>
              <w:bottom w:val="single" w:sz="6" w:space="0" w:color="auto"/>
              <w:right w:val="single" w:sz="6" w:space="0" w:color="auto"/>
            </w:tcBorders>
            <w:shd w:val="clear" w:color="auto" w:fill="auto"/>
            <w:noWrap/>
            <w:tcMar>
              <w:top w:w="0" w:type="dxa"/>
              <w:left w:w="70" w:type="dxa"/>
              <w:bottom w:w="0" w:type="dxa"/>
              <w:right w:w="70" w:type="dxa"/>
            </w:tcMar>
            <w:hideMark/>
          </w:tcPr>
          <w:p w14:paraId="1BF940D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1</w:t>
            </w:r>
          </w:p>
        </w:tc>
        <w:tc>
          <w:tcPr>
            <w:tcW w:w="3402" w:type="dxa"/>
            <w:tcBorders>
              <w:top w:val="double" w:sz="6" w:space="0" w:color="auto"/>
              <w:left w:val="nil"/>
              <w:bottom w:val="single" w:sz="6" w:space="0" w:color="auto"/>
              <w:right w:val="single" w:sz="6" w:space="0" w:color="auto"/>
            </w:tcBorders>
            <w:shd w:val="clear" w:color="auto" w:fill="auto"/>
            <w:noWrap/>
            <w:tcMar>
              <w:top w:w="0" w:type="dxa"/>
              <w:left w:w="70" w:type="dxa"/>
              <w:bottom w:w="0" w:type="dxa"/>
              <w:right w:w="70" w:type="dxa"/>
            </w:tcMar>
            <w:hideMark/>
          </w:tcPr>
          <w:p w14:paraId="4439E148"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Zawartość składników lotnych w materiałach do znakowania</w:t>
            </w:r>
          </w:p>
          <w:p w14:paraId="7B846B2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rozpuszczalników organicznych</w:t>
            </w:r>
          </w:p>
          <w:p w14:paraId="2210D6B9"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rozpuszczalników aromatycznych</w:t>
            </w:r>
          </w:p>
          <w:p w14:paraId="7B0A395E"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benzenu i rozpuszczalników  </w:t>
            </w:r>
          </w:p>
          <w:p w14:paraId="5247B3E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chlorowanych</w:t>
            </w:r>
          </w:p>
        </w:tc>
        <w:tc>
          <w:tcPr>
            <w:tcW w:w="1275" w:type="dxa"/>
            <w:tcBorders>
              <w:top w:val="double" w:sz="6" w:space="0" w:color="auto"/>
              <w:left w:val="nil"/>
              <w:bottom w:val="single" w:sz="6" w:space="0" w:color="auto"/>
              <w:right w:val="single" w:sz="6" w:space="0" w:color="auto"/>
            </w:tcBorders>
            <w:shd w:val="clear" w:color="auto" w:fill="auto"/>
            <w:noWrap/>
            <w:tcMar>
              <w:top w:w="0" w:type="dxa"/>
              <w:left w:w="70" w:type="dxa"/>
              <w:bottom w:w="0" w:type="dxa"/>
              <w:right w:w="70" w:type="dxa"/>
            </w:tcMar>
            <w:hideMark/>
          </w:tcPr>
          <w:p w14:paraId="23CD5600"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1768F08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2FDF48AD"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(m/m)</w:t>
            </w:r>
          </w:p>
          <w:p w14:paraId="23F3D71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(m/m)</w:t>
            </w:r>
          </w:p>
          <w:p w14:paraId="5C8F3058"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(m/m)</w:t>
            </w:r>
          </w:p>
        </w:tc>
        <w:tc>
          <w:tcPr>
            <w:tcW w:w="1171" w:type="dxa"/>
            <w:tcBorders>
              <w:top w:val="double" w:sz="6" w:space="0" w:color="auto"/>
              <w:left w:val="nil"/>
              <w:bottom w:val="single" w:sz="6" w:space="0" w:color="auto"/>
              <w:right w:val="single" w:sz="6" w:space="0" w:color="auto"/>
            </w:tcBorders>
            <w:shd w:val="clear" w:color="auto" w:fill="auto"/>
            <w:noWrap/>
            <w:tcMar>
              <w:top w:w="0" w:type="dxa"/>
              <w:left w:w="70" w:type="dxa"/>
              <w:bottom w:w="0" w:type="dxa"/>
              <w:right w:w="70" w:type="dxa"/>
            </w:tcMar>
            <w:hideMark/>
          </w:tcPr>
          <w:p w14:paraId="7C3E9980"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0893B52C"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2599FB3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30</w:t>
            </w:r>
          </w:p>
          <w:p w14:paraId="1F47BA49"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10</w:t>
            </w:r>
          </w:p>
          <w:p w14:paraId="1DC250AC"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w:t>
            </w:r>
          </w:p>
        </w:tc>
        <w:tc>
          <w:tcPr>
            <w:tcW w:w="1161" w:type="dxa"/>
            <w:tcBorders>
              <w:top w:val="double" w:sz="6" w:space="0" w:color="auto"/>
              <w:left w:val="nil"/>
              <w:bottom w:val="single" w:sz="6" w:space="0" w:color="auto"/>
              <w:right w:val="single" w:sz="6" w:space="0" w:color="auto"/>
            </w:tcBorders>
            <w:shd w:val="clear" w:color="auto" w:fill="auto"/>
            <w:noWrap/>
            <w:tcMar>
              <w:top w:w="0" w:type="dxa"/>
              <w:left w:w="70" w:type="dxa"/>
              <w:bottom w:w="0" w:type="dxa"/>
              <w:right w:w="70" w:type="dxa"/>
            </w:tcMar>
            <w:hideMark/>
          </w:tcPr>
          <w:p w14:paraId="429D9B45"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335A762A"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307409C4"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2</w:t>
            </w:r>
          </w:p>
          <w:p w14:paraId="6EA77C3E"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w:t>
            </w:r>
          </w:p>
          <w:p w14:paraId="2A5640C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0</w:t>
            </w:r>
          </w:p>
        </w:tc>
      </w:tr>
      <w:tr w:rsidR="007D03F5" w:rsidRPr="007D03F5" w14:paraId="2F4DADB6" w14:textId="77777777" w:rsidTr="00475945">
        <w:tc>
          <w:tcPr>
            <w:tcW w:w="496" w:type="dxa"/>
            <w:tcBorders>
              <w:top w:val="nil"/>
              <w:left w:val="single" w:sz="6" w:space="0" w:color="auto"/>
              <w:bottom w:val="single" w:sz="6" w:space="0" w:color="auto"/>
              <w:right w:val="single" w:sz="6" w:space="0" w:color="auto"/>
            </w:tcBorders>
            <w:shd w:val="clear" w:color="auto" w:fill="auto"/>
            <w:noWrap/>
            <w:tcMar>
              <w:top w:w="0" w:type="dxa"/>
              <w:left w:w="70" w:type="dxa"/>
              <w:bottom w:w="0" w:type="dxa"/>
              <w:right w:w="70" w:type="dxa"/>
            </w:tcMar>
            <w:hideMark/>
          </w:tcPr>
          <w:p w14:paraId="71DA84B0"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2</w:t>
            </w:r>
          </w:p>
        </w:tc>
        <w:tc>
          <w:tcPr>
            <w:tcW w:w="3402"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6721459A"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Współczynnik załamania światła kulek szklanych</w:t>
            </w:r>
          </w:p>
        </w:tc>
        <w:tc>
          <w:tcPr>
            <w:tcW w:w="1275"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027813EB" w14:textId="77777777" w:rsidR="00FC4BA0" w:rsidRPr="007D03F5" w:rsidRDefault="00FC4BA0" w:rsidP="00475945">
            <w:pPr>
              <w:pStyle w:val="Pro-Inwest"/>
              <w:jc w:val="both"/>
              <w:rPr>
                <w:rFonts w:asciiTheme="minorHAnsi" w:hAnsiTheme="minorHAnsi"/>
                <w:sz w:val="16"/>
                <w:szCs w:val="16"/>
                <w:lang w:eastAsia="pl-PL"/>
              </w:rPr>
            </w:pPr>
            <w:proofErr w:type="spellStart"/>
            <w:r w:rsidRPr="007D03F5">
              <w:rPr>
                <w:rFonts w:asciiTheme="minorHAnsi" w:hAnsiTheme="minorHAnsi"/>
                <w:sz w:val="16"/>
                <w:szCs w:val="16"/>
                <w:lang w:eastAsia="pl-PL"/>
              </w:rPr>
              <w:t>współcz</w:t>
            </w:r>
            <w:proofErr w:type="spellEnd"/>
            <w:r w:rsidRPr="007D03F5">
              <w:rPr>
                <w:rFonts w:asciiTheme="minorHAnsi" w:hAnsiTheme="minorHAnsi"/>
                <w:sz w:val="16"/>
                <w:szCs w:val="16"/>
                <w:lang w:eastAsia="pl-PL"/>
              </w:rPr>
              <w:t>.</w:t>
            </w:r>
          </w:p>
        </w:tc>
        <w:tc>
          <w:tcPr>
            <w:tcW w:w="117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53A0D238"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1,5</w:t>
            </w:r>
          </w:p>
        </w:tc>
        <w:tc>
          <w:tcPr>
            <w:tcW w:w="116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5BADA2DC"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1,5</w:t>
            </w:r>
          </w:p>
        </w:tc>
      </w:tr>
      <w:tr w:rsidR="007D03F5" w:rsidRPr="007D03F5" w14:paraId="7AE68C41" w14:textId="77777777" w:rsidTr="00475945">
        <w:tc>
          <w:tcPr>
            <w:tcW w:w="496" w:type="dxa"/>
            <w:tcBorders>
              <w:top w:val="nil"/>
              <w:left w:val="single" w:sz="6" w:space="0" w:color="auto"/>
              <w:bottom w:val="single" w:sz="6" w:space="0" w:color="auto"/>
              <w:right w:val="single" w:sz="6" w:space="0" w:color="auto"/>
            </w:tcBorders>
            <w:shd w:val="clear" w:color="auto" w:fill="auto"/>
            <w:noWrap/>
            <w:tcMar>
              <w:top w:w="0" w:type="dxa"/>
              <w:left w:w="70" w:type="dxa"/>
              <w:bottom w:w="0" w:type="dxa"/>
              <w:right w:w="70" w:type="dxa"/>
            </w:tcMar>
            <w:hideMark/>
          </w:tcPr>
          <w:p w14:paraId="520DE62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3</w:t>
            </w:r>
          </w:p>
        </w:tc>
        <w:tc>
          <w:tcPr>
            <w:tcW w:w="3402"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7A432122"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Współczynnik luminancji Q w świetle rozproszonym dla oznakowania świeżego barwy:</w:t>
            </w:r>
          </w:p>
          <w:p w14:paraId="7C5B13AD"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białej na nawierzchni asfaltowej</w:t>
            </w:r>
          </w:p>
          <w:p w14:paraId="4D0EDDA4"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żółtej</w:t>
            </w:r>
          </w:p>
        </w:tc>
        <w:tc>
          <w:tcPr>
            <w:tcW w:w="1275"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4E59B7EA"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62F175F4"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64470BB2"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1498A7C0"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p>
          <w:p w14:paraId="3F681C6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p>
        </w:tc>
        <w:tc>
          <w:tcPr>
            <w:tcW w:w="117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1817A432"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5E02CBC8"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2C50ABA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2DD5B9AD"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130</w:t>
            </w:r>
          </w:p>
          <w:p w14:paraId="7B40E86D"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100</w:t>
            </w:r>
          </w:p>
        </w:tc>
        <w:tc>
          <w:tcPr>
            <w:tcW w:w="116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0421A1DA"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194ACC3D"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658A01CC"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7A73CD7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130</w:t>
            </w:r>
          </w:p>
          <w:p w14:paraId="479D5C3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100</w:t>
            </w:r>
          </w:p>
        </w:tc>
      </w:tr>
      <w:tr w:rsidR="007D03F5" w:rsidRPr="007D03F5" w14:paraId="14458D80" w14:textId="77777777" w:rsidTr="00475945">
        <w:tc>
          <w:tcPr>
            <w:tcW w:w="496" w:type="dxa"/>
            <w:tcBorders>
              <w:top w:val="nil"/>
              <w:left w:val="single" w:sz="6" w:space="0" w:color="auto"/>
              <w:bottom w:val="single" w:sz="6" w:space="0" w:color="auto"/>
              <w:right w:val="single" w:sz="6" w:space="0" w:color="auto"/>
            </w:tcBorders>
            <w:shd w:val="clear" w:color="auto" w:fill="auto"/>
            <w:noWrap/>
            <w:tcMar>
              <w:top w:w="0" w:type="dxa"/>
              <w:left w:w="70" w:type="dxa"/>
              <w:bottom w:w="0" w:type="dxa"/>
              <w:right w:w="70" w:type="dxa"/>
            </w:tcMar>
            <w:hideMark/>
          </w:tcPr>
          <w:p w14:paraId="799F8C40"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4</w:t>
            </w:r>
          </w:p>
        </w:tc>
        <w:tc>
          <w:tcPr>
            <w:tcW w:w="3402"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78D47027"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Współczynnik luminancji </w:t>
            </w:r>
            <w:r w:rsidRPr="007D03F5">
              <w:rPr>
                <w:rFonts w:asciiTheme="minorHAnsi" w:hAnsiTheme="minorHAnsi"/>
                <w:sz w:val="16"/>
                <w:szCs w:val="16"/>
                <w:lang w:eastAsia="pl-PL"/>
              </w:rPr>
              <w:t> dla oznakowania świeżego barwy</w:t>
            </w:r>
          </w:p>
          <w:p w14:paraId="08DF8095"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białej</w:t>
            </w:r>
          </w:p>
          <w:p w14:paraId="015483B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żółtej</w:t>
            </w:r>
          </w:p>
        </w:tc>
        <w:tc>
          <w:tcPr>
            <w:tcW w:w="1275"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224D9DB5"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16A7F243"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4405BA96" w14:textId="77777777" w:rsidR="00FC4BA0" w:rsidRPr="007D03F5" w:rsidRDefault="00FC4BA0" w:rsidP="00475945">
            <w:pPr>
              <w:pStyle w:val="Pro-Inwest"/>
              <w:jc w:val="both"/>
              <w:rPr>
                <w:rFonts w:asciiTheme="minorHAnsi" w:hAnsiTheme="minorHAnsi"/>
                <w:sz w:val="16"/>
                <w:szCs w:val="16"/>
                <w:lang w:eastAsia="pl-PL"/>
              </w:rPr>
            </w:pPr>
            <w:proofErr w:type="spellStart"/>
            <w:r w:rsidRPr="007D03F5">
              <w:rPr>
                <w:rFonts w:asciiTheme="minorHAnsi" w:hAnsiTheme="minorHAnsi"/>
                <w:sz w:val="16"/>
                <w:szCs w:val="16"/>
                <w:lang w:eastAsia="pl-PL"/>
              </w:rPr>
              <w:t>współcz</w:t>
            </w:r>
            <w:proofErr w:type="spellEnd"/>
            <w:r w:rsidRPr="007D03F5">
              <w:rPr>
                <w:rFonts w:asciiTheme="minorHAnsi" w:hAnsiTheme="minorHAnsi"/>
                <w:sz w:val="16"/>
                <w:szCs w:val="16"/>
                <w:lang w:eastAsia="pl-PL"/>
              </w:rPr>
              <w:t>. </w:t>
            </w:r>
            <w:r w:rsidRPr="007D03F5">
              <w:rPr>
                <w:rFonts w:asciiTheme="minorHAnsi" w:hAnsiTheme="minorHAnsi"/>
                <w:sz w:val="16"/>
                <w:szCs w:val="16"/>
                <w:lang w:eastAsia="pl-PL"/>
              </w:rPr>
              <w:t></w:t>
            </w:r>
          </w:p>
          <w:p w14:paraId="2AD3DE34" w14:textId="77777777" w:rsidR="00FC4BA0" w:rsidRPr="007D03F5" w:rsidRDefault="00FC4BA0" w:rsidP="00475945">
            <w:pPr>
              <w:pStyle w:val="Pro-Inwest"/>
              <w:jc w:val="both"/>
              <w:rPr>
                <w:rFonts w:asciiTheme="minorHAnsi" w:hAnsiTheme="minorHAnsi"/>
                <w:sz w:val="16"/>
                <w:szCs w:val="16"/>
                <w:lang w:eastAsia="pl-PL"/>
              </w:rPr>
            </w:pPr>
            <w:proofErr w:type="spellStart"/>
            <w:r w:rsidRPr="007D03F5">
              <w:rPr>
                <w:rFonts w:asciiTheme="minorHAnsi" w:hAnsiTheme="minorHAnsi"/>
                <w:sz w:val="16"/>
                <w:szCs w:val="16"/>
                <w:lang w:eastAsia="pl-PL"/>
              </w:rPr>
              <w:t>współcz</w:t>
            </w:r>
            <w:proofErr w:type="spellEnd"/>
            <w:r w:rsidRPr="007D03F5">
              <w:rPr>
                <w:rFonts w:asciiTheme="minorHAnsi" w:hAnsiTheme="minorHAnsi"/>
                <w:sz w:val="16"/>
                <w:szCs w:val="16"/>
                <w:lang w:eastAsia="pl-PL"/>
              </w:rPr>
              <w:t>. </w:t>
            </w:r>
            <w:r w:rsidRPr="007D03F5">
              <w:rPr>
                <w:rFonts w:asciiTheme="minorHAnsi" w:hAnsiTheme="minorHAnsi"/>
                <w:sz w:val="16"/>
                <w:szCs w:val="16"/>
                <w:lang w:eastAsia="pl-PL"/>
              </w:rPr>
              <w:t></w:t>
            </w:r>
          </w:p>
        </w:tc>
        <w:tc>
          <w:tcPr>
            <w:tcW w:w="117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1D003A9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2CD5B569"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1D9D5A35"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0,60</w:t>
            </w:r>
          </w:p>
          <w:p w14:paraId="389A6DA9"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0,40</w:t>
            </w:r>
          </w:p>
        </w:tc>
        <w:tc>
          <w:tcPr>
            <w:tcW w:w="116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176DAE09"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65BA473D"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364BE34D"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0,60</w:t>
            </w:r>
          </w:p>
          <w:p w14:paraId="185BC948"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0,40</w:t>
            </w:r>
          </w:p>
        </w:tc>
      </w:tr>
      <w:tr w:rsidR="007D03F5" w:rsidRPr="007D03F5" w14:paraId="666BAF2E" w14:textId="77777777" w:rsidTr="00475945">
        <w:tc>
          <w:tcPr>
            <w:tcW w:w="496" w:type="dxa"/>
            <w:tcBorders>
              <w:top w:val="nil"/>
              <w:left w:val="single" w:sz="6" w:space="0" w:color="auto"/>
              <w:bottom w:val="single" w:sz="6" w:space="0" w:color="auto"/>
              <w:right w:val="single" w:sz="6" w:space="0" w:color="auto"/>
            </w:tcBorders>
            <w:shd w:val="clear" w:color="auto" w:fill="auto"/>
            <w:noWrap/>
            <w:tcMar>
              <w:top w:w="0" w:type="dxa"/>
              <w:left w:w="70" w:type="dxa"/>
              <w:bottom w:w="0" w:type="dxa"/>
              <w:right w:w="70" w:type="dxa"/>
            </w:tcMar>
            <w:hideMark/>
          </w:tcPr>
          <w:p w14:paraId="4B521FC5"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5</w:t>
            </w:r>
          </w:p>
        </w:tc>
        <w:tc>
          <w:tcPr>
            <w:tcW w:w="3402"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2899B238"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Powierzchniowy współczynnik odblasku dla oznakowania świeżego w stanie suchym barwy:</w:t>
            </w:r>
          </w:p>
          <w:p w14:paraId="2B56C62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 białej</w:t>
            </w:r>
          </w:p>
          <w:p w14:paraId="3AFD1F7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żółtej</w:t>
            </w:r>
          </w:p>
        </w:tc>
        <w:tc>
          <w:tcPr>
            <w:tcW w:w="1275"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1BACC26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 </w:t>
            </w:r>
          </w:p>
          <w:p w14:paraId="4DAB407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3DD4D48C"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 </w:t>
            </w:r>
          </w:p>
          <w:p w14:paraId="28EAC4FE"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p>
          <w:p w14:paraId="51941EB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mcd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lx</w:t>
            </w:r>
            <w:r w:rsidRPr="007D03F5">
              <w:rPr>
                <w:rFonts w:asciiTheme="minorHAnsi" w:hAnsiTheme="minorHAnsi"/>
                <w:sz w:val="16"/>
                <w:szCs w:val="16"/>
                <w:vertAlign w:val="superscript"/>
                <w:lang w:eastAsia="pl-PL"/>
              </w:rPr>
              <w:t>-1</w:t>
            </w:r>
          </w:p>
        </w:tc>
        <w:tc>
          <w:tcPr>
            <w:tcW w:w="117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3A6B0F2C"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 </w:t>
            </w:r>
          </w:p>
          <w:p w14:paraId="3831E9C5"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6DE1FBC9"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 </w:t>
            </w:r>
          </w:p>
          <w:p w14:paraId="11854A54"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300</w:t>
            </w:r>
          </w:p>
          <w:p w14:paraId="4181392E"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200</w:t>
            </w:r>
          </w:p>
        </w:tc>
        <w:tc>
          <w:tcPr>
            <w:tcW w:w="116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157B6A30"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 </w:t>
            </w:r>
          </w:p>
          <w:p w14:paraId="3AA56A10"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76E2AB3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 </w:t>
            </w:r>
          </w:p>
          <w:p w14:paraId="70D07C0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300</w:t>
            </w:r>
          </w:p>
          <w:p w14:paraId="093236C4"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200</w:t>
            </w:r>
          </w:p>
        </w:tc>
      </w:tr>
      <w:tr w:rsidR="007D03F5" w:rsidRPr="007D03F5" w14:paraId="1253EB7D" w14:textId="77777777" w:rsidTr="00475945">
        <w:tc>
          <w:tcPr>
            <w:tcW w:w="496" w:type="dxa"/>
            <w:tcBorders>
              <w:top w:val="nil"/>
              <w:left w:val="single" w:sz="6" w:space="0" w:color="auto"/>
              <w:bottom w:val="single" w:sz="6" w:space="0" w:color="auto"/>
              <w:right w:val="single" w:sz="6" w:space="0" w:color="auto"/>
            </w:tcBorders>
            <w:shd w:val="clear" w:color="auto" w:fill="auto"/>
            <w:noWrap/>
            <w:tcMar>
              <w:top w:w="0" w:type="dxa"/>
              <w:left w:w="70" w:type="dxa"/>
              <w:bottom w:w="0" w:type="dxa"/>
              <w:right w:w="70" w:type="dxa"/>
            </w:tcMar>
            <w:hideMark/>
          </w:tcPr>
          <w:p w14:paraId="4C2C5778"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lastRenderedPageBreak/>
              <w:t>6</w:t>
            </w:r>
          </w:p>
        </w:tc>
        <w:tc>
          <w:tcPr>
            <w:tcW w:w="3402"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5C2475AD"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Szorstkość oznakowania</w:t>
            </w:r>
          </w:p>
          <w:p w14:paraId="7DC35AF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świeżego</w:t>
            </w:r>
          </w:p>
          <w:p w14:paraId="4A84BB5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używanego (po 3 mies.)</w:t>
            </w:r>
          </w:p>
        </w:tc>
        <w:tc>
          <w:tcPr>
            <w:tcW w:w="1275"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61151409"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wskaźnik</w:t>
            </w:r>
          </w:p>
          <w:p w14:paraId="00AE860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SRT</w:t>
            </w:r>
          </w:p>
          <w:p w14:paraId="4258451C"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SRT</w:t>
            </w:r>
          </w:p>
        </w:tc>
        <w:tc>
          <w:tcPr>
            <w:tcW w:w="117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4F600E1A"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3309D2F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50</w:t>
            </w:r>
          </w:p>
          <w:p w14:paraId="1AEF0734"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45</w:t>
            </w:r>
          </w:p>
        </w:tc>
        <w:tc>
          <w:tcPr>
            <w:tcW w:w="116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5EF41594"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54ECB7BD"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50</w:t>
            </w:r>
          </w:p>
          <w:p w14:paraId="1851B9DC"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45</w:t>
            </w:r>
          </w:p>
        </w:tc>
      </w:tr>
      <w:tr w:rsidR="007D03F5" w:rsidRPr="007D03F5" w14:paraId="29A17806" w14:textId="77777777" w:rsidTr="00475945">
        <w:tc>
          <w:tcPr>
            <w:tcW w:w="496" w:type="dxa"/>
            <w:tcBorders>
              <w:top w:val="nil"/>
              <w:left w:val="single" w:sz="6" w:space="0" w:color="auto"/>
              <w:bottom w:val="single" w:sz="6" w:space="0" w:color="auto"/>
              <w:right w:val="single" w:sz="6" w:space="0" w:color="auto"/>
            </w:tcBorders>
            <w:shd w:val="clear" w:color="auto" w:fill="auto"/>
            <w:noWrap/>
            <w:tcMar>
              <w:top w:w="0" w:type="dxa"/>
              <w:left w:w="70" w:type="dxa"/>
              <w:bottom w:w="0" w:type="dxa"/>
              <w:right w:w="70" w:type="dxa"/>
            </w:tcMar>
            <w:hideMark/>
          </w:tcPr>
          <w:p w14:paraId="387DE79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7</w:t>
            </w:r>
          </w:p>
        </w:tc>
        <w:tc>
          <w:tcPr>
            <w:tcW w:w="3402"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512A42C7"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Trwałość oznakowania wykonanego:</w:t>
            </w:r>
          </w:p>
          <w:p w14:paraId="5D50AB9A"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farbami wodorozcieńczalnymi</w:t>
            </w:r>
          </w:p>
          <w:p w14:paraId="7AD40E94"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pozostałymi materiałami</w:t>
            </w:r>
          </w:p>
        </w:tc>
        <w:tc>
          <w:tcPr>
            <w:tcW w:w="1275"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34404997"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2153E938"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wskaźnik</w:t>
            </w:r>
          </w:p>
          <w:p w14:paraId="2B26C823"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wskaźnik</w:t>
            </w:r>
          </w:p>
        </w:tc>
        <w:tc>
          <w:tcPr>
            <w:tcW w:w="117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09D8A270"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56DC4D3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5</w:t>
            </w:r>
          </w:p>
          <w:p w14:paraId="5C8C4A5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6</w:t>
            </w:r>
          </w:p>
        </w:tc>
        <w:tc>
          <w:tcPr>
            <w:tcW w:w="116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0D0BFCDD"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1FF0724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5</w:t>
            </w:r>
          </w:p>
          <w:p w14:paraId="665D7013"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6</w:t>
            </w:r>
          </w:p>
        </w:tc>
      </w:tr>
      <w:tr w:rsidR="007D03F5" w:rsidRPr="007D03F5" w14:paraId="1C8B38D2" w14:textId="77777777" w:rsidTr="00475945">
        <w:tc>
          <w:tcPr>
            <w:tcW w:w="496" w:type="dxa"/>
            <w:tcBorders>
              <w:top w:val="nil"/>
              <w:left w:val="single" w:sz="6" w:space="0" w:color="auto"/>
              <w:bottom w:val="single" w:sz="6" w:space="0" w:color="auto"/>
              <w:right w:val="single" w:sz="6" w:space="0" w:color="auto"/>
            </w:tcBorders>
            <w:shd w:val="clear" w:color="auto" w:fill="auto"/>
            <w:noWrap/>
            <w:tcMar>
              <w:top w:w="0" w:type="dxa"/>
              <w:left w:w="70" w:type="dxa"/>
              <w:bottom w:w="0" w:type="dxa"/>
              <w:right w:w="70" w:type="dxa"/>
            </w:tcMar>
            <w:hideMark/>
          </w:tcPr>
          <w:p w14:paraId="32863FF8"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8</w:t>
            </w:r>
          </w:p>
        </w:tc>
        <w:tc>
          <w:tcPr>
            <w:tcW w:w="3402"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6350D300"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Czas schnięcia materiału na nawierzchni</w:t>
            </w:r>
          </w:p>
        </w:tc>
        <w:tc>
          <w:tcPr>
            <w:tcW w:w="1275"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2EBB92E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h</w:t>
            </w:r>
          </w:p>
        </w:tc>
        <w:tc>
          <w:tcPr>
            <w:tcW w:w="117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6CFF4A9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2</w:t>
            </w:r>
          </w:p>
        </w:tc>
        <w:tc>
          <w:tcPr>
            <w:tcW w:w="116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18DE205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2</w:t>
            </w:r>
          </w:p>
        </w:tc>
      </w:tr>
      <w:tr w:rsidR="007D03F5" w:rsidRPr="007D03F5" w14:paraId="3C71905C" w14:textId="77777777" w:rsidTr="00475945">
        <w:tc>
          <w:tcPr>
            <w:tcW w:w="496" w:type="dxa"/>
            <w:tcBorders>
              <w:top w:val="nil"/>
              <w:left w:val="single" w:sz="6" w:space="0" w:color="auto"/>
              <w:bottom w:val="single" w:sz="6" w:space="0" w:color="auto"/>
              <w:right w:val="single" w:sz="6" w:space="0" w:color="auto"/>
            </w:tcBorders>
            <w:shd w:val="clear" w:color="auto" w:fill="auto"/>
            <w:noWrap/>
            <w:tcMar>
              <w:top w:w="0" w:type="dxa"/>
              <w:left w:w="70" w:type="dxa"/>
              <w:bottom w:w="0" w:type="dxa"/>
              <w:right w:w="70" w:type="dxa"/>
            </w:tcMar>
            <w:hideMark/>
          </w:tcPr>
          <w:p w14:paraId="240F7EE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9</w:t>
            </w:r>
          </w:p>
        </w:tc>
        <w:tc>
          <w:tcPr>
            <w:tcW w:w="3402"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0183F049"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Grubość oznakowania nad powierzchnią nawierzchni</w:t>
            </w:r>
          </w:p>
          <w:p w14:paraId="3DA5D2D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bez </w:t>
            </w:r>
            <w:proofErr w:type="spellStart"/>
            <w:r w:rsidRPr="007D03F5">
              <w:rPr>
                <w:rFonts w:asciiTheme="minorHAnsi" w:hAnsiTheme="minorHAnsi"/>
                <w:sz w:val="16"/>
                <w:szCs w:val="16"/>
                <w:lang w:eastAsia="pl-PL"/>
              </w:rPr>
              <w:t>mikrokulek</w:t>
            </w:r>
            <w:proofErr w:type="spellEnd"/>
            <w:r w:rsidRPr="007D03F5">
              <w:rPr>
                <w:rFonts w:asciiTheme="minorHAnsi" w:hAnsiTheme="minorHAnsi"/>
                <w:sz w:val="16"/>
                <w:szCs w:val="16"/>
                <w:lang w:eastAsia="pl-PL"/>
              </w:rPr>
              <w:t xml:space="preserve"> szklanych</w:t>
            </w:r>
          </w:p>
          <w:p w14:paraId="1D97914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z </w:t>
            </w:r>
            <w:proofErr w:type="spellStart"/>
            <w:r w:rsidRPr="007D03F5">
              <w:rPr>
                <w:rFonts w:asciiTheme="minorHAnsi" w:hAnsiTheme="minorHAnsi"/>
                <w:sz w:val="16"/>
                <w:szCs w:val="16"/>
                <w:lang w:eastAsia="pl-PL"/>
              </w:rPr>
              <w:t>mikrokulkami</w:t>
            </w:r>
            <w:proofErr w:type="spellEnd"/>
            <w:r w:rsidRPr="007D03F5">
              <w:rPr>
                <w:rFonts w:asciiTheme="minorHAnsi" w:hAnsiTheme="minorHAnsi"/>
                <w:sz w:val="16"/>
                <w:szCs w:val="16"/>
                <w:lang w:eastAsia="pl-PL"/>
              </w:rPr>
              <w:t xml:space="preserve"> szklanymi</w:t>
            </w:r>
          </w:p>
        </w:tc>
        <w:tc>
          <w:tcPr>
            <w:tcW w:w="1275"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5AAC1A3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1775B0C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190AA59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m</w:t>
            </w:r>
          </w:p>
          <w:p w14:paraId="48807F81"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mm</w:t>
            </w:r>
          </w:p>
        </w:tc>
        <w:tc>
          <w:tcPr>
            <w:tcW w:w="117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04A8614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4AA91D2A"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54D0A075"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800</w:t>
            </w:r>
          </w:p>
          <w:p w14:paraId="62A89E4A"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w:t>
            </w:r>
          </w:p>
        </w:tc>
        <w:tc>
          <w:tcPr>
            <w:tcW w:w="116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79CD6B66"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589E252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4605631A"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w:t>
            </w:r>
          </w:p>
          <w:p w14:paraId="57B7ACE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5</w:t>
            </w:r>
          </w:p>
        </w:tc>
      </w:tr>
      <w:tr w:rsidR="007D03F5" w:rsidRPr="007D03F5" w14:paraId="6F678935" w14:textId="77777777" w:rsidTr="00475945">
        <w:tc>
          <w:tcPr>
            <w:tcW w:w="496" w:type="dxa"/>
            <w:tcBorders>
              <w:top w:val="nil"/>
              <w:left w:val="single" w:sz="6" w:space="0" w:color="auto"/>
              <w:bottom w:val="single" w:sz="6" w:space="0" w:color="auto"/>
              <w:right w:val="single" w:sz="6" w:space="0" w:color="auto"/>
            </w:tcBorders>
            <w:shd w:val="clear" w:color="auto" w:fill="auto"/>
            <w:noWrap/>
            <w:tcMar>
              <w:top w:w="0" w:type="dxa"/>
              <w:left w:w="70" w:type="dxa"/>
              <w:bottom w:w="0" w:type="dxa"/>
              <w:right w:w="70" w:type="dxa"/>
            </w:tcMar>
            <w:hideMark/>
          </w:tcPr>
          <w:p w14:paraId="6BBBDCD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10</w:t>
            </w:r>
          </w:p>
        </w:tc>
        <w:tc>
          <w:tcPr>
            <w:tcW w:w="3402"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2114A9A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Okres stałości właściwości materiałów do znakowania przy składowaniu</w:t>
            </w:r>
          </w:p>
        </w:tc>
        <w:tc>
          <w:tcPr>
            <w:tcW w:w="1275"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30BE563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miesięcy</w:t>
            </w:r>
          </w:p>
        </w:tc>
        <w:tc>
          <w:tcPr>
            <w:tcW w:w="117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10FF8728"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6</w:t>
            </w:r>
          </w:p>
        </w:tc>
        <w:tc>
          <w:tcPr>
            <w:tcW w:w="1161" w:type="dxa"/>
            <w:tcBorders>
              <w:top w:val="nil"/>
              <w:left w:val="nil"/>
              <w:bottom w:val="single" w:sz="6" w:space="0" w:color="auto"/>
              <w:right w:val="single" w:sz="6" w:space="0" w:color="auto"/>
            </w:tcBorders>
            <w:shd w:val="clear" w:color="auto" w:fill="auto"/>
            <w:noWrap/>
            <w:tcMar>
              <w:top w:w="0" w:type="dxa"/>
              <w:left w:w="70" w:type="dxa"/>
              <w:bottom w:w="0" w:type="dxa"/>
              <w:right w:w="70" w:type="dxa"/>
            </w:tcMar>
            <w:hideMark/>
          </w:tcPr>
          <w:p w14:paraId="35F0BBF5"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6</w:t>
            </w:r>
          </w:p>
        </w:tc>
      </w:tr>
    </w:tbl>
    <w:p w14:paraId="7207A2F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w:t>
      </w:r>
    </w:p>
    <w:p w14:paraId="2A0419E1"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6.4. Tolerancje wymiarów oznakowania</w:t>
      </w:r>
    </w:p>
    <w:p w14:paraId="7A61841B"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6.4.1.</w:t>
      </w:r>
      <w:r w:rsidRPr="007D03F5">
        <w:rPr>
          <w:rFonts w:asciiTheme="minorHAnsi" w:hAnsiTheme="minorHAnsi"/>
          <w:sz w:val="16"/>
          <w:szCs w:val="16"/>
          <w:lang w:eastAsia="pl-PL"/>
        </w:rPr>
        <w:t> Tolerancje nowo wykonanego oznakowania</w:t>
      </w:r>
    </w:p>
    <w:p w14:paraId="0A1608EE"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Tolerancje nowo wykonanego oznakowania poziomego, zgodnego z dokumentacją projektową i „Instrukcją o znakach drogowych poziomych” [3], powinny odpowiadać następującym warunkom:</w:t>
      </w:r>
    </w:p>
    <w:p w14:paraId="0A615586" w14:textId="77777777" w:rsidR="00FC4BA0" w:rsidRPr="007D03F5" w:rsidRDefault="00FC4BA0" w:rsidP="00CF52A1">
      <w:pPr>
        <w:pStyle w:val="Pro-Inwest"/>
        <w:numPr>
          <w:ilvl w:val="0"/>
          <w:numId w:val="117"/>
        </w:numPr>
        <w:jc w:val="both"/>
        <w:rPr>
          <w:rFonts w:asciiTheme="minorHAnsi" w:hAnsiTheme="minorHAnsi"/>
          <w:sz w:val="16"/>
          <w:szCs w:val="16"/>
          <w:lang w:eastAsia="pl-PL"/>
        </w:rPr>
      </w:pPr>
      <w:r w:rsidRPr="007D03F5">
        <w:rPr>
          <w:rFonts w:asciiTheme="minorHAnsi" w:hAnsiTheme="minorHAnsi"/>
          <w:sz w:val="16"/>
          <w:szCs w:val="16"/>
          <w:lang w:eastAsia="pl-PL"/>
        </w:rPr>
        <w:t>szerokość linii może różnić się od wymaganej o </w:t>
      </w:r>
      <w:r w:rsidRPr="007D03F5">
        <w:rPr>
          <w:rFonts w:asciiTheme="minorHAnsi" w:hAnsiTheme="minorHAnsi"/>
          <w:sz w:val="16"/>
          <w:szCs w:val="16"/>
          <w:lang w:eastAsia="pl-PL"/>
        </w:rPr>
        <w:t> 5 mm,</w:t>
      </w:r>
    </w:p>
    <w:p w14:paraId="531ABEF5" w14:textId="77777777" w:rsidR="00FC4BA0" w:rsidRPr="007D03F5" w:rsidRDefault="00FC4BA0" w:rsidP="00CF52A1">
      <w:pPr>
        <w:pStyle w:val="Pro-Inwest"/>
        <w:numPr>
          <w:ilvl w:val="0"/>
          <w:numId w:val="117"/>
        </w:numPr>
        <w:jc w:val="both"/>
        <w:rPr>
          <w:rFonts w:asciiTheme="minorHAnsi" w:hAnsiTheme="minorHAnsi"/>
          <w:sz w:val="16"/>
          <w:szCs w:val="16"/>
          <w:lang w:eastAsia="pl-PL"/>
        </w:rPr>
      </w:pPr>
      <w:r w:rsidRPr="007D03F5">
        <w:rPr>
          <w:rFonts w:asciiTheme="minorHAnsi" w:hAnsiTheme="minorHAnsi"/>
          <w:sz w:val="16"/>
          <w:szCs w:val="16"/>
          <w:lang w:eastAsia="pl-PL"/>
        </w:rPr>
        <w:t>długość linii może być mniejsza od wymaganej co najwyżej o 50 mm lub większa co najwyżej o 150 mm,</w:t>
      </w:r>
    </w:p>
    <w:p w14:paraId="441CAF92" w14:textId="77777777" w:rsidR="00FC4BA0" w:rsidRPr="007D03F5" w:rsidRDefault="00FC4BA0" w:rsidP="00CF52A1">
      <w:pPr>
        <w:pStyle w:val="Pro-Inwest"/>
        <w:numPr>
          <w:ilvl w:val="0"/>
          <w:numId w:val="117"/>
        </w:numPr>
        <w:jc w:val="both"/>
        <w:rPr>
          <w:rFonts w:asciiTheme="minorHAnsi" w:hAnsiTheme="minorHAnsi"/>
          <w:sz w:val="16"/>
          <w:szCs w:val="16"/>
          <w:lang w:eastAsia="pl-PL"/>
        </w:rPr>
      </w:pPr>
      <w:r w:rsidRPr="007D03F5">
        <w:rPr>
          <w:rFonts w:asciiTheme="minorHAnsi" w:hAnsiTheme="minorHAnsi"/>
          <w:sz w:val="16"/>
          <w:szCs w:val="16"/>
          <w:lang w:eastAsia="pl-PL"/>
        </w:rPr>
        <w:t>dla linii przerywanych, długość cyklu składającego się z linii i przerwy nie może odbiegać od średniej liczonej z 10 kolejnych cykli o więcej niż </w:t>
      </w:r>
      <w:r w:rsidRPr="007D03F5">
        <w:rPr>
          <w:rFonts w:asciiTheme="minorHAnsi" w:hAnsiTheme="minorHAnsi"/>
          <w:sz w:val="16"/>
          <w:szCs w:val="16"/>
          <w:lang w:eastAsia="pl-PL"/>
        </w:rPr>
        <w:t> 50 mm długości wymaganej,</w:t>
      </w:r>
    </w:p>
    <w:p w14:paraId="1B884377" w14:textId="77777777" w:rsidR="00FC4BA0" w:rsidRPr="007D03F5" w:rsidRDefault="00FC4BA0" w:rsidP="00CF52A1">
      <w:pPr>
        <w:pStyle w:val="Pro-Inwest"/>
        <w:numPr>
          <w:ilvl w:val="0"/>
          <w:numId w:val="117"/>
        </w:numPr>
        <w:jc w:val="both"/>
        <w:rPr>
          <w:rFonts w:asciiTheme="minorHAnsi" w:hAnsiTheme="minorHAnsi"/>
          <w:sz w:val="16"/>
          <w:szCs w:val="16"/>
          <w:lang w:eastAsia="pl-PL"/>
        </w:rPr>
      </w:pPr>
      <w:r w:rsidRPr="007D03F5">
        <w:rPr>
          <w:rFonts w:asciiTheme="minorHAnsi" w:hAnsiTheme="minorHAnsi"/>
          <w:sz w:val="16"/>
          <w:szCs w:val="16"/>
          <w:lang w:eastAsia="pl-PL"/>
        </w:rPr>
        <w:t>dla strzałek, liter i cyfr rozstaw punktów narożnikowych nie może mieć większej odchyłki od wymaganego wzoru niż </w:t>
      </w:r>
      <w:r w:rsidRPr="007D03F5">
        <w:rPr>
          <w:rFonts w:asciiTheme="minorHAnsi" w:hAnsiTheme="minorHAnsi"/>
          <w:sz w:val="16"/>
          <w:szCs w:val="16"/>
          <w:lang w:eastAsia="pl-PL"/>
        </w:rPr>
        <w:t> 50 mm dla wymiaru długości i </w:t>
      </w:r>
      <w:r w:rsidRPr="007D03F5">
        <w:rPr>
          <w:rFonts w:asciiTheme="minorHAnsi" w:hAnsiTheme="minorHAnsi"/>
          <w:sz w:val="16"/>
          <w:szCs w:val="16"/>
          <w:lang w:eastAsia="pl-PL"/>
        </w:rPr>
        <w:t> 20 mm dla wymiaru szerokości.</w:t>
      </w:r>
    </w:p>
    <w:p w14:paraId="5590F46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Przy wykonywaniu nowego oznakowania poziomego, spowodowanego zmianami organizacji ruchu, należy dokładnie usunąć zbędne stare oznakowanie.</w:t>
      </w:r>
    </w:p>
    <w:p w14:paraId="34FC50BC"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b/>
          <w:sz w:val="16"/>
          <w:szCs w:val="16"/>
          <w:lang w:eastAsia="pl-PL"/>
        </w:rPr>
        <w:t>6.4.2.</w:t>
      </w:r>
      <w:r w:rsidRPr="007D03F5">
        <w:rPr>
          <w:rFonts w:asciiTheme="minorHAnsi" w:hAnsiTheme="minorHAnsi"/>
          <w:sz w:val="16"/>
          <w:szCs w:val="16"/>
          <w:lang w:eastAsia="pl-PL"/>
        </w:rPr>
        <w:t> Tolerancje przy odnawianiu istniejącego oznakowania</w:t>
      </w:r>
    </w:p>
    <w:p w14:paraId="4EB1FCC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Przy odnawianiu istniejącego oznakowania należy dążyć do  pokrycia pełnej powierzchni istniejących znaków, przy zachowaniu dopuszczalnych tolerancji podanych w punkcie 6.4.1.</w:t>
      </w:r>
    </w:p>
    <w:p w14:paraId="1D3C7A1A" w14:textId="77777777" w:rsidR="00FC4BA0" w:rsidRPr="007D03F5" w:rsidRDefault="00FC4BA0" w:rsidP="00FC4BA0">
      <w:pPr>
        <w:pStyle w:val="Pro-Inwest"/>
        <w:jc w:val="both"/>
        <w:rPr>
          <w:rFonts w:asciiTheme="minorHAnsi" w:hAnsiTheme="minorHAnsi"/>
          <w:b/>
          <w:sz w:val="16"/>
          <w:szCs w:val="16"/>
          <w:lang w:eastAsia="pl-PL"/>
        </w:rPr>
      </w:pPr>
      <w:bookmarkStart w:id="13" w:name="_Toc420816686"/>
      <w:bookmarkStart w:id="14" w:name="_Toc500914896"/>
      <w:bookmarkEnd w:id="13"/>
    </w:p>
    <w:p w14:paraId="3424F650"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7. OBMIAR ROBÓT</w:t>
      </w:r>
      <w:bookmarkEnd w:id="14"/>
    </w:p>
    <w:p w14:paraId="090A1DC1"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7.1. Ogólne zasady obmiaru robót</w:t>
      </w:r>
    </w:p>
    <w:p w14:paraId="64241B8D"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Ogólne zasady obmiaru robót podano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D-M-00.00.00 „Wymagania ogólne” pkt 7.</w:t>
      </w:r>
    </w:p>
    <w:p w14:paraId="5841D107"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7.2. Jednostka obmiarowa</w:t>
      </w:r>
    </w:p>
    <w:p w14:paraId="6FFCED74"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Jednostką obmiarową oznakowania poziomego jest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(metr kwadratowy) powierzchni naniesionych znaków lub liczba umieszczonych punktowych elementów odblaskowych.</w:t>
      </w:r>
    </w:p>
    <w:p w14:paraId="552E7B44" w14:textId="77777777" w:rsidR="00FC4BA0" w:rsidRPr="007D03F5" w:rsidRDefault="00FC4BA0" w:rsidP="00FC4BA0">
      <w:pPr>
        <w:pStyle w:val="Pro-Inwest"/>
        <w:jc w:val="both"/>
        <w:rPr>
          <w:rFonts w:asciiTheme="minorHAnsi" w:hAnsiTheme="minorHAnsi"/>
          <w:b/>
          <w:sz w:val="16"/>
          <w:szCs w:val="16"/>
          <w:lang w:eastAsia="pl-PL"/>
        </w:rPr>
      </w:pPr>
      <w:bookmarkStart w:id="15" w:name="_Toc420816687"/>
      <w:bookmarkStart w:id="16" w:name="_Toc500914897"/>
      <w:bookmarkEnd w:id="15"/>
    </w:p>
    <w:p w14:paraId="733BD0EB"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8. ODBIÓR ROBÓT</w:t>
      </w:r>
      <w:bookmarkEnd w:id="16"/>
    </w:p>
    <w:p w14:paraId="58CAB2D1"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8.1. Ogólne zasady odbioru robót</w:t>
      </w:r>
    </w:p>
    <w:p w14:paraId="733AE80B"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Ogólne zasady odbioru robót podano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D-M-00.00.00 „Wymagania ogólne” pkt 8.</w:t>
      </w:r>
    </w:p>
    <w:p w14:paraId="35E4F252"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Roboty uznaje się za wykonane zgodnie z dokumentacją projektową,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i wymaganiami Inżyniera, jeżeli wszystkie pomiary i badania, z zachowaniem tolerancji wg pkt 6, dały wyniki pozytywne.             </w:t>
      </w:r>
    </w:p>
    <w:p w14:paraId="2B31053D"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8.2. Odbiór robót zanikających i ulegających zakryciu</w:t>
      </w:r>
    </w:p>
    <w:p w14:paraId="12A2B9A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Odbiór robót zanikających i ulegających zakryciu, w zależności od przyjętego sposobu wykonania robót, może być dokonany po:</w:t>
      </w:r>
    </w:p>
    <w:p w14:paraId="07B8C989" w14:textId="77777777" w:rsidR="00FC4BA0" w:rsidRPr="007D03F5" w:rsidRDefault="00FC4BA0" w:rsidP="00CF52A1">
      <w:pPr>
        <w:pStyle w:val="Pro-Inwest"/>
        <w:numPr>
          <w:ilvl w:val="0"/>
          <w:numId w:val="118"/>
        </w:numPr>
        <w:jc w:val="both"/>
        <w:rPr>
          <w:rFonts w:asciiTheme="minorHAnsi" w:hAnsiTheme="minorHAnsi"/>
          <w:sz w:val="16"/>
          <w:szCs w:val="16"/>
          <w:lang w:eastAsia="pl-PL"/>
        </w:rPr>
      </w:pPr>
      <w:r w:rsidRPr="007D03F5">
        <w:rPr>
          <w:rFonts w:asciiTheme="minorHAnsi" w:hAnsiTheme="minorHAnsi"/>
          <w:sz w:val="16"/>
          <w:szCs w:val="16"/>
          <w:lang w:eastAsia="pl-PL"/>
        </w:rPr>
        <w:t>oczyszczeniu powierzchni nawierzchni,</w:t>
      </w:r>
    </w:p>
    <w:p w14:paraId="57183109" w14:textId="77777777" w:rsidR="00FC4BA0" w:rsidRPr="007D03F5" w:rsidRDefault="00FC4BA0" w:rsidP="00CF52A1">
      <w:pPr>
        <w:pStyle w:val="Pro-Inwest"/>
        <w:numPr>
          <w:ilvl w:val="0"/>
          <w:numId w:val="118"/>
        </w:numPr>
        <w:jc w:val="both"/>
        <w:rPr>
          <w:rFonts w:asciiTheme="minorHAnsi" w:hAnsiTheme="minorHAnsi"/>
          <w:sz w:val="16"/>
          <w:szCs w:val="16"/>
          <w:lang w:eastAsia="pl-PL"/>
        </w:rPr>
      </w:pPr>
      <w:proofErr w:type="spellStart"/>
      <w:r w:rsidRPr="007D03F5">
        <w:rPr>
          <w:rFonts w:asciiTheme="minorHAnsi" w:hAnsiTheme="minorHAnsi"/>
          <w:sz w:val="16"/>
          <w:szCs w:val="16"/>
          <w:lang w:eastAsia="pl-PL"/>
        </w:rPr>
        <w:t>przedznakowaniu</w:t>
      </w:r>
      <w:proofErr w:type="spellEnd"/>
      <w:r w:rsidRPr="007D03F5">
        <w:rPr>
          <w:rFonts w:asciiTheme="minorHAnsi" w:hAnsiTheme="minorHAnsi"/>
          <w:sz w:val="16"/>
          <w:szCs w:val="16"/>
          <w:lang w:eastAsia="pl-PL"/>
        </w:rPr>
        <w:t>,</w:t>
      </w:r>
    </w:p>
    <w:p w14:paraId="561DFCD0" w14:textId="77777777" w:rsidR="00FC4BA0" w:rsidRPr="007D03F5" w:rsidRDefault="00FC4BA0" w:rsidP="00CF52A1">
      <w:pPr>
        <w:pStyle w:val="Pro-Inwest"/>
        <w:numPr>
          <w:ilvl w:val="0"/>
          <w:numId w:val="118"/>
        </w:numPr>
        <w:jc w:val="both"/>
        <w:rPr>
          <w:rFonts w:asciiTheme="minorHAnsi" w:hAnsiTheme="minorHAnsi"/>
          <w:sz w:val="16"/>
          <w:szCs w:val="16"/>
          <w:lang w:eastAsia="pl-PL"/>
        </w:rPr>
      </w:pPr>
      <w:r w:rsidRPr="007D03F5">
        <w:rPr>
          <w:rFonts w:asciiTheme="minorHAnsi" w:hAnsiTheme="minorHAnsi"/>
          <w:sz w:val="16"/>
          <w:szCs w:val="16"/>
          <w:lang w:eastAsia="pl-PL"/>
        </w:rPr>
        <w:t>frezowaniu nawierzchni przed wykonaniem znakowania materiałem grubowarstwowym,</w:t>
      </w:r>
    </w:p>
    <w:p w14:paraId="57788988" w14:textId="77777777" w:rsidR="00FC4BA0" w:rsidRPr="007D03F5" w:rsidRDefault="00FC4BA0" w:rsidP="00CF52A1">
      <w:pPr>
        <w:pStyle w:val="Pro-Inwest"/>
        <w:numPr>
          <w:ilvl w:val="0"/>
          <w:numId w:val="118"/>
        </w:numPr>
        <w:jc w:val="both"/>
        <w:rPr>
          <w:rFonts w:asciiTheme="minorHAnsi" w:hAnsiTheme="minorHAnsi"/>
          <w:sz w:val="16"/>
          <w:szCs w:val="16"/>
          <w:lang w:eastAsia="pl-PL"/>
        </w:rPr>
      </w:pPr>
      <w:r w:rsidRPr="007D03F5">
        <w:rPr>
          <w:rFonts w:asciiTheme="minorHAnsi" w:hAnsiTheme="minorHAnsi"/>
          <w:sz w:val="16"/>
          <w:szCs w:val="16"/>
          <w:lang w:eastAsia="pl-PL"/>
        </w:rPr>
        <w:t>usunięciu istniejącego oznakowania poziomego,</w:t>
      </w:r>
    </w:p>
    <w:p w14:paraId="46411BAB" w14:textId="77777777" w:rsidR="00FC4BA0" w:rsidRPr="007D03F5" w:rsidRDefault="00FC4BA0" w:rsidP="00CF52A1">
      <w:pPr>
        <w:pStyle w:val="Pro-Inwest"/>
        <w:numPr>
          <w:ilvl w:val="0"/>
          <w:numId w:val="118"/>
        </w:numPr>
        <w:jc w:val="both"/>
        <w:rPr>
          <w:rFonts w:asciiTheme="minorHAnsi" w:hAnsiTheme="minorHAnsi"/>
          <w:sz w:val="16"/>
          <w:szCs w:val="16"/>
          <w:lang w:eastAsia="pl-PL"/>
        </w:rPr>
      </w:pPr>
      <w:r w:rsidRPr="007D03F5">
        <w:rPr>
          <w:rFonts w:asciiTheme="minorHAnsi" w:hAnsiTheme="minorHAnsi"/>
          <w:sz w:val="16"/>
          <w:szCs w:val="16"/>
          <w:lang w:eastAsia="pl-PL"/>
        </w:rPr>
        <w:t>wykonaniu podkładu (</w:t>
      </w:r>
      <w:proofErr w:type="spellStart"/>
      <w:r w:rsidRPr="007D03F5">
        <w:rPr>
          <w:rFonts w:asciiTheme="minorHAnsi" w:hAnsiTheme="minorHAnsi"/>
          <w:sz w:val="16"/>
          <w:szCs w:val="16"/>
          <w:lang w:eastAsia="pl-PL"/>
        </w:rPr>
        <w:t>primera</w:t>
      </w:r>
      <w:proofErr w:type="spellEnd"/>
      <w:r w:rsidRPr="007D03F5">
        <w:rPr>
          <w:rFonts w:asciiTheme="minorHAnsi" w:hAnsiTheme="minorHAnsi"/>
          <w:sz w:val="16"/>
          <w:szCs w:val="16"/>
          <w:lang w:eastAsia="pl-PL"/>
        </w:rPr>
        <w:t>) na nawierzchni betonowej.</w:t>
      </w:r>
    </w:p>
    <w:p w14:paraId="4ACF533A"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8.3. Odbiór ostateczny</w:t>
      </w:r>
    </w:p>
    <w:p w14:paraId="0EB8A55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Odbioru ostatecznego należy dokonać po całkowitym zakończeniu robót, na podstawie wyników pomiarów i badań jakościowych określonych w punktach od 2 do 6.</w:t>
      </w:r>
    </w:p>
    <w:p w14:paraId="5CAB1F0B"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8.4. Odbiór pogwarancyjny</w:t>
      </w:r>
    </w:p>
    <w:p w14:paraId="2BD2C42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Odbioru pogwarancyjnego należy dokonać po upływie okresu gwarancyjnego, ustalonego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Sprawdzeniu podlegają cechy oznakowania określone w POD-97 [4].</w:t>
      </w:r>
    </w:p>
    <w:p w14:paraId="4FBD1B1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Zaleca się stosowanie następujących minimalnych okresów gwarancyjnych:</w:t>
      </w:r>
    </w:p>
    <w:p w14:paraId="24C4F6EE"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a) dla oznakowania cienkowarstwowego:</w:t>
      </w:r>
    </w:p>
    <w:p w14:paraId="3341DD6E" w14:textId="77777777" w:rsidR="00FC4BA0" w:rsidRPr="007D03F5" w:rsidRDefault="00FC4BA0" w:rsidP="00CF52A1">
      <w:pPr>
        <w:pStyle w:val="Pro-Inwest"/>
        <w:numPr>
          <w:ilvl w:val="0"/>
          <w:numId w:val="119"/>
        </w:numPr>
        <w:jc w:val="both"/>
        <w:rPr>
          <w:rFonts w:asciiTheme="minorHAnsi" w:hAnsiTheme="minorHAnsi"/>
          <w:sz w:val="16"/>
          <w:szCs w:val="16"/>
          <w:lang w:eastAsia="pl-PL"/>
        </w:rPr>
      </w:pPr>
      <w:r w:rsidRPr="007D03F5">
        <w:rPr>
          <w:rFonts w:asciiTheme="minorHAnsi" w:hAnsiTheme="minorHAnsi"/>
          <w:sz w:val="16"/>
          <w:szCs w:val="16"/>
          <w:lang w:eastAsia="pl-PL"/>
        </w:rPr>
        <w:t>na odcinkach zamiejskich, z wyłączeniem przejść dla pieszych: co najmniej 12 miesięcy,</w:t>
      </w:r>
    </w:p>
    <w:p w14:paraId="00D89E0E" w14:textId="77777777" w:rsidR="00FC4BA0" w:rsidRPr="007D03F5" w:rsidRDefault="00FC4BA0" w:rsidP="00CF52A1">
      <w:pPr>
        <w:pStyle w:val="Pro-Inwest"/>
        <w:numPr>
          <w:ilvl w:val="0"/>
          <w:numId w:val="119"/>
        </w:numPr>
        <w:jc w:val="both"/>
        <w:rPr>
          <w:rFonts w:asciiTheme="minorHAnsi" w:hAnsiTheme="minorHAnsi"/>
          <w:sz w:val="16"/>
          <w:szCs w:val="16"/>
          <w:lang w:eastAsia="pl-PL"/>
        </w:rPr>
      </w:pPr>
      <w:r w:rsidRPr="007D03F5">
        <w:rPr>
          <w:rFonts w:asciiTheme="minorHAnsi" w:hAnsiTheme="minorHAnsi"/>
          <w:sz w:val="16"/>
          <w:szCs w:val="16"/>
          <w:lang w:eastAsia="pl-PL"/>
        </w:rPr>
        <w:t>na odcinkach przejść przez miejscowości: co najmniej 6 miesięcy,</w:t>
      </w:r>
    </w:p>
    <w:p w14:paraId="11343171" w14:textId="77777777" w:rsidR="00FC4BA0" w:rsidRPr="007D03F5" w:rsidRDefault="00FC4BA0" w:rsidP="00CF52A1">
      <w:pPr>
        <w:pStyle w:val="Pro-Inwest"/>
        <w:numPr>
          <w:ilvl w:val="0"/>
          <w:numId w:val="119"/>
        </w:numPr>
        <w:jc w:val="both"/>
        <w:rPr>
          <w:rFonts w:asciiTheme="minorHAnsi" w:hAnsiTheme="minorHAnsi"/>
          <w:sz w:val="16"/>
          <w:szCs w:val="16"/>
          <w:lang w:eastAsia="pl-PL"/>
        </w:rPr>
      </w:pPr>
      <w:r w:rsidRPr="007D03F5">
        <w:rPr>
          <w:rFonts w:asciiTheme="minorHAnsi" w:hAnsiTheme="minorHAnsi"/>
          <w:sz w:val="16"/>
          <w:szCs w:val="16"/>
          <w:lang w:eastAsia="pl-PL"/>
        </w:rPr>
        <w:lastRenderedPageBreak/>
        <w:t>na przejściach dla pieszych na odcinkach zamiejskich: co najmniej 6 miesięcy,</w:t>
      </w:r>
    </w:p>
    <w:p w14:paraId="1A5971EE" w14:textId="77777777" w:rsidR="00FC4BA0" w:rsidRPr="007D03F5" w:rsidRDefault="00FC4BA0" w:rsidP="00CF52A1">
      <w:pPr>
        <w:pStyle w:val="Pro-Inwest"/>
        <w:numPr>
          <w:ilvl w:val="0"/>
          <w:numId w:val="119"/>
        </w:numPr>
        <w:jc w:val="both"/>
        <w:rPr>
          <w:rFonts w:asciiTheme="minorHAnsi" w:hAnsiTheme="minorHAnsi"/>
          <w:sz w:val="16"/>
          <w:szCs w:val="16"/>
          <w:lang w:eastAsia="pl-PL"/>
        </w:rPr>
      </w:pPr>
      <w:r w:rsidRPr="007D03F5">
        <w:rPr>
          <w:rFonts w:asciiTheme="minorHAnsi" w:hAnsiTheme="minorHAnsi"/>
          <w:sz w:val="16"/>
          <w:szCs w:val="16"/>
          <w:lang w:eastAsia="pl-PL"/>
        </w:rPr>
        <w:t>na przejściach dla pieszych w miejscowościach: co najmniej 3 miesiące,</w:t>
      </w:r>
    </w:p>
    <w:p w14:paraId="74746713"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b)    dla oznakowania grubowarstwowego lub znakowania punktowymi elementami odblaskowymi: co najmniej 24 miesiące.</w:t>
      </w:r>
    </w:p>
    <w:p w14:paraId="30A3418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W niektórych przypadkach można rozważać ograniczenia okresów gwarancyjnych dla </w:t>
      </w:r>
      <w:proofErr w:type="spellStart"/>
      <w:r w:rsidRPr="007D03F5">
        <w:rPr>
          <w:rFonts w:asciiTheme="minorHAnsi" w:hAnsiTheme="minorHAnsi"/>
          <w:sz w:val="16"/>
          <w:szCs w:val="16"/>
          <w:lang w:eastAsia="pl-PL"/>
        </w:rPr>
        <w:t>oznakowań</w:t>
      </w:r>
      <w:proofErr w:type="spellEnd"/>
      <w:r w:rsidRPr="007D03F5">
        <w:rPr>
          <w:rFonts w:asciiTheme="minorHAnsi" w:hAnsiTheme="minorHAnsi"/>
          <w:sz w:val="16"/>
          <w:szCs w:val="16"/>
          <w:lang w:eastAsia="pl-PL"/>
        </w:rPr>
        <w:t>:</w:t>
      </w:r>
    </w:p>
    <w:p w14:paraId="0215660F"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a) cienkowarstwowych</w:t>
      </w:r>
    </w:p>
    <w:p w14:paraId="09F8FFA8" w14:textId="77777777" w:rsidR="00FC4BA0" w:rsidRPr="007D03F5" w:rsidRDefault="00FC4BA0" w:rsidP="00CF52A1">
      <w:pPr>
        <w:pStyle w:val="Pro-Inwest"/>
        <w:numPr>
          <w:ilvl w:val="0"/>
          <w:numId w:val="120"/>
        </w:numPr>
        <w:jc w:val="both"/>
        <w:rPr>
          <w:rFonts w:asciiTheme="minorHAnsi" w:hAnsiTheme="minorHAnsi"/>
          <w:sz w:val="16"/>
          <w:szCs w:val="16"/>
          <w:lang w:eastAsia="pl-PL"/>
        </w:rPr>
      </w:pPr>
      <w:r w:rsidRPr="007D03F5">
        <w:rPr>
          <w:rFonts w:asciiTheme="minorHAnsi" w:hAnsiTheme="minorHAnsi"/>
          <w:sz w:val="16"/>
          <w:szCs w:val="16"/>
          <w:lang w:eastAsia="pl-PL"/>
        </w:rPr>
        <w:t xml:space="preserve">dla </w:t>
      </w:r>
      <w:proofErr w:type="spellStart"/>
      <w:r w:rsidRPr="007D03F5">
        <w:rPr>
          <w:rFonts w:asciiTheme="minorHAnsi" w:hAnsiTheme="minorHAnsi"/>
          <w:sz w:val="16"/>
          <w:szCs w:val="16"/>
          <w:lang w:eastAsia="pl-PL"/>
        </w:rPr>
        <w:t>wymalowań</w:t>
      </w:r>
      <w:proofErr w:type="spellEnd"/>
      <w:r w:rsidRPr="007D03F5">
        <w:rPr>
          <w:rFonts w:asciiTheme="minorHAnsi" w:hAnsiTheme="minorHAnsi"/>
          <w:sz w:val="16"/>
          <w:szCs w:val="16"/>
          <w:lang w:eastAsia="pl-PL"/>
        </w:rPr>
        <w:t xml:space="preserve"> farbami problematyczne jest udzielenie gwarancji na wykonane oznakowanie w przypadku nawierzchni, których czas użytkowania jest krótszy niż jeden rok oraz dla </w:t>
      </w:r>
      <w:proofErr w:type="spellStart"/>
      <w:r w:rsidRPr="007D03F5">
        <w:rPr>
          <w:rFonts w:asciiTheme="minorHAnsi" w:hAnsiTheme="minorHAnsi"/>
          <w:sz w:val="16"/>
          <w:szCs w:val="16"/>
          <w:lang w:eastAsia="pl-PL"/>
        </w:rPr>
        <w:t>oznakowań</w:t>
      </w:r>
      <w:proofErr w:type="spellEnd"/>
      <w:r w:rsidRPr="007D03F5">
        <w:rPr>
          <w:rFonts w:asciiTheme="minorHAnsi" w:hAnsiTheme="minorHAnsi"/>
          <w:sz w:val="16"/>
          <w:szCs w:val="16"/>
          <w:lang w:eastAsia="pl-PL"/>
        </w:rPr>
        <w:t xml:space="preserve"> wykonanych w okresie od 1 listopada do 31 marca,</w:t>
      </w:r>
    </w:p>
    <w:p w14:paraId="307477F9" w14:textId="77777777" w:rsidR="00FC4BA0" w:rsidRPr="007D03F5" w:rsidRDefault="00FC4BA0" w:rsidP="00CF52A1">
      <w:pPr>
        <w:pStyle w:val="Pro-Inwest"/>
        <w:numPr>
          <w:ilvl w:val="0"/>
          <w:numId w:val="120"/>
        </w:numPr>
        <w:jc w:val="both"/>
        <w:rPr>
          <w:rFonts w:asciiTheme="minorHAnsi" w:hAnsiTheme="minorHAnsi"/>
          <w:sz w:val="16"/>
          <w:szCs w:val="16"/>
          <w:lang w:eastAsia="pl-PL"/>
        </w:rPr>
      </w:pPr>
      <w:r w:rsidRPr="007D03F5">
        <w:rPr>
          <w:rFonts w:asciiTheme="minorHAnsi" w:hAnsiTheme="minorHAnsi"/>
          <w:sz w:val="16"/>
          <w:szCs w:val="16"/>
          <w:lang w:eastAsia="pl-PL"/>
        </w:rPr>
        <w:t>na nawierzchniach bitumicznych o warstwie ścieralnej spękanej, kruszącej się, z luźnymi grysami, pożądane jest skrócić okres gwarancyjny dla linii segregacyjnych do 6 miesięcy, przejść dla pieszych i drobnych elementów do 3 miesięcy,</w:t>
      </w:r>
    </w:p>
    <w:p w14:paraId="7F2B4ECE" w14:textId="77777777" w:rsidR="00FC4BA0" w:rsidRPr="007D03F5" w:rsidRDefault="00FC4BA0" w:rsidP="00CF52A1">
      <w:pPr>
        <w:pStyle w:val="Pro-Inwest"/>
        <w:numPr>
          <w:ilvl w:val="0"/>
          <w:numId w:val="120"/>
        </w:numPr>
        <w:jc w:val="both"/>
        <w:rPr>
          <w:rFonts w:asciiTheme="minorHAnsi" w:hAnsiTheme="minorHAnsi"/>
          <w:sz w:val="16"/>
          <w:szCs w:val="16"/>
          <w:lang w:eastAsia="pl-PL"/>
        </w:rPr>
      </w:pPr>
      <w:r w:rsidRPr="007D03F5">
        <w:rPr>
          <w:rFonts w:asciiTheme="minorHAnsi" w:hAnsiTheme="minorHAnsi"/>
          <w:sz w:val="16"/>
          <w:szCs w:val="16"/>
          <w:lang w:eastAsia="pl-PL"/>
        </w:rPr>
        <w:t>na nawierzchniach kostkowych o równej powierzchni w dobrym stanie, pożądane jest skrócić okres gwarancyjny dla linii segregacyjnych do 3  miesięcy, przejść dla pieszych i drobnych elementów do 1 miesiąca,</w:t>
      </w:r>
    </w:p>
    <w:p w14:paraId="3B7B311B" w14:textId="77777777" w:rsidR="00FC4BA0" w:rsidRPr="007D03F5" w:rsidRDefault="00FC4BA0" w:rsidP="00CF52A1">
      <w:pPr>
        <w:pStyle w:val="Pro-Inwest"/>
        <w:numPr>
          <w:ilvl w:val="0"/>
          <w:numId w:val="120"/>
        </w:numPr>
        <w:jc w:val="both"/>
        <w:rPr>
          <w:rFonts w:asciiTheme="minorHAnsi" w:hAnsiTheme="minorHAnsi"/>
          <w:sz w:val="16"/>
          <w:szCs w:val="16"/>
          <w:lang w:eastAsia="pl-PL"/>
        </w:rPr>
      </w:pPr>
      <w:r w:rsidRPr="007D03F5">
        <w:rPr>
          <w:rFonts w:asciiTheme="minorHAnsi" w:hAnsiTheme="minorHAnsi"/>
          <w:sz w:val="16"/>
          <w:szCs w:val="16"/>
          <w:lang w:eastAsia="pl-PL"/>
        </w:rPr>
        <w:t>na nawierzchniach drogowych o silnie zdeformowanej, spękanej, łuszczącej się powierzchni, na złączach podłużnych jeśli są niejednorodne, tj. ze szczelinami, garbami podłużnymi i poprzecznymi, na nawierzchniach smołowych (także z powierzchniowym utrwaleniem smołą), na nawierzchniach kostkowych w złym stanie (nierówna powierzchnia, kostka uszkodzona, braki kostki, luźne zanieczyszczenia w szczelinach między kostkami niemożliwe do usunięcia za pomocą szczotki i zamiatarki) - w zasadzie gwarancji nie powinno się udzielać,</w:t>
      </w:r>
    </w:p>
    <w:p w14:paraId="0017A936" w14:textId="77777777" w:rsidR="00FC4BA0" w:rsidRPr="007D03F5" w:rsidRDefault="00FC4BA0" w:rsidP="00CF52A1">
      <w:pPr>
        <w:pStyle w:val="Pro-Inwest"/>
        <w:numPr>
          <w:ilvl w:val="0"/>
          <w:numId w:val="120"/>
        </w:numPr>
        <w:jc w:val="both"/>
        <w:rPr>
          <w:rFonts w:asciiTheme="minorHAnsi" w:hAnsiTheme="minorHAnsi"/>
          <w:sz w:val="16"/>
          <w:szCs w:val="16"/>
          <w:lang w:eastAsia="pl-PL"/>
        </w:rPr>
      </w:pPr>
      <w:r w:rsidRPr="007D03F5">
        <w:rPr>
          <w:rFonts w:asciiTheme="minorHAnsi" w:hAnsiTheme="minorHAnsi"/>
          <w:sz w:val="16"/>
          <w:szCs w:val="16"/>
          <w:lang w:eastAsia="pl-PL"/>
        </w:rPr>
        <w:t>w przypadku stosowania piasku  lub piasku z solą do zimowego utrzymania dróg, okres gwarancyjny należałoby skrócić do maksimum 9 miesięcy przy wymalowaniu wiosennym i do 6 miesięcy przy wymalowaniu jesiennym;</w:t>
      </w:r>
    </w:p>
    <w:p w14:paraId="26C32C46" w14:textId="77777777" w:rsidR="00FC4BA0" w:rsidRPr="007D03F5" w:rsidRDefault="00FC4BA0" w:rsidP="00CF52A1">
      <w:pPr>
        <w:pStyle w:val="Pro-Inwest"/>
        <w:numPr>
          <w:ilvl w:val="0"/>
          <w:numId w:val="120"/>
        </w:numPr>
        <w:jc w:val="both"/>
        <w:rPr>
          <w:rFonts w:asciiTheme="minorHAnsi" w:hAnsiTheme="minorHAnsi"/>
          <w:sz w:val="16"/>
          <w:szCs w:val="16"/>
          <w:lang w:eastAsia="pl-PL"/>
        </w:rPr>
      </w:pPr>
      <w:r w:rsidRPr="007D03F5">
        <w:rPr>
          <w:rFonts w:asciiTheme="minorHAnsi" w:hAnsiTheme="minorHAnsi"/>
          <w:sz w:val="16"/>
          <w:szCs w:val="16"/>
          <w:lang w:eastAsia="pl-PL"/>
        </w:rPr>
        <w:t>grubowarstwowych</w:t>
      </w:r>
    </w:p>
    <w:p w14:paraId="288640FD" w14:textId="77777777" w:rsidR="00FC4BA0" w:rsidRPr="007D03F5" w:rsidRDefault="00FC4BA0" w:rsidP="00CF52A1">
      <w:pPr>
        <w:pStyle w:val="Pro-Inwest"/>
        <w:numPr>
          <w:ilvl w:val="0"/>
          <w:numId w:val="120"/>
        </w:numPr>
        <w:jc w:val="both"/>
        <w:rPr>
          <w:rFonts w:asciiTheme="minorHAnsi" w:hAnsiTheme="minorHAnsi"/>
          <w:sz w:val="16"/>
          <w:szCs w:val="16"/>
          <w:lang w:eastAsia="pl-PL"/>
        </w:rPr>
      </w:pPr>
      <w:r w:rsidRPr="007D03F5">
        <w:rPr>
          <w:rFonts w:asciiTheme="minorHAnsi" w:hAnsiTheme="minorHAnsi"/>
          <w:sz w:val="16"/>
          <w:szCs w:val="16"/>
          <w:lang w:eastAsia="pl-PL"/>
        </w:rPr>
        <w:t>na nawierzchniach bitumicznych ułożonych do 1 miesiąca przed wykonaniem oznakowania masami chemoutwardzalnymi i termoplastycznymi pożądane jest skrócić okres gwarancyjny dla linii segregacyjnych do 1 roku, dla przejść dla pieszych i drobnych elementów do 9 miesięcy.</w:t>
      </w:r>
    </w:p>
    <w:p w14:paraId="4177FCEE" w14:textId="77777777" w:rsidR="00FC4BA0" w:rsidRPr="007D03F5" w:rsidRDefault="00FC4BA0" w:rsidP="00FC4BA0">
      <w:pPr>
        <w:pStyle w:val="Pro-Inwest"/>
        <w:jc w:val="both"/>
        <w:rPr>
          <w:rFonts w:asciiTheme="minorHAnsi" w:hAnsiTheme="minorHAnsi"/>
          <w:b/>
          <w:sz w:val="16"/>
          <w:szCs w:val="16"/>
          <w:lang w:eastAsia="pl-PL"/>
        </w:rPr>
      </w:pPr>
      <w:bookmarkStart w:id="17" w:name="_Toc420816688"/>
      <w:bookmarkStart w:id="18" w:name="_Toc500914898"/>
      <w:bookmarkEnd w:id="17"/>
    </w:p>
    <w:p w14:paraId="332F1A31"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9. PODSTAWA PŁATNOŚCI</w:t>
      </w:r>
      <w:bookmarkEnd w:id="18"/>
    </w:p>
    <w:p w14:paraId="310C9A93"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9.1. Ogólne ustalenia dotyczące podstawy płatności</w:t>
      </w:r>
    </w:p>
    <w:p w14:paraId="4B92CBE6"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                Ogólne ustalenia dotyczące podstawy płatności podano w </w:t>
      </w:r>
      <w:proofErr w:type="spellStart"/>
      <w:r w:rsidRPr="007D03F5">
        <w:rPr>
          <w:rFonts w:asciiTheme="minorHAnsi" w:hAnsiTheme="minorHAnsi"/>
          <w:sz w:val="16"/>
          <w:szCs w:val="16"/>
          <w:lang w:eastAsia="pl-PL"/>
        </w:rPr>
        <w:t>STWiORB</w:t>
      </w:r>
      <w:proofErr w:type="spellEnd"/>
      <w:r w:rsidRPr="007D03F5">
        <w:rPr>
          <w:rFonts w:asciiTheme="minorHAnsi" w:hAnsiTheme="minorHAnsi"/>
          <w:sz w:val="16"/>
          <w:szCs w:val="16"/>
          <w:lang w:eastAsia="pl-PL"/>
        </w:rPr>
        <w:t xml:space="preserve"> D-M-00.00.00 „Wymagania ogólne” pkt 9.</w:t>
      </w:r>
    </w:p>
    <w:p w14:paraId="59A50FDE"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9.2. Cena jednostki obmiarowej</w:t>
      </w:r>
    </w:p>
    <w:p w14:paraId="2C5EA54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Cena 1 m</w:t>
      </w:r>
      <w:r w:rsidRPr="007D03F5">
        <w:rPr>
          <w:rFonts w:asciiTheme="minorHAnsi" w:hAnsiTheme="minorHAnsi"/>
          <w:sz w:val="16"/>
          <w:szCs w:val="16"/>
          <w:vertAlign w:val="superscript"/>
          <w:lang w:eastAsia="pl-PL"/>
        </w:rPr>
        <w:t>2</w:t>
      </w:r>
      <w:r w:rsidRPr="007D03F5">
        <w:rPr>
          <w:rFonts w:asciiTheme="minorHAnsi" w:hAnsiTheme="minorHAnsi"/>
          <w:sz w:val="16"/>
          <w:szCs w:val="16"/>
          <w:lang w:eastAsia="pl-PL"/>
        </w:rPr>
        <w:t> wykonania robót obejmuje:</w:t>
      </w:r>
    </w:p>
    <w:p w14:paraId="45F717F1" w14:textId="77777777" w:rsidR="00FC4BA0" w:rsidRPr="007D03F5" w:rsidRDefault="00FC4BA0" w:rsidP="00CF52A1">
      <w:pPr>
        <w:pStyle w:val="Pro-Inwest"/>
        <w:numPr>
          <w:ilvl w:val="0"/>
          <w:numId w:val="121"/>
        </w:numPr>
        <w:jc w:val="both"/>
        <w:rPr>
          <w:rFonts w:asciiTheme="minorHAnsi" w:hAnsiTheme="minorHAnsi"/>
          <w:sz w:val="16"/>
          <w:szCs w:val="16"/>
          <w:lang w:eastAsia="pl-PL"/>
        </w:rPr>
      </w:pPr>
      <w:r w:rsidRPr="007D03F5">
        <w:rPr>
          <w:rFonts w:asciiTheme="minorHAnsi" w:hAnsiTheme="minorHAnsi"/>
          <w:sz w:val="16"/>
          <w:szCs w:val="16"/>
          <w:lang w:eastAsia="pl-PL"/>
        </w:rPr>
        <w:t>prace pomiarowe, roboty przygotowawcze i oznakowanie robót,</w:t>
      </w:r>
    </w:p>
    <w:p w14:paraId="335E4428" w14:textId="77777777" w:rsidR="00FC4BA0" w:rsidRPr="007D03F5" w:rsidRDefault="00FC4BA0" w:rsidP="00CF52A1">
      <w:pPr>
        <w:pStyle w:val="Pro-Inwest"/>
        <w:numPr>
          <w:ilvl w:val="0"/>
          <w:numId w:val="121"/>
        </w:numPr>
        <w:jc w:val="both"/>
        <w:rPr>
          <w:rFonts w:asciiTheme="minorHAnsi" w:hAnsiTheme="minorHAnsi"/>
          <w:sz w:val="16"/>
          <w:szCs w:val="16"/>
          <w:lang w:eastAsia="pl-PL"/>
        </w:rPr>
      </w:pPr>
      <w:r w:rsidRPr="007D03F5">
        <w:rPr>
          <w:rFonts w:asciiTheme="minorHAnsi" w:hAnsiTheme="minorHAnsi"/>
          <w:sz w:val="16"/>
          <w:szCs w:val="16"/>
          <w:lang w:eastAsia="pl-PL"/>
        </w:rPr>
        <w:t>przygotowanie i dostarczenie materiałów,</w:t>
      </w:r>
    </w:p>
    <w:p w14:paraId="42697092" w14:textId="77777777" w:rsidR="00FC4BA0" w:rsidRPr="007D03F5" w:rsidRDefault="00FC4BA0" w:rsidP="00CF52A1">
      <w:pPr>
        <w:pStyle w:val="Pro-Inwest"/>
        <w:numPr>
          <w:ilvl w:val="0"/>
          <w:numId w:val="121"/>
        </w:numPr>
        <w:jc w:val="both"/>
        <w:rPr>
          <w:rFonts w:asciiTheme="minorHAnsi" w:hAnsiTheme="minorHAnsi"/>
          <w:sz w:val="16"/>
          <w:szCs w:val="16"/>
          <w:lang w:eastAsia="pl-PL"/>
        </w:rPr>
      </w:pPr>
      <w:r w:rsidRPr="007D03F5">
        <w:rPr>
          <w:rFonts w:asciiTheme="minorHAnsi" w:hAnsiTheme="minorHAnsi"/>
          <w:sz w:val="16"/>
          <w:szCs w:val="16"/>
          <w:lang w:eastAsia="pl-PL"/>
        </w:rPr>
        <w:t>oczyszczenie podłoża (nawierzchni),</w:t>
      </w:r>
    </w:p>
    <w:p w14:paraId="62107A29" w14:textId="77777777" w:rsidR="00FC4BA0" w:rsidRPr="007D03F5" w:rsidRDefault="00FC4BA0" w:rsidP="00CF52A1">
      <w:pPr>
        <w:pStyle w:val="Pro-Inwest"/>
        <w:numPr>
          <w:ilvl w:val="0"/>
          <w:numId w:val="121"/>
        </w:numPr>
        <w:jc w:val="both"/>
        <w:rPr>
          <w:rFonts w:asciiTheme="minorHAnsi" w:hAnsiTheme="minorHAnsi"/>
          <w:sz w:val="16"/>
          <w:szCs w:val="16"/>
          <w:lang w:eastAsia="pl-PL"/>
        </w:rPr>
      </w:pPr>
      <w:proofErr w:type="spellStart"/>
      <w:r w:rsidRPr="007D03F5">
        <w:rPr>
          <w:rFonts w:asciiTheme="minorHAnsi" w:hAnsiTheme="minorHAnsi"/>
          <w:sz w:val="16"/>
          <w:szCs w:val="16"/>
          <w:lang w:eastAsia="pl-PL"/>
        </w:rPr>
        <w:t>przedznakowanie</w:t>
      </w:r>
      <w:proofErr w:type="spellEnd"/>
      <w:r w:rsidRPr="007D03F5">
        <w:rPr>
          <w:rFonts w:asciiTheme="minorHAnsi" w:hAnsiTheme="minorHAnsi"/>
          <w:sz w:val="16"/>
          <w:szCs w:val="16"/>
          <w:lang w:eastAsia="pl-PL"/>
        </w:rPr>
        <w:t>,</w:t>
      </w:r>
    </w:p>
    <w:p w14:paraId="2D2B7107" w14:textId="77777777" w:rsidR="00FC4BA0" w:rsidRPr="007D03F5" w:rsidRDefault="00FC4BA0" w:rsidP="00CF52A1">
      <w:pPr>
        <w:pStyle w:val="Pro-Inwest"/>
        <w:numPr>
          <w:ilvl w:val="0"/>
          <w:numId w:val="121"/>
        </w:numPr>
        <w:jc w:val="both"/>
        <w:rPr>
          <w:rFonts w:asciiTheme="minorHAnsi" w:hAnsiTheme="minorHAnsi"/>
          <w:sz w:val="16"/>
          <w:szCs w:val="16"/>
          <w:lang w:eastAsia="pl-PL"/>
        </w:rPr>
      </w:pPr>
      <w:r w:rsidRPr="007D03F5">
        <w:rPr>
          <w:rFonts w:asciiTheme="minorHAnsi" w:hAnsiTheme="minorHAnsi"/>
          <w:sz w:val="16"/>
          <w:szCs w:val="16"/>
          <w:lang w:eastAsia="pl-PL"/>
        </w:rPr>
        <w:t>naniesienie powłoki znaków na nawierzchnię drogi o kształtach i wymiarach zgodnych z dokumentacją projektową i „Instrukcją o znakach drogowych poziomych”,</w:t>
      </w:r>
    </w:p>
    <w:p w14:paraId="769BF63A" w14:textId="77777777" w:rsidR="00FC4BA0" w:rsidRPr="007D03F5" w:rsidRDefault="00FC4BA0" w:rsidP="00CF52A1">
      <w:pPr>
        <w:pStyle w:val="Pro-Inwest"/>
        <w:numPr>
          <w:ilvl w:val="0"/>
          <w:numId w:val="121"/>
        </w:numPr>
        <w:jc w:val="both"/>
        <w:rPr>
          <w:rFonts w:asciiTheme="minorHAnsi" w:hAnsiTheme="minorHAnsi"/>
          <w:sz w:val="16"/>
          <w:szCs w:val="16"/>
          <w:lang w:eastAsia="pl-PL"/>
        </w:rPr>
      </w:pPr>
      <w:r w:rsidRPr="007D03F5">
        <w:rPr>
          <w:rFonts w:asciiTheme="minorHAnsi" w:hAnsiTheme="minorHAnsi"/>
          <w:sz w:val="16"/>
          <w:szCs w:val="16"/>
          <w:lang w:eastAsia="pl-PL"/>
        </w:rPr>
        <w:t>ochrona znaków przed zniszczeniem przez pojazdy w czasie prowadzenia robót,</w:t>
      </w:r>
    </w:p>
    <w:p w14:paraId="5842035C" w14:textId="77777777" w:rsidR="00FC4BA0" w:rsidRPr="007D03F5" w:rsidRDefault="00FC4BA0" w:rsidP="00CF52A1">
      <w:pPr>
        <w:pStyle w:val="Pro-Inwest"/>
        <w:numPr>
          <w:ilvl w:val="0"/>
          <w:numId w:val="121"/>
        </w:numPr>
        <w:jc w:val="both"/>
        <w:rPr>
          <w:rFonts w:asciiTheme="minorHAnsi" w:hAnsiTheme="minorHAnsi"/>
          <w:sz w:val="16"/>
          <w:szCs w:val="16"/>
          <w:lang w:eastAsia="pl-PL"/>
        </w:rPr>
      </w:pPr>
      <w:r w:rsidRPr="007D03F5">
        <w:rPr>
          <w:rFonts w:asciiTheme="minorHAnsi" w:hAnsiTheme="minorHAnsi"/>
          <w:sz w:val="16"/>
          <w:szCs w:val="16"/>
          <w:lang w:eastAsia="pl-PL"/>
        </w:rPr>
        <w:t>przeprowadzenie pomiarów i badań laboratoryjnych wymaganych w specyfikacji technicznej.</w:t>
      </w:r>
    </w:p>
    <w:p w14:paraId="7787B6A9" w14:textId="77777777" w:rsidR="00FC4BA0" w:rsidRPr="007D03F5" w:rsidRDefault="00FC4BA0" w:rsidP="00FC4BA0">
      <w:pPr>
        <w:pStyle w:val="Pro-Inwest"/>
        <w:jc w:val="both"/>
        <w:rPr>
          <w:rFonts w:asciiTheme="minorHAnsi" w:hAnsiTheme="minorHAnsi"/>
          <w:b/>
          <w:sz w:val="16"/>
          <w:szCs w:val="16"/>
          <w:lang w:eastAsia="pl-PL"/>
        </w:rPr>
      </w:pPr>
      <w:bookmarkStart w:id="19" w:name="_Toc420816689"/>
      <w:bookmarkStart w:id="20" w:name="_Toc500914899"/>
      <w:bookmarkEnd w:id="19"/>
    </w:p>
    <w:p w14:paraId="2C777439"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10. PRZEPISY ZWIĄZANE</w:t>
      </w:r>
      <w:bookmarkEnd w:id="20"/>
    </w:p>
    <w:p w14:paraId="7DB267E0"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10.1. Normy</w:t>
      </w:r>
    </w:p>
    <w:tbl>
      <w:tblPr>
        <w:tblW w:w="0" w:type="auto"/>
        <w:tblCellMar>
          <w:left w:w="0" w:type="dxa"/>
          <w:right w:w="0" w:type="dxa"/>
        </w:tblCellMar>
        <w:tblLook w:val="04A0" w:firstRow="1" w:lastRow="0" w:firstColumn="1" w:lastColumn="0" w:noHBand="0" w:noVBand="1"/>
      </w:tblPr>
      <w:tblGrid>
        <w:gridCol w:w="496"/>
        <w:gridCol w:w="1842"/>
        <w:gridCol w:w="5172"/>
      </w:tblGrid>
      <w:tr w:rsidR="007D03F5" w:rsidRPr="007D03F5" w14:paraId="1E2423E5" w14:textId="77777777" w:rsidTr="00475945">
        <w:tc>
          <w:tcPr>
            <w:tcW w:w="496" w:type="dxa"/>
            <w:shd w:val="clear" w:color="auto" w:fill="auto"/>
            <w:tcMar>
              <w:top w:w="0" w:type="dxa"/>
              <w:left w:w="70" w:type="dxa"/>
              <w:bottom w:w="0" w:type="dxa"/>
              <w:right w:w="70" w:type="dxa"/>
            </w:tcMar>
            <w:hideMark/>
          </w:tcPr>
          <w:p w14:paraId="4047ECE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1.</w:t>
            </w:r>
          </w:p>
        </w:tc>
        <w:tc>
          <w:tcPr>
            <w:tcW w:w="1842" w:type="dxa"/>
            <w:shd w:val="clear" w:color="auto" w:fill="auto"/>
            <w:tcMar>
              <w:top w:w="0" w:type="dxa"/>
              <w:left w:w="70" w:type="dxa"/>
              <w:bottom w:w="0" w:type="dxa"/>
              <w:right w:w="70" w:type="dxa"/>
            </w:tcMar>
            <w:hideMark/>
          </w:tcPr>
          <w:p w14:paraId="2258C69E"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PN-C-81400</w:t>
            </w:r>
          </w:p>
        </w:tc>
        <w:tc>
          <w:tcPr>
            <w:tcW w:w="5172" w:type="dxa"/>
            <w:shd w:val="clear" w:color="auto" w:fill="auto"/>
            <w:tcMar>
              <w:top w:w="0" w:type="dxa"/>
              <w:left w:w="70" w:type="dxa"/>
              <w:bottom w:w="0" w:type="dxa"/>
              <w:right w:w="70" w:type="dxa"/>
            </w:tcMar>
            <w:hideMark/>
          </w:tcPr>
          <w:p w14:paraId="42C86DAB"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Wyroby lakierowe. Pakowanie, przechowywanie i transport</w:t>
            </w:r>
          </w:p>
        </w:tc>
      </w:tr>
      <w:tr w:rsidR="007D03F5" w:rsidRPr="007D03F5" w14:paraId="0329C4E0" w14:textId="77777777" w:rsidTr="00475945">
        <w:tc>
          <w:tcPr>
            <w:tcW w:w="496" w:type="dxa"/>
            <w:shd w:val="clear" w:color="auto" w:fill="auto"/>
            <w:tcMar>
              <w:top w:w="0" w:type="dxa"/>
              <w:left w:w="70" w:type="dxa"/>
              <w:bottom w:w="0" w:type="dxa"/>
              <w:right w:w="70" w:type="dxa"/>
            </w:tcMar>
            <w:hideMark/>
          </w:tcPr>
          <w:p w14:paraId="6B81DBC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2.</w:t>
            </w:r>
          </w:p>
        </w:tc>
        <w:tc>
          <w:tcPr>
            <w:tcW w:w="1842" w:type="dxa"/>
            <w:shd w:val="clear" w:color="auto" w:fill="auto"/>
            <w:tcMar>
              <w:top w:w="0" w:type="dxa"/>
              <w:left w:w="70" w:type="dxa"/>
              <w:bottom w:w="0" w:type="dxa"/>
              <w:right w:w="70" w:type="dxa"/>
            </w:tcMar>
            <w:hideMark/>
          </w:tcPr>
          <w:p w14:paraId="6FDA894F"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PN-O-79252</w:t>
            </w:r>
          </w:p>
        </w:tc>
        <w:tc>
          <w:tcPr>
            <w:tcW w:w="5172" w:type="dxa"/>
            <w:shd w:val="clear" w:color="auto" w:fill="auto"/>
            <w:tcMar>
              <w:top w:w="0" w:type="dxa"/>
              <w:left w:w="70" w:type="dxa"/>
              <w:bottom w:w="0" w:type="dxa"/>
              <w:right w:w="70" w:type="dxa"/>
            </w:tcMar>
            <w:hideMark/>
          </w:tcPr>
          <w:p w14:paraId="2DD2984E" w14:textId="77777777" w:rsidR="00FC4BA0" w:rsidRPr="007D03F5" w:rsidRDefault="00FC4BA0" w:rsidP="00475945">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Opakowania transportowe z zawartością. Znaki i znakowanie. Wymagania podstawowe.</w:t>
            </w:r>
          </w:p>
        </w:tc>
      </w:tr>
    </w:tbl>
    <w:p w14:paraId="7472855C" w14:textId="77777777" w:rsidR="00FC4BA0" w:rsidRPr="007D03F5" w:rsidRDefault="00FC4BA0" w:rsidP="00FC4BA0">
      <w:pPr>
        <w:pStyle w:val="Pro-Inwest"/>
        <w:jc w:val="both"/>
        <w:rPr>
          <w:rFonts w:asciiTheme="minorHAnsi" w:hAnsiTheme="minorHAnsi"/>
          <w:b/>
          <w:sz w:val="16"/>
          <w:szCs w:val="16"/>
          <w:lang w:eastAsia="pl-PL"/>
        </w:rPr>
      </w:pPr>
      <w:r w:rsidRPr="007D03F5">
        <w:rPr>
          <w:rFonts w:asciiTheme="minorHAnsi" w:hAnsiTheme="minorHAnsi"/>
          <w:b/>
          <w:sz w:val="16"/>
          <w:szCs w:val="16"/>
          <w:lang w:eastAsia="pl-PL"/>
        </w:rPr>
        <w:t>10.2. Inne dokumenty</w:t>
      </w:r>
    </w:p>
    <w:p w14:paraId="68731F45"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Instrukcja o znakach drogowych poziomych. Załącznik do zarządzenia Ministra Transportu i Gospodarki Morskiej z dnia 3 marca 1994 r. (M.P. Nr 16, poz. 120)</w:t>
      </w:r>
    </w:p>
    <w:p w14:paraId="23838CC9" w14:textId="77777777" w:rsidR="00FC4BA0" w:rsidRPr="007D03F5" w:rsidRDefault="00FC4BA0" w:rsidP="00FC4BA0">
      <w:pPr>
        <w:pStyle w:val="Pro-Inwest"/>
        <w:jc w:val="both"/>
        <w:rPr>
          <w:rFonts w:asciiTheme="minorHAnsi" w:hAnsiTheme="minorHAnsi"/>
          <w:sz w:val="16"/>
          <w:szCs w:val="16"/>
          <w:lang w:eastAsia="pl-PL"/>
        </w:rPr>
      </w:pPr>
      <w:r w:rsidRPr="007D03F5">
        <w:rPr>
          <w:rFonts w:asciiTheme="minorHAnsi" w:hAnsiTheme="minorHAnsi"/>
          <w:sz w:val="16"/>
          <w:szCs w:val="16"/>
          <w:lang w:eastAsia="pl-PL"/>
        </w:rPr>
        <w:t xml:space="preserve">Warunki techniczne. Poziome znakowanie dróg. POD-97. Seria „I” - Informacje, Instrukcje. Zeszyt nr 55. </w:t>
      </w:r>
      <w:proofErr w:type="spellStart"/>
      <w:r w:rsidRPr="007D03F5">
        <w:rPr>
          <w:rFonts w:asciiTheme="minorHAnsi" w:hAnsiTheme="minorHAnsi"/>
          <w:sz w:val="16"/>
          <w:szCs w:val="16"/>
          <w:lang w:eastAsia="pl-PL"/>
        </w:rPr>
        <w:t>IBDiM</w:t>
      </w:r>
      <w:proofErr w:type="spellEnd"/>
      <w:r w:rsidRPr="007D03F5">
        <w:rPr>
          <w:rFonts w:asciiTheme="minorHAnsi" w:hAnsiTheme="minorHAnsi"/>
          <w:sz w:val="16"/>
          <w:szCs w:val="16"/>
          <w:lang w:eastAsia="pl-PL"/>
        </w:rPr>
        <w:t>, Warszawa, 1997.</w:t>
      </w:r>
    </w:p>
    <w:p w14:paraId="08BCB205" w14:textId="77777777" w:rsidR="00FC4BA0" w:rsidRPr="007D03F5" w:rsidRDefault="00FC4BA0" w:rsidP="00FC4BA0">
      <w:pPr>
        <w:pStyle w:val="Pro-Inwest"/>
        <w:rPr>
          <w:rFonts w:asciiTheme="minorHAnsi" w:hAnsiTheme="minorHAnsi"/>
          <w:b/>
          <w:sz w:val="16"/>
          <w:szCs w:val="16"/>
        </w:rPr>
      </w:pPr>
    </w:p>
    <w:p w14:paraId="4A0629BB" w14:textId="77777777" w:rsidR="00FC4BA0" w:rsidRPr="007D03F5" w:rsidRDefault="00FC4BA0" w:rsidP="00FC4BA0">
      <w:pPr>
        <w:pStyle w:val="Pro-Inwest"/>
        <w:rPr>
          <w:rFonts w:asciiTheme="minorHAnsi" w:hAnsiTheme="minorHAnsi"/>
          <w:b/>
          <w:sz w:val="16"/>
          <w:szCs w:val="16"/>
        </w:rPr>
      </w:pPr>
    </w:p>
    <w:p w14:paraId="697BC273" w14:textId="77777777" w:rsidR="00FC4BA0" w:rsidRPr="007D03F5" w:rsidRDefault="00FC4BA0" w:rsidP="00FC4BA0">
      <w:pPr>
        <w:pStyle w:val="Pro-Inwest"/>
        <w:rPr>
          <w:rFonts w:asciiTheme="minorHAnsi" w:hAnsiTheme="minorHAnsi"/>
          <w:b/>
          <w:sz w:val="16"/>
          <w:szCs w:val="16"/>
        </w:rPr>
      </w:pPr>
    </w:p>
    <w:p w14:paraId="4BDF959C" w14:textId="77777777" w:rsidR="00FC4BA0" w:rsidRPr="007D03F5" w:rsidRDefault="00FC4BA0" w:rsidP="00FC4BA0">
      <w:pPr>
        <w:pStyle w:val="Pro-Inwest"/>
        <w:rPr>
          <w:rFonts w:asciiTheme="minorHAnsi" w:hAnsiTheme="minorHAnsi"/>
          <w:b/>
          <w:sz w:val="16"/>
          <w:szCs w:val="16"/>
        </w:rPr>
      </w:pPr>
    </w:p>
    <w:p w14:paraId="5B7B67B9" w14:textId="77777777" w:rsidR="00FC4BA0" w:rsidRPr="007D03F5" w:rsidRDefault="00FC4BA0" w:rsidP="00FC4BA0">
      <w:pPr>
        <w:pStyle w:val="Pro-Inwest"/>
        <w:rPr>
          <w:rFonts w:asciiTheme="minorHAnsi" w:hAnsiTheme="minorHAnsi"/>
          <w:b/>
          <w:sz w:val="16"/>
          <w:szCs w:val="16"/>
        </w:rPr>
      </w:pPr>
    </w:p>
    <w:p w14:paraId="28470D2F" w14:textId="77777777" w:rsidR="00FC4BA0" w:rsidRPr="007D03F5" w:rsidRDefault="00FC4BA0" w:rsidP="00FC4BA0">
      <w:pPr>
        <w:pStyle w:val="Pro-Inwest"/>
        <w:rPr>
          <w:rFonts w:asciiTheme="minorHAnsi" w:hAnsiTheme="minorHAnsi"/>
          <w:b/>
          <w:sz w:val="16"/>
          <w:szCs w:val="16"/>
        </w:rPr>
      </w:pPr>
    </w:p>
    <w:p w14:paraId="48D189E8" w14:textId="77777777" w:rsidR="00FC4BA0" w:rsidRPr="007D03F5" w:rsidRDefault="00FC4BA0" w:rsidP="00FC4BA0">
      <w:pPr>
        <w:pStyle w:val="Pro-Inwest"/>
        <w:rPr>
          <w:rFonts w:asciiTheme="minorHAnsi" w:hAnsiTheme="minorHAnsi"/>
          <w:b/>
          <w:sz w:val="16"/>
          <w:szCs w:val="16"/>
        </w:rPr>
      </w:pPr>
    </w:p>
    <w:p w14:paraId="29A46E36" w14:textId="77777777" w:rsidR="00FC4BA0" w:rsidRPr="007D03F5" w:rsidRDefault="00FC4BA0" w:rsidP="00FC4BA0">
      <w:pPr>
        <w:pStyle w:val="Pro-Inwest"/>
        <w:rPr>
          <w:rFonts w:asciiTheme="minorHAnsi" w:hAnsiTheme="minorHAnsi"/>
          <w:b/>
          <w:sz w:val="16"/>
          <w:szCs w:val="16"/>
        </w:rPr>
      </w:pPr>
    </w:p>
    <w:p w14:paraId="2424DACC" w14:textId="77777777" w:rsidR="00FC4BA0" w:rsidRPr="007D03F5" w:rsidRDefault="00FC4BA0" w:rsidP="00FC4BA0">
      <w:pPr>
        <w:pStyle w:val="Pro-Inwest"/>
        <w:rPr>
          <w:rFonts w:asciiTheme="minorHAnsi" w:hAnsiTheme="minorHAnsi"/>
          <w:b/>
          <w:sz w:val="16"/>
          <w:szCs w:val="16"/>
        </w:rPr>
      </w:pPr>
    </w:p>
    <w:p w14:paraId="34EA7B08" w14:textId="77777777" w:rsidR="00FC4BA0" w:rsidRPr="007D03F5" w:rsidRDefault="00FC4BA0" w:rsidP="00FC4BA0">
      <w:pPr>
        <w:pStyle w:val="Pro-Inwest"/>
        <w:rPr>
          <w:rFonts w:asciiTheme="minorHAnsi" w:hAnsiTheme="minorHAnsi"/>
          <w:b/>
          <w:sz w:val="16"/>
          <w:szCs w:val="16"/>
        </w:rPr>
      </w:pPr>
    </w:p>
    <w:p w14:paraId="227EC138" w14:textId="77777777" w:rsidR="00FC4BA0" w:rsidRPr="007D03F5" w:rsidRDefault="00FC4BA0" w:rsidP="00FC4BA0">
      <w:pPr>
        <w:pStyle w:val="Pro-Inwest"/>
        <w:rPr>
          <w:rFonts w:asciiTheme="minorHAnsi" w:hAnsiTheme="minorHAnsi"/>
          <w:b/>
          <w:sz w:val="16"/>
          <w:szCs w:val="16"/>
        </w:rPr>
      </w:pPr>
    </w:p>
    <w:p w14:paraId="73C7369D" w14:textId="77777777" w:rsidR="00FC4BA0" w:rsidRPr="007D03F5" w:rsidRDefault="00FC4BA0" w:rsidP="00FC4BA0">
      <w:pPr>
        <w:pStyle w:val="Pro-Inwest"/>
        <w:rPr>
          <w:rFonts w:asciiTheme="minorHAnsi" w:hAnsiTheme="minorHAnsi"/>
          <w:b/>
          <w:sz w:val="16"/>
          <w:szCs w:val="16"/>
        </w:rPr>
      </w:pPr>
    </w:p>
    <w:p w14:paraId="3C872ADC" w14:textId="77777777" w:rsidR="00FC4BA0" w:rsidRPr="007D03F5" w:rsidRDefault="00FC4BA0" w:rsidP="00FC4BA0">
      <w:pPr>
        <w:pStyle w:val="Pro-Inwest"/>
        <w:rPr>
          <w:rFonts w:asciiTheme="minorHAnsi" w:hAnsiTheme="minorHAnsi"/>
          <w:b/>
          <w:sz w:val="16"/>
          <w:szCs w:val="16"/>
        </w:rPr>
      </w:pPr>
    </w:p>
    <w:p w14:paraId="2883FD49" w14:textId="77777777" w:rsidR="00FC4BA0" w:rsidRPr="007D03F5" w:rsidRDefault="00FC4BA0" w:rsidP="00FC4BA0">
      <w:pPr>
        <w:pStyle w:val="Pro-Inwest"/>
        <w:rPr>
          <w:rFonts w:asciiTheme="minorHAnsi" w:hAnsiTheme="minorHAnsi"/>
          <w:b/>
          <w:sz w:val="16"/>
          <w:szCs w:val="16"/>
        </w:rPr>
      </w:pPr>
    </w:p>
    <w:p w14:paraId="6A98984F" w14:textId="77777777" w:rsidR="00FC4BA0" w:rsidRPr="007D03F5" w:rsidRDefault="00FC4BA0" w:rsidP="00FC4BA0">
      <w:pPr>
        <w:pStyle w:val="Pro-Inwest"/>
        <w:rPr>
          <w:rFonts w:asciiTheme="minorHAnsi" w:hAnsiTheme="minorHAnsi"/>
          <w:b/>
          <w:sz w:val="16"/>
          <w:szCs w:val="16"/>
        </w:rPr>
      </w:pPr>
    </w:p>
    <w:p w14:paraId="7B17F0C7" w14:textId="77777777" w:rsidR="00FC4BA0" w:rsidRPr="00021789" w:rsidRDefault="00FC4BA0" w:rsidP="00FC4BA0">
      <w:pPr>
        <w:pStyle w:val="Pro-Inwest"/>
        <w:rPr>
          <w:rFonts w:asciiTheme="minorHAnsi" w:hAnsiTheme="minorHAnsi"/>
          <w:b/>
          <w:color w:val="FF0000"/>
          <w:sz w:val="16"/>
          <w:szCs w:val="16"/>
        </w:rPr>
      </w:pPr>
    </w:p>
    <w:p w14:paraId="607CF994" w14:textId="77777777" w:rsidR="00FC4BA0" w:rsidRPr="00021789" w:rsidRDefault="00FC4BA0" w:rsidP="00FC4BA0">
      <w:pPr>
        <w:pStyle w:val="Pro-Inwest"/>
        <w:rPr>
          <w:rFonts w:asciiTheme="minorHAnsi" w:hAnsiTheme="minorHAnsi"/>
          <w:b/>
          <w:color w:val="FF0000"/>
          <w:sz w:val="16"/>
          <w:szCs w:val="16"/>
        </w:rPr>
      </w:pPr>
    </w:p>
    <w:p w14:paraId="357F8333" w14:textId="77777777" w:rsidR="00FC4BA0" w:rsidRPr="007D03F5" w:rsidRDefault="00FC4BA0" w:rsidP="00FC4BA0">
      <w:pPr>
        <w:pStyle w:val="Pro-Inwest"/>
        <w:rPr>
          <w:rFonts w:asciiTheme="minorHAnsi" w:hAnsiTheme="minorHAnsi"/>
          <w:b/>
          <w:sz w:val="18"/>
          <w:szCs w:val="18"/>
        </w:rPr>
      </w:pPr>
      <w:r w:rsidRPr="007D03F5">
        <w:rPr>
          <w:rFonts w:asciiTheme="minorHAnsi" w:hAnsiTheme="minorHAnsi"/>
          <w:b/>
          <w:sz w:val="18"/>
          <w:szCs w:val="18"/>
        </w:rPr>
        <w:lastRenderedPageBreak/>
        <w:t>D.07.02.01 OZNAKOWANIE PIONOWE</w:t>
      </w:r>
    </w:p>
    <w:p w14:paraId="77D90C99" w14:textId="77777777" w:rsidR="00FC4BA0" w:rsidRPr="007D03F5" w:rsidRDefault="00FC4BA0" w:rsidP="00FC4BA0">
      <w:pPr>
        <w:pStyle w:val="Pro-Inwest"/>
        <w:jc w:val="both"/>
        <w:rPr>
          <w:rFonts w:asciiTheme="minorHAnsi" w:hAnsiTheme="minorHAnsi"/>
          <w:sz w:val="16"/>
          <w:szCs w:val="16"/>
        </w:rPr>
      </w:pPr>
    </w:p>
    <w:p w14:paraId="5CC537F3"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1. WSTĘP</w:t>
      </w:r>
    </w:p>
    <w:p w14:paraId="1500548C"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 xml:space="preserve">1.1. Przedmiot </w:t>
      </w:r>
      <w:proofErr w:type="spellStart"/>
      <w:r w:rsidRPr="007D03F5">
        <w:rPr>
          <w:rFonts w:asciiTheme="minorHAnsi" w:hAnsiTheme="minorHAnsi"/>
          <w:b/>
          <w:sz w:val="16"/>
          <w:szCs w:val="16"/>
        </w:rPr>
        <w:t>STWiORB</w:t>
      </w:r>
      <w:proofErr w:type="spellEnd"/>
    </w:p>
    <w:p w14:paraId="48B84E9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Przedmiotem niniejszej Specyfikacji Technicznej Wykonania i Odbioru Robót Budowlanych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są wymagania dotyczące wykonania i odbioru oznakowania pionowego.</w:t>
      </w:r>
    </w:p>
    <w:p w14:paraId="61AB8E28"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 xml:space="preserve">1.2. Zakres stosowania </w:t>
      </w:r>
      <w:proofErr w:type="spellStart"/>
      <w:r w:rsidRPr="007D03F5">
        <w:rPr>
          <w:rFonts w:asciiTheme="minorHAnsi" w:hAnsiTheme="minorHAnsi"/>
          <w:b/>
          <w:sz w:val="16"/>
          <w:szCs w:val="16"/>
        </w:rPr>
        <w:t>STWiORB</w:t>
      </w:r>
      <w:proofErr w:type="spellEnd"/>
    </w:p>
    <w:p w14:paraId="0D79812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Specyfikacja Techniczna Wykonania i Odbioru Robót Budowlanych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stosowana jest jako dokument przetargowy i kontraktowy przy zlecaniu i realizacji robót drogowych.</w:t>
      </w:r>
    </w:p>
    <w:p w14:paraId="095D83BA"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 xml:space="preserve">1.3. Zakres robót objętych </w:t>
      </w:r>
      <w:proofErr w:type="spellStart"/>
      <w:r w:rsidRPr="007D03F5">
        <w:rPr>
          <w:rFonts w:asciiTheme="minorHAnsi" w:hAnsiTheme="minorHAnsi"/>
          <w:b/>
          <w:sz w:val="16"/>
          <w:szCs w:val="16"/>
        </w:rPr>
        <w:t>STWiORB</w:t>
      </w:r>
      <w:proofErr w:type="spellEnd"/>
    </w:p>
    <w:p w14:paraId="63932B0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Ustalenia zawarte w niniejszej specyfikacji dotyczą zasad prowadzenia robót związanych z wykonywaniem i odbiorem oznakowania pionowego stosowanego na drogach, w postaci:</w:t>
      </w:r>
    </w:p>
    <w:p w14:paraId="1FE63E5A" w14:textId="77777777" w:rsidR="00FC4BA0" w:rsidRPr="007D03F5" w:rsidRDefault="00FC4BA0" w:rsidP="00CF52A1">
      <w:pPr>
        <w:pStyle w:val="Pro-Inwest"/>
        <w:numPr>
          <w:ilvl w:val="0"/>
          <w:numId w:val="98"/>
        </w:numPr>
        <w:jc w:val="both"/>
        <w:rPr>
          <w:rFonts w:asciiTheme="minorHAnsi" w:hAnsiTheme="minorHAnsi"/>
          <w:sz w:val="16"/>
          <w:szCs w:val="16"/>
        </w:rPr>
      </w:pPr>
      <w:r w:rsidRPr="007D03F5">
        <w:rPr>
          <w:rFonts w:asciiTheme="minorHAnsi" w:hAnsiTheme="minorHAnsi"/>
          <w:sz w:val="16"/>
          <w:szCs w:val="16"/>
        </w:rPr>
        <w:t>znaków ostrzegawczych,</w:t>
      </w:r>
    </w:p>
    <w:p w14:paraId="5EF2CCDF" w14:textId="77777777" w:rsidR="00FC4BA0" w:rsidRPr="007D03F5" w:rsidRDefault="00FC4BA0" w:rsidP="00CF52A1">
      <w:pPr>
        <w:pStyle w:val="Pro-Inwest"/>
        <w:numPr>
          <w:ilvl w:val="0"/>
          <w:numId w:val="98"/>
        </w:numPr>
        <w:jc w:val="both"/>
        <w:rPr>
          <w:rFonts w:asciiTheme="minorHAnsi" w:hAnsiTheme="minorHAnsi"/>
          <w:sz w:val="16"/>
          <w:szCs w:val="16"/>
        </w:rPr>
      </w:pPr>
      <w:r w:rsidRPr="007D03F5">
        <w:rPr>
          <w:rFonts w:asciiTheme="minorHAnsi" w:hAnsiTheme="minorHAnsi"/>
          <w:sz w:val="16"/>
          <w:szCs w:val="16"/>
        </w:rPr>
        <w:t>znaków zakazu i nakazu,</w:t>
      </w:r>
    </w:p>
    <w:p w14:paraId="23AA8079" w14:textId="77777777" w:rsidR="00FC4BA0" w:rsidRPr="007D03F5" w:rsidRDefault="00FC4BA0" w:rsidP="00CF52A1">
      <w:pPr>
        <w:pStyle w:val="Pro-Inwest"/>
        <w:numPr>
          <w:ilvl w:val="0"/>
          <w:numId w:val="98"/>
        </w:numPr>
        <w:jc w:val="both"/>
        <w:rPr>
          <w:rFonts w:asciiTheme="minorHAnsi" w:hAnsiTheme="minorHAnsi"/>
          <w:sz w:val="16"/>
          <w:szCs w:val="16"/>
        </w:rPr>
      </w:pPr>
      <w:r w:rsidRPr="007D03F5">
        <w:rPr>
          <w:rFonts w:asciiTheme="minorHAnsi" w:hAnsiTheme="minorHAnsi"/>
          <w:sz w:val="16"/>
          <w:szCs w:val="16"/>
        </w:rPr>
        <w:t>znaków informacyjnych oraz kierunku i miejscowości,</w:t>
      </w:r>
    </w:p>
    <w:p w14:paraId="5F0F664A" w14:textId="77777777" w:rsidR="00FC4BA0" w:rsidRPr="007D03F5" w:rsidRDefault="00FC4BA0" w:rsidP="00CF52A1">
      <w:pPr>
        <w:pStyle w:val="Pro-Inwest"/>
        <w:numPr>
          <w:ilvl w:val="0"/>
          <w:numId w:val="98"/>
        </w:numPr>
        <w:jc w:val="both"/>
        <w:rPr>
          <w:rFonts w:asciiTheme="minorHAnsi" w:hAnsiTheme="minorHAnsi"/>
          <w:sz w:val="16"/>
          <w:szCs w:val="16"/>
        </w:rPr>
      </w:pPr>
      <w:r w:rsidRPr="007D03F5">
        <w:rPr>
          <w:rFonts w:asciiTheme="minorHAnsi" w:hAnsiTheme="minorHAnsi"/>
          <w:sz w:val="16"/>
          <w:szCs w:val="16"/>
        </w:rPr>
        <w:t>znaków uzupełniających i tabliczek do znaków drogowych.</w:t>
      </w:r>
    </w:p>
    <w:p w14:paraId="6CD417E5"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1.4. Określenia podstawowe</w:t>
      </w:r>
    </w:p>
    <w:p w14:paraId="1FA5A56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1.4.1.</w:t>
      </w:r>
      <w:r w:rsidRPr="007D03F5">
        <w:rPr>
          <w:rFonts w:asciiTheme="minorHAnsi" w:hAnsiTheme="minorHAnsi"/>
          <w:sz w:val="16"/>
          <w:szCs w:val="16"/>
        </w:rPr>
        <w:t xml:space="preserve"> Stały znak drogowy pionowy - składa się z lica, tarczy z uchwytem montażowym oraz z konstrukcji wsporczej. </w:t>
      </w:r>
    </w:p>
    <w:p w14:paraId="30C81C8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1.4.2.</w:t>
      </w:r>
      <w:r w:rsidRPr="007D03F5">
        <w:rPr>
          <w:rFonts w:asciiTheme="minorHAnsi" w:hAnsiTheme="minorHAnsi"/>
          <w:sz w:val="16"/>
          <w:szCs w:val="16"/>
        </w:rPr>
        <w:t xml:space="preserve"> Tarcza znaku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 </w:t>
      </w:r>
    </w:p>
    <w:p w14:paraId="07FBC11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1.4.3.</w:t>
      </w:r>
      <w:r w:rsidRPr="007D03F5">
        <w:rPr>
          <w:rFonts w:asciiTheme="minorHAnsi" w:hAnsiTheme="minorHAnsi"/>
          <w:sz w:val="16"/>
          <w:szCs w:val="16"/>
        </w:rPr>
        <w:t xml:space="preserve"> Lico znaku -   przednia część znaku, wykonana z samoprzylepnej folii odblaskowej wraz z naniesioną treścią, wykonaną techniką druku sitowego, wyklejaną z transparentnych folii ploterowych lub z folii odblaskowych.</w:t>
      </w:r>
    </w:p>
    <w:p w14:paraId="602B327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1.4.4.</w:t>
      </w:r>
      <w:r w:rsidRPr="007D03F5">
        <w:rPr>
          <w:rFonts w:asciiTheme="minorHAnsi" w:hAnsiTheme="minorHAnsi"/>
          <w:sz w:val="16"/>
          <w:szCs w:val="16"/>
        </w:rPr>
        <w:t xml:space="preserve"> Uchwyt montażowy -   element stalowy lub aluminiowy zabezpieczony przed korozją, służący do zamocowania w sposób rozłączny tarczy znaku do konstrukcji wsporczej.</w:t>
      </w:r>
    </w:p>
    <w:p w14:paraId="743D133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1.4.5.</w:t>
      </w:r>
      <w:r w:rsidRPr="007D03F5">
        <w:rPr>
          <w:rFonts w:asciiTheme="minorHAnsi" w:hAnsiTheme="minorHAnsi"/>
          <w:sz w:val="16"/>
          <w:szCs w:val="16"/>
        </w:rPr>
        <w:t xml:space="preserve"> Znak drogowy odblaskowy - znak, którego lico wykazuje właściwości odblaskowe (wykonane jest z materiału o odbiciu powrotnym - </w:t>
      </w:r>
      <w:proofErr w:type="spellStart"/>
      <w:r w:rsidRPr="007D03F5">
        <w:rPr>
          <w:rFonts w:asciiTheme="minorHAnsi" w:hAnsiTheme="minorHAnsi"/>
          <w:sz w:val="16"/>
          <w:szCs w:val="16"/>
        </w:rPr>
        <w:t>współdrożnym</w:t>
      </w:r>
      <w:proofErr w:type="spellEnd"/>
      <w:r w:rsidRPr="007D03F5">
        <w:rPr>
          <w:rFonts w:asciiTheme="minorHAnsi" w:hAnsiTheme="minorHAnsi"/>
          <w:sz w:val="16"/>
          <w:szCs w:val="16"/>
        </w:rPr>
        <w:t>).</w:t>
      </w:r>
    </w:p>
    <w:p w14:paraId="66181AF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1.4.6.</w:t>
      </w:r>
      <w:r w:rsidRPr="007D03F5">
        <w:rPr>
          <w:rFonts w:asciiTheme="minorHAnsi" w:hAnsiTheme="minorHAnsi"/>
          <w:sz w:val="16"/>
          <w:szCs w:val="16"/>
        </w:rPr>
        <w:t xml:space="preserve"> Konstrukcja wsporcza znaku -   każdy rodzaj konstrukcji (słupek, słup, słupy,  wysięgnik, konstrukcje bramowe, wsporniki itp.) gwarantujący przenoszenie obciążeń zmiennych i stałych działających na konstrukcję i zamontowane na niej znaki lub tablice.</w:t>
      </w:r>
    </w:p>
    <w:p w14:paraId="45CEA5A2" w14:textId="77777777" w:rsidR="00FC4BA0" w:rsidRPr="007D03F5" w:rsidRDefault="00FC4BA0" w:rsidP="00FC4BA0">
      <w:pPr>
        <w:pStyle w:val="Pro-Inwest"/>
        <w:jc w:val="both"/>
        <w:rPr>
          <w:rFonts w:asciiTheme="minorHAnsi" w:hAnsiTheme="minorHAnsi"/>
          <w:sz w:val="16"/>
          <w:szCs w:val="16"/>
        </w:rPr>
      </w:pPr>
    </w:p>
    <w:p w14:paraId="23B50B0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1.4.7</w:t>
      </w:r>
      <w:r w:rsidRPr="007D03F5">
        <w:rPr>
          <w:rFonts w:asciiTheme="minorHAnsi" w:hAnsiTheme="minorHAnsi"/>
          <w:sz w:val="16"/>
          <w:szCs w:val="16"/>
        </w:rPr>
        <w:t xml:space="preserve"> Znak nowy - znak użytkowany (ustawiony na drodze) lub magazynowany w okresie do 3 miesięcy od daty produkcji.</w:t>
      </w:r>
    </w:p>
    <w:p w14:paraId="7374B07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1.4.8</w:t>
      </w:r>
      <w:r w:rsidRPr="007D03F5">
        <w:rPr>
          <w:rFonts w:asciiTheme="minorHAnsi" w:hAnsiTheme="minorHAnsi"/>
          <w:sz w:val="16"/>
          <w:szCs w:val="16"/>
        </w:rPr>
        <w:t xml:space="preserve"> Znak użytkowany (eksploatowany) - znak ustawiony na drodze lub magazynowany przez okres dłuższy niż 3 miesiące od daty produkcji.</w:t>
      </w:r>
    </w:p>
    <w:p w14:paraId="5EA34D93"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1.4.9</w:t>
      </w:r>
      <w:r w:rsidRPr="007D03F5">
        <w:rPr>
          <w:rFonts w:asciiTheme="minorHAnsi" w:hAnsiTheme="minorHAnsi"/>
          <w:sz w:val="16"/>
          <w:szCs w:val="16"/>
        </w:rPr>
        <w:t xml:space="preserve"> Pozostałe określenia podstawowe są zgodne z obowiązującymi, odpowiednimi polskimi normami i z definicjami podanymi w STWiORB-DM-00.00.00 „Wymagania ogólne” pkt 1.4. </w:t>
      </w:r>
    </w:p>
    <w:p w14:paraId="39E3FA03"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1.5</w:t>
      </w:r>
      <w:r w:rsidRPr="007D03F5">
        <w:rPr>
          <w:rFonts w:asciiTheme="minorHAnsi" w:hAnsiTheme="minorHAnsi"/>
          <w:b/>
          <w:sz w:val="16"/>
          <w:szCs w:val="16"/>
        </w:rPr>
        <w:t>. Ogólne wymagania dotyczące robót</w:t>
      </w:r>
    </w:p>
    <w:p w14:paraId="79FB175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Ogólne wymagania dotyczące robót podano w STWiORB-DM-00.00.00  „Wymagania ogólne” pkt 1.5. </w:t>
      </w:r>
    </w:p>
    <w:p w14:paraId="30BC0F32" w14:textId="77777777" w:rsidR="00FC4BA0" w:rsidRPr="007D03F5" w:rsidRDefault="00FC4BA0" w:rsidP="00FC4BA0">
      <w:pPr>
        <w:pStyle w:val="Pro-Inwest"/>
        <w:jc w:val="both"/>
        <w:rPr>
          <w:rFonts w:asciiTheme="minorHAnsi" w:hAnsiTheme="minorHAnsi"/>
          <w:b/>
          <w:sz w:val="16"/>
          <w:szCs w:val="16"/>
        </w:rPr>
      </w:pPr>
    </w:p>
    <w:p w14:paraId="399FC4DC"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2. MATERIAŁY</w:t>
      </w:r>
    </w:p>
    <w:p w14:paraId="415001A4"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2.1. Ogólne wymagania dotyczące materiałów</w:t>
      </w:r>
    </w:p>
    <w:p w14:paraId="355BC2A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Ogólne wymagania dotyczące materiałów, ich pozyskiwania i składowania podano w  STWiORB-DM-00.00.00 „Wymagania ogólne” pkt 2.</w:t>
      </w:r>
    </w:p>
    <w:p w14:paraId="1C4649FF"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2.2. Dopuszczenie do stosowania</w:t>
      </w:r>
    </w:p>
    <w:p w14:paraId="4F91754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[26].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14:paraId="1A4C329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W załączniku nr 1 do rozporządzenia Ministra Infrastruktury z dnia 3 lipca 2003  w sprawie szczegółowych warunków technicznych dla znaków i sygnałów drogowych oraz urządzeń bezpieczeństwa ruchu drogowego i warunków ich umieszczania na drogach [25],  podano szczegółowe informacje odnośnie wymagań dla znaków pionowych.</w:t>
      </w:r>
    </w:p>
    <w:p w14:paraId="783E1EAD"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2.3. Materiały stosowane do fundamentów znaków</w:t>
      </w:r>
    </w:p>
    <w:p w14:paraId="022BBFC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Fundamenty dla zamocowania konstrukcji wsporczych znaków mogą być wykonywane jako:</w:t>
      </w:r>
    </w:p>
    <w:p w14:paraId="6369ACC7" w14:textId="77777777" w:rsidR="00FC4BA0" w:rsidRPr="007D03F5" w:rsidRDefault="00FC4BA0" w:rsidP="00CF52A1">
      <w:pPr>
        <w:pStyle w:val="Pro-Inwest"/>
        <w:numPr>
          <w:ilvl w:val="0"/>
          <w:numId w:val="122"/>
        </w:numPr>
        <w:jc w:val="both"/>
        <w:rPr>
          <w:rFonts w:asciiTheme="minorHAnsi" w:hAnsiTheme="minorHAnsi"/>
          <w:sz w:val="16"/>
          <w:szCs w:val="16"/>
        </w:rPr>
      </w:pPr>
      <w:r w:rsidRPr="007D03F5">
        <w:rPr>
          <w:rFonts w:asciiTheme="minorHAnsi" w:hAnsiTheme="minorHAnsi"/>
          <w:sz w:val="16"/>
          <w:szCs w:val="16"/>
        </w:rPr>
        <w:t>prefabrykaty betonowe,</w:t>
      </w:r>
    </w:p>
    <w:p w14:paraId="68164CEC" w14:textId="77777777" w:rsidR="00FC4BA0" w:rsidRPr="007D03F5" w:rsidRDefault="00FC4BA0" w:rsidP="00CF52A1">
      <w:pPr>
        <w:pStyle w:val="Pro-Inwest"/>
        <w:numPr>
          <w:ilvl w:val="0"/>
          <w:numId w:val="122"/>
        </w:numPr>
        <w:jc w:val="both"/>
        <w:rPr>
          <w:rFonts w:asciiTheme="minorHAnsi" w:hAnsiTheme="minorHAnsi"/>
          <w:sz w:val="16"/>
          <w:szCs w:val="16"/>
        </w:rPr>
      </w:pPr>
      <w:r w:rsidRPr="007D03F5">
        <w:rPr>
          <w:rFonts w:asciiTheme="minorHAnsi" w:hAnsiTheme="minorHAnsi"/>
          <w:sz w:val="16"/>
          <w:szCs w:val="16"/>
        </w:rPr>
        <w:t>z betonu wykonywanego „na mokro”,</w:t>
      </w:r>
    </w:p>
    <w:p w14:paraId="3A91E987" w14:textId="77777777" w:rsidR="00FC4BA0" w:rsidRPr="007D03F5" w:rsidRDefault="00FC4BA0" w:rsidP="00CF52A1">
      <w:pPr>
        <w:pStyle w:val="Pro-Inwest"/>
        <w:numPr>
          <w:ilvl w:val="0"/>
          <w:numId w:val="122"/>
        </w:numPr>
        <w:jc w:val="both"/>
        <w:rPr>
          <w:rFonts w:asciiTheme="minorHAnsi" w:hAnsiTheme="minorHAnsi"/>
          <w:sz w:val="16"/>
          <w:szCs w:val="16"/>
        </w:rPr>
      </w:pPr>
      <w:r w:rsidRPr="007D03F5">
        <w:rPr>
          <w:rFonts w:asciiTheme="minorHAnsi" w:hAnsiTheme="minorHAnsi"/>
          <w:sz w:val="16"/>
          <w:szCs w:val="16"/>
        </w:rPr>
        <w:t>z betonu zbrojonego,</w:t>
      </w:r>
    </w:p>
    <w:p w14:paraId="0AB8BA2F" w14:textId="77777777" w:rsidR="00FC4BA0" w:rsidRPr="007D03F5" w:rsidRDefault="00FC4BA0" w:rsidP="00CF52A1">
      <w:pPr>
        <w:pStyle w:val="Pro-Inwest"/>
        <w:numPr>
          <w:ilvl w:val="0"/>
          <w:numId w:val="122"/>
        </w:numPr>
        <w:jc w:val="both"/>
        <w:rPr>
          <w:rFonts w:asciiTheme="minorHAnsi" w:hAnsiTheme="minorHAnsi"/>
          <w:sz w:val="16"/>
          <w:szCs w:val="16"/>
        </w:rPr>
      </w:pPr>
      <w:r w:rsidRPr="007D03F5">
        <w:rPr>
          <w:rFonts w:asciiTheme="minorHAnsi" w:hAnsiTheme="minorHAnsi"/>
          <w:sz w:val="16"/>
          <w:szCs w:val="16"/>
        </w:rPr>
        <w:t>inne rozwiązania zaakceptowane przez Inżyniera.</w:t>
      </w:r>
    </w:p>
    <w:p w14:paraId="6BCB644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Dla fundamentów należy opracować dokumentację techniczną zgodną z obowiązującymi przepisami.</w:t>
      </w:r>
    </w:p>
    <w:p w14:paraId="74D200E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Fundamenty pod konstrukcje wsporcze oznakowania kierunkowego należy wykonać z betonu lub betonu zbrojonego klasy, co najmniej C16/20 wg PN-EN 206-1:2000 [9]. Zbrojenia stalowe należy wykonać  zgodnie z normą PN-B-03264:1984 [7]. Wykonanie i osadzenie kotew fundamentowych należy wykonać  zgodnie z normą PN-B-03215:1998 [6]. Posadowienie fundamentów należy wykonać na głębokość poniżej przemarzania gruntu.</w:t>
      </w:r>
    </w:p>
    <w:p w14:paraId="3778ADE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2.4. Konstrukcje wsporcze</w:t>
      </w:r>
    </w:p>
    <w:p w14:paraId="2BB43BA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lastRenderedPageBreak/>
        <w:t>2.4.1. Ogólne charakterystyki konstrukcji</w:t>
      </w:r>
    </w:p>
    <w:p w14:paraId="3C60589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Konstrukcje wsporcze znaków pionowych należy wykonać zgodnie z dokumentacją projektową uwzględniającą wymagania postawione w PN-EN 12899-1:2005[16] i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a w przypadku braku wystarczających ustaleń, zgodnie z propozycją Wykonawcy zaakceptowaną przez Inżyniera.</w:t>
      </w:r>
    </w:p>
    <w:p w14:paraId="57348A0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Konstrukcje wsporcze do znaków i tablic należy zaprojektować i wykonać w sposób gwarantujący stabilne i prawidłowe ustawienie w pasie drogowym. </w:t>
      </w:r>
    </w:p>
    <w:p w14:paraId="15A0063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12 767:2003 [15].  </w:t>
      </w:r>
    </w:p>
    <w:p w14:paraId="371B0D0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Wyróżnia się trzy kategorie biernego bezpieczeństwa dla konstrukcji wsporczych:</w:t>
      </w:r>
    </w:p>
    <w:p w14:paraId="23CF7CFE" w14:textId="77777777" w:rsidR="00FC4BA0" w:rsidRPr="007D03F5" w:rsidRDefault="00FC4BA0" w:rsidP="00CF52A1">
      <w:pPr>
        <w:pStyle w:val="Pro-Inwest"/>
        <w:numPr>
          <w:ilvl w:val="0"/>
          <w:numId w:val="123"/>
        </w:numPr>
        <w:jc w:val="both"/>
        <w:rPr>
          <w:rFonts w:asciiTheme="minorHAnsi" w:hAnsiTheme="minorHAnsi"/>
          <w:sz w:val="16"/>
          <w:szCs w:val="16"/>
        </w:rPr>
      </w:pPr>
      <w:r w:rsidRPr="007D03F5">
        <w:rPr>
          <w:rFonts w:asciiTheme="minorHAnsi" w:hAnsiTheme="minorHAnsi"/>
          <w:sz w:val="16"/>
          <w:szCs w:val="16"/>
        </w:rPr>
        <w:t>pochłaniająca energię w wysokim stopniu (HE),</w:t>
      </w:r>
    </w:p>
    <w:p w14:paraId="69FADFA2" w14:textId="77777777" w:rsidR="00FC4BA0" w:rsidRPr="007D03F5" w:rsidRDefault="00FC4BA0" w:rsidP="00CF52A1">
      <w:pPr>
        <w:pStyle w:val="Pro-Inwest"/>
        <w:numPr>
          <w:ilvl w:val="0"/>
          <w:numId w:val="123"/>
        </w:numPr>
        <w:jc w:val="both"/>
        <w:rPr>
          <w:rFonts w:asciiTheme="minorHAnsi" w:hAnsiTheme="minorHAnsi"/>
          <w:sz w:val="16"/>
          <w:szCs w:val="16"/>
        </w:rPr>
      </w:pPr>
      <w:r w:rsidRPr="007D03F5">
        <w:rPr>
          <w:rFonts w:asciiTheme="minorHAnsi" w:hAnsiTheme="minorHAnsi"/>
          <w:sz w:val="16"/>
          <w:szCs w:val="16"/>
        </w:rPr>
        <w:t>pochłaniająca energię w niskim stopniu (LE),</w:t>
      </w:r>
    </w:p>
    <w:p w14:paraId="58622F01" w14:textId="77777777" w:rsidR="00FC4BA0" w:rsidRPr="007D03F5" w:rsidRDefault="00FC4BA0" w:rsidP="00CF52A1">
      <w:pPr>
        <w:pStyle w:val="Pro-Inwest"/>
        <w:numPr>
          <w:ilvl w:val="0"/>
          <w:numId w:val="123"/>
        </w:numPr>
        <w:jc w:val="both"/>
        <w:rPr>
          <w:rFonts w:asciiTheme="minorHAnsi" w:hAnsiTheme="minorHAnsi"/>
          <w:sz w:val="16"/>
          <w:szCs w:val="16"/>
        </w:rPr>
      </w:pPr>
      <w:r w:rsidRPr="007D03F5">
        <w:rPr>
          <w:rFonts w:asciiTheme="minorHAnsi" w:hAnsiTheme="minorHAnsi"/>
          <w:sz w:val="16"/>
          <w:szCs w:val="16"/>
        </w:rPr>
        <w:t>nie pochłaniająca energii (NE).</w:t>
      </w:r>
    </w:p>
    <w:p w14:paraId="49B21B7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2.4.2.</w:t>
      </w:r>
      <w:r w:rsidRPr="007D03F5">
        <w:rPr>
          <w:rFonts w:asciiTheme="minorHAnsi" w:hAnsiTheme="minorHAnsi"/>
          <w:sz w:val="16"/>
          <w:szCs w:val="16"/>
        </w:rPr>
        <w:t xml:space="preserve"> Rury</w:t>
      </w:r>
    </w:p>
    <w:p w14:paraId="50D3B55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Rury powinny odpowiadać wymaganiom PN-H-74200:1998, [22], PN-84/H-74220 [3] lub innej normy zaakceptowanej przez Inżyniera.</w:t>
      </w:r>
    </w:p>
    <w:p w14:paraId="64E084A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144EB1E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Końce rur powinny być obcięte równo i prostopadle do osi rury.</w:t>
      </w:r>
    </w:p>
    <w:p w14:paraId="2A0C72B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Pożądane jest, aby rury były dostarczane o długościach:</w:t>
      </w:r>
    </w:p>
    <w:p w14:paraId="3A9AABD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dokładnych, zgodnych z zamówieniem; z dopuszczalną odchyłką </w:t>
      </w:r>
      <w:r w:rsidRPr="007D03F5">
        <w:rPr>
          <w:rFonts w:asciiTheme="minorHAnsi" w:hAnsiTheme="minorHAnsi"/>
          <w:sz w:val="16"/>
          <w:szCs w:val="16"/>
        </w:rPr>
        <w:sym w:font="Arial" w:char="F0B1"/>
      </w:r>
      <w:r w:rsidRPr="007D03F5">
        <w:rPr>
          <w:rFonts w:asciiTheme="minorHAnsi" w:hAnsiTheme="minorHAnsi"/>
          <w:sz w:val="16"/>
          <w:szCs w:val="16"/>
        </w:rPr>
        <w:t xml:space="preserve"> 10 mm,</w:t>
      </w:r>
    </w:p>
    <w:p w14:paraId="5ABFB95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wielokrotnych w stosunku do zamówionych długości dokładnych poniżej 3 m z naddatkiem 5 mm na każde cięcie i z dopuszczalną odchyłką dla całej długości wielokrotnej, jak dla długości dokładnych.</w:t>
      </w:r>
    </w:p>
    <w:p w14:paraId="08351A3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Rury powinny być proste. Dopuszczalna miejscowa krzywizna nie powinna przekraczać 1,5 mm na 1 m długości rury.</w:t>
      </w:r>
    </w:p>
    <w:p w14:paraId="783B75E3"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Rury powinny być wykonane ze stali w gatunkach dopuszczonych przez PN-H-84023.07 [5], lub inne normy. </w:t>
      </w:r>
    </w:p>
    <w:p w14:paraId="1C26715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Rury powinny być dostarczone bez opakowania w wiązkach lub luzem względnie w opakowaniu uzgodnionym z Zamawiającym. Rury powinny być cechowane indywidualnie lub na przywieszkach metalowych.</w:t>
      </w:r>
    </w:p>
    <w:p w14:paraId="09D7C5D8"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2.4.3.</w:t>
      </w:r>
      <w:r w:rsidRPr="007D03F5">
        <w:rPr>
          <w:rFonts w:asciiTheme="minorHAnsi" w:hAnsiTheme="minorHAnsi"/>
          <w:sz w:val="16"/>
          <w:szCs w:val="16"/>
        </w:rPr>
        <w:t xml:space="preserve"> Kształtowniki</w:t>
      </w:r>
    </w:p>
    <w:p w14:paraId="35CDA6C4"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Kształtowniki powinny odpowiadać wymaganiom PN-91/H-93010 [23].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14:paraId="2D8388F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Kształtowniki powinny być obcięte prostopadle do osi wzdłużnej kształtownika. Powierzchnia końców kształtownika nie powinna wykazywać rzadzizn, rozwarstwień, pęknięć i śladów jamy skurczowej widocznych nie uzbrojonym okiem.</w:t>
      </w:r>
    </w:p>
    <w:p w14:paraId="2A2B3F4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Kształtowniki powinny być ze stali St3W lub St4W oraz mieć własności mechaniczne według aktualnej normy uzgodnionej pomiędzy Zamawiającym i wytwórcą.</w:t>
      </w:r>
    </w:p>
    <w:p w14:paraId="582874A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2.4.4.</w:t>
      </w:r>
      <w:r w:rsidRPr="007D03F5">
        <w:rPr>
          <w:rFonts w:asciiTheme="minorHAnsi" w:hAnsiTheme="minorHAnsi"/>
          <w:sz w:val="16"/>
          <w:szCs w:val="16"/>
        </w:rPr>
        <w:t xml:space="preserve"> Powłoki metalizacyjne cynkowe</w:t>
      </w:r>
    </w:p>
    <w:p w14:paraId="23109C1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W przypadku zastosowania powłoki metalizacyjnej cynkowej na konstrukcjach stalowych, powinna ona spełniać wymagania PN EN ISO 1461:2000 [12] i PN-EN 10240:2001 [12a]. Minimalna grubość powłoki cynkowej powinna wynosić 60 </w:t>
      </w:r>
      <w:r w:rsidRPr="007D03F5">
        <w:rPr>
          <w:rFonts w:asciiTheme="minorHAnsi" w:hAnsiTheme="minorHAnsi"/>
          <w:sz w:val="16"/>
          <w:szCs w:val="16"/>
        </w:rPr>
        <w:sym w:font="Arial" w:char="F06D"/>
      </w:r>
      <w:r w:rsidRPr="007D03F5">
        <w:rPr>
          <w:rFonts w:asciiTheme="minorHAnsi" w:hAnsiTheme="minorHAnsi"/>
          <w:sz w:val="16"/>
          <w:szCs w:val="16"/>
        </w:rPr>
        <w:t>m.</w:t>
      </w:r>
    </w:p>
    <w:p w14:paraId="4F40DB4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Powierzchnia powłoki powinna być ciągła i jednorodna pod względem ziarnistości. Nie może ona wykazywać widocznych wad jak rysy, pęknięcia, pęcherze lub odstawanie powłoki od podłoża.</w:t>
      </w:r>
    </w:p>
    <w:p w14:paraId="0628D9C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2.4.5.</w:t>
      </w:r>
      <w:r w:rsidRPr="007D03F5">
        <w:rPr>
          <w:rFonts w:asciiTheme="minorHAnsi" w:hAnsiTheme="minorHAnsi"/>
          <w:sz w:val="16"/>
          <w:szCs w:val="16"/>
        </w:rPr>
        <w:t xml:space="preserve"> Gwarancja producenta lub dostawcy na konstrukcję wsporczą</w:t>
      </w:r>
    </w:p>
    <w:p w14:paraId="6836AC5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147E365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48F65116"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2.5. Tarcza znaku</w:t>
      </w:r>
    </w:p>
    <w:p w14:paraId="2C919169"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2.5.1.</w:t>
      </w:r>
      <w:r w:rsidRPr="007D03F5">
        <w:rPr>
          <w:rFonts w:asciiTheme="minorHAnsi" w:hAnsiTheme="minorHAnsi"/>
          <w:sz w:val="16"/>
          <w:szCs w:val="16"/>
        </w:rPr>
        <w:t xml:space="preserve">  Trwałość materiałów na wpływy zewnętrzne</w:t>
      </w:r>
    </w:p>
    <w:p w14:paraId="6784298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14:paraId="54393B3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2.5.2.</w:t>
      </w:r>
      <w:r w:rsidRPr="007D03F5">
        <w:rPr>
          <w:rFonts w:asciiTheme="minorHAnsi" w:hAnsiTheme="minorHAnsi"/>
          <w:sz w:val="16"/>
          <w:szCs w:val="16"/>
        </w:rPr>
        <w:t xml:space="preserve"> Warunki gwarancyjne producenta lub dostawcy znaku</w:t>
      </w:r>
    </w:p>
    <w:p w14:paraId="32A08DE9"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Producent lub dostawca znaku obowiązany jest przy dostawie określić, uzgodnioną z odbiorcą, trwałość znaku oraz warunki gwarancyjne dla znaku, a także udostępnić na życzenie odbiorcy:</w:t>
      </w:r>
    </w:p>
    <w:p w14:paraId="5470E59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instrukcję montażu znaku,</w:t>
      </w:r>
    </w:p>
    <w:p w14:paraId="0A2458F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lastRenderedPageBreak/>
        <w:t>dane szczegółowe o ewentualnych ograniczeniach w stosowaniu znaku,</w:t>
      </w:r>
    </w:p>
    <w:p w14:paraId="2F762C1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instrukcję utrzymania znaku.</w:t>
      </w:r>
    </w:p>
    <w:p w14:paraId="63871E5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Trwałość znaku powinna być co najmniej równa trwałości zastosowanej folii. Minimalne okresy gwarancyjne powinny wynosić  dla znaków z folią typu 2 – 10 lat.</w:t>
      </w:r>
    </w:p>
    <w:p w14:paraId="51A3C639"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2.5.3.</w:t>
      </w:r>
      <w:r w:rsidRPr="007D03F5">
        <w:rPr>
          <w:rFonts w:asciiTheme="minorHAnsi" w:hAnsiTheme="minorHAnsi"/>
          <w:sz w:val="16"/>
          <w:szCs w:val="16"/>
        </w:rPr>
        <w:t xml:space="preserve"> Materiały do wykonania tarczy znaku</w:t>
      </w:r>
    </w:p>
    <w:p w14:paraId="12F851A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Tarcza znaku powinna być wykonana z :</w:t>
      </w:r>
    </w:p>
    <w:p w14:paraId="5B611815" w14:textId="77777777" w:rsidR="00FC4BA0" w:rsidRPr="007D03F5" w:rsidRDefault="00FC4BA0" w:rsidP="00CF52A1">
      <w:pPr>
        <w:pStyle w:val="Pro-Inwest"/>
        <w:numPr>
          <w:ilvl w:val="0"/>
          <w:numId w:val="124"/>
        </w:numPr>
        <w:jc w:val="both"/>
        <w:rPr>
          <w:rFonts w:asciiTheme="minorHAnsi" w:hAnsiTheme="minorHAnsi"/>
          <w:sz w:val="16"/>
          <w:szCs w:val="16"/>
        </w:rPr>
      </w:pPr>
      <w:r w:rsidRPr="007D03F5">
        <w:rPr>
          <w:rFonts w:asciiTheme="minorHAnsi" w:hAnsiTheme="minorHAnsi"/>
          <w:sz w:val="16"/>
          <w:szCs w:val="16"/>
        </w:rPr>
        <w:t xml:space="preserve">blachy ocynkowanej ogniowo o grubości min. 1,25 mm wg PN-EN 10327:2005(U) [14] lub PN-EN 10292:2003/A1:2004/A1:2005(U) [13], </w:t>
      </w:r>
    </w:p>
    <w:p w14:paraId="36E5C21C" w14:textId="77777777" w:rsidR="00FC4BA0" w:rsidRPr="007D03F5" w:rsidRDefault="00FC4BA0" w:rsidP="00CF52A1">
      <w:pPr>
        <w:pStyle w:val="Pro-Inwest"/>
        <w:numPr>
          <w:ilvl w:val="0"/>
          <w:numId w:val="124"/>
        </w:numPr>
        <w:jc w:val="both"/>
        <w:rPr>
          <w:rFonts w:asciiTheme="minorHAnsi" w:hAnsiTheme="minorHAnsi"/>
          <w:sz w:val="16"/>
          <w:szCs w:val="16"/>
        </w:rPr>
      </w:pPr>
      <w:r w:rsidRPr="007D03F5">
        <w:rPr>
          <w:rFonts w:asciiTheme="minorHAnsi" w:hAnsiTheme="minorHAnsi"/>
          <w:sz w:val="16"/>
          <w:szCs w:val="16"/>
        </w:rPr>
        <w:t>blachy aluminiowej o grubości min. 1,5 m wg PN-EN 485-4:1997 [10],</w:t>
      </w:r>
    </w:p>
    <w:p w14:paraId="275475E7" w14:textId="77777777" w:rsidR="00FC4BA0" w:rsidRPr="007D03F5" w:rsidRDefault="00FC4BA0" w:rsidP="00CF52A1">
      <w:pPr>
        <w:pStyle w:val="Pro-Inwest"/>
        <w:numPr>
          <w:ilvl w:val="0"/>
          <w:numId w:val="124"/>
        </w:numPr>
        <w:jc w:val="both"/>
        <w:rPr>
          <w:rFonts w:asciiTheme="minorHAnsi" w:hAnsiTheme="minorHAnsi"/>
          <w:sz w:val="16"/>
          <w:szCs w:val="16"/>
        </w:rPr>
      </w:pPr>
      <w:r w:rsidRPr="007D03F5">
        <w:rPr>
          <w:rFonts w:asciiTheme="minorHAnsi" w:hAnsiTheme="minorHAnsi"/>
          <w:sz w:val="16"/>
          <w:szCs w:val="16"/>
        </w:rPr>
        <w:t>innych materiałów, np. tworzyw syntetycznych, pod warunkiem uzyskania przez producenta aprobaty technicznej.</w:t>
      </w:r>
    </w:p>
    <w:p w14:paraId="6E3BEE9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Tarcza tablicy o powierzchni &gt; 1 m2  powinna być wykonana z :</w:t>
      </w:r>
    </w:p>
    <w:p w14:paraId="0C3C0DBD" w14:textId="77777777" w:rsidR="00FC4BA0" w:rsidRPr="007D03F5" w:rsidRDefault="00FC4BA0" w:rsidP="00CF52A1">
      <w:pPr>
        <w:pStyle w:val="Pro-Inwest"/>
        <w:numPr>
          <w:ilvl w:val="0"/>
          <w:numId w:val="125"/>
        </w:numPr>
        <w:jc w:val="both"/>
        <w:rPr>
          <w:rFonts w:asciiTheme="minorHAnsi" w:hAnsiTheme="minorHAnsi"/>
          <w:sz w:val="16"/>
          <w:szCs w:val="16"/>
        </w:rPr>
      </w:pPr>
      <w:r w:rsidRPr="007D03F5">
        <w:rPr>
          <w:rFonts w:asciiTheme="minorHAnsi" w:hAnsiTheme="minorHAnsi"/>
          <w:sz w:val="16"/>
          <w:szCs w:val="16"/>
        </w:rPr>
        <w:t>blachy ocynkowanej ogniowo o grubości min. 1,5 mm wg   PN-EN 10327:2005 (U) [14] lub PN-EN 10292:2003/ A1:2004/A1:2005(U) [13] lub z</w:t>
      </w:r>
    </w:p>
    <w:p w14:paraId="76E7D636" w14:textId="77777777" w:rsidR="00FC4BA0" w:rsidRPr="007D03F5" w:rsidRDefault="00FC4BA0" w:rsidP="00CF52A1">
      <w:pPr>
        <w:pStyle w:val="Pro-Inwest"/>
        <w:numPr>
          <w:ilvl w:val="0"/>
          <w:numId w:val="125"/>
        </w:numPr>
        <w:jc w:val="both"/>
        <w:rPr>
          <w:rFonts w:asciiTheme="minorHAnsi" w:hAnsiTheme="minorHAnsi"/>
          <w:sz w:val="16"/>
          <w:szCs w:val="16"/>
        </w:rPr>
      </w:pPr>
      <w:r w:rsidRPr="007D03F5">
        <w:rPr>
          <w:rFonts w:asciiTheme="minorHAnsi" w:hAnsiTheme="minorHAnsi"/>
          <w:sz w:val="16"/>
          <w:szCs w:val="16"/>
        </w:rPr>
        <w:t>blachy aluminiowej o grubości min. 2 mm wg PN-EN 485-4:1997 [10].</w:t>
      </w:r>
    </w:p>
    <w:p w14:paraId="3711CB8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Grubość warstwy powłoki cynkowej na blasze stalowej ocynkowanej ogniowo nie może być mniejsza niż 28 </w:t>
      </w:r>
      <w:r w:rsidRPr="007D03F5">
        <w:rPr>
          <w:rFonts w:asciiTheme="minorHAnsi" w:hAnsiTheme="minorHAnsi"/>
          <w:sz w:val="16"/>
          <w:szCs w:val="16"/>
        </w:rPr>
        <w:sym w:font="Arial" w:char="F06D"/>
      </w:r>
      <w:r w:rsidRPr="007D03F5">
        <w:rPr>
          <w:rFonts w:asciiTheme="minorHAnsi" w:hAnsiTheme="minorHAnsi"/>
          <w:sz w:val="16"/>
          <w:szCs w:val="16"/>
        </w:rPr>
        <w:t>m (200 g Zn/m2).</w:t>
      </w:r>
    </w:p>
    <w:p w14:paraId="40BADCD4"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Znaki i tablice powinny spełniać następujące wymagania podane w tablicy 1</w:t>
      </w:r>
    </w:p>
    <w:p w14:paraId="5BB68D7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Tablica 1.Wymagania dla znaków i tarcz znaków drogowych</w:t>
      </w:r>
    </w:p>
    <w:tbl>
      <w:tblPr>
        <w:tblW w:w="0" w:type="auto"/>
        <w:jc w:val="center"/>
        <w:tblLayout w:type="fixed"/>
        <w:tblCellMar>
          <w:left w:w="70" w:type="dxa"/>
          <w:right w:w="70" w:type="dxa"/>
        </w:tblCellMar>
        <w:tblLook w:val="04A0" w:firstRow="1" w:lastRow="0" w:firstColumn="1" w:lastColumn="0" w:noHBand="0" w:noVBand="1"/>
      </w:tblPr>
      <w:tblGrid>
        <w:gridCol w:w="2026"/>
        <w:gridCol w:w="1413"/>
        <w:gridCol w:w="2248"/>
        <w:gridCol w:w="2000"/>
      </w:tblGrid>
      <w:tr w:rsidR="00021789" w:rsidRPr="007D03F5" w14:paraId="6D15CD09" w14:textId="77777777" w:rsidTr="00475945">
        <w:trPr>
          <w:tblHeader/>
          <w:jc w:val="center"/>
        </w:trPr>
        <w:tc>
          <w:tcPr>
            <w:tcW w:w="2026" w:type="dxa"/>
            <w:tcBorders>
              <w:top w:val="single" w:sz="4" w:space="0" w:color="000000"/>
              <w:left w:val="single" w:sz="4" w:space="0" w:color="000000"/>
              <w:bottom w:val="double" w:sz="2" w:space="0" w:color="000000"/>
              <w:right w:val="nil"/>
            </w:tcBorders>
            <w:vAlign w:val="center"/>
            <w:hideMark/>
          </w:tcPr>
          <w:p w14:paraId="055E60B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Parametr</w:t>
            </w:r>
          </w:p>
        </w:tc>
        <w:tc>
          <w:tcPr>
            <w:tcW w:w="1413" w:type="dxa"/>
            <w:tcBorders>
              <w:top w:val="single" w:sz="4" w:space="0" w:color="000000"/>
              <w:left w:val="single" w:sz="4" w:space="0" w:color="000000"/>
              <w:bottom w:val="double" w:sz="2" w:space="0" w:color="000000"/>
              <w:right w:val="nil"/>
            </w:tcBorders>
            <w:vAlign w:val="center"/>
            <w:hideMark/>
          </w:tcPr>
          <w:p w14:paraId="10B0BC0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Jednostka</w:t>
            </w:r>
          </w:p>
        </w:tc>
        <w:tc>
          <w:tcPr>
            <w:tcW w:w="2248" w:type="dxa"/>
            <w:tcBorders>
              <w:top w:val="single" w:sz="4" w:space="0" w:color="000000"/>
              <w:left w:val="single" w:sz="4" w:space="0" w:color="000000"/>
              <w:bottom w:val="double" w:sz="2" w:space="0" w:color="000000"/>
              <w:right w:val="nil"/>
            </w:tcBorders>
            <w:vAlign w:val="center"/>
            <w:hideMark/>
          </w:tcPr>
          <w:p w14:paraId="672900F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Wymaganie</w:t>
            </w:r>
          </w:p>
        </w:tc>
        <w:tc>
          <w:tcPr>
            <w:tcW w:w="2000" w:type="dxa"/>
            <w:tcBorders>
              <w:top w:val="single" w:sz="4" w:space="0" w:color="000000"/>
              <w:left w:val="single" w:sz="4" w:space="0" w:color="000000"/>
              <w:bottom w:val="double" w:sz="2" w:space="0" w:color="000000"/>
              <w:right w:val="single" w:sz="4" w:space="0" w:color="000000"/>
            </w:tcBorders>
            <w:vAlign w:val="center"/>
            <w:hideMark/>
          </w:tcPr>
          <w:p w14:paraId="2B173A6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Klasa wg</w:t>
            </w:r>
          </w:p>
          <w:p w14:paraId="35287B7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PN-EN 12899-1: 2005 [16]</w:t>
            </w:r>
          </w:p>
        </w:tc>
      </w:tr>
      <w:tr w:rsidR="00021789" w:rsidRPr="007D03F5" w14:paraId="56A10E33" w14:textId="77777777" w:rsidTr="00475945">
        <w:trPr>
          <w:jc w:val="center"/>
        </w:trPr>
        <w:tc>
          <w:tcPr>
            <w:tcW w:w="2026" w:type="dxa"/>
            <w:tcBorders>
              <w:top w:val="double" w:sz="2" w:space="0" w:color="000000"/>
              <w:left w:val="single" w:sz="4" w:space="0" w:color="000000"/>
              <w:bottom w:val="single" w:sz="4" w:space="0" w:color="000000"/>
              <w:right w:val="nil"/>
            </w:tcBorders>
            <w:hideMark/>
          </w:tcPr>
          <w:p w14:paraId="7867CAA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Wytrzymałość na obciążenie siłą naporu wiatru</w:t>
            </w:r>
          </w:p>
        </w:tc>
        <w:tc>
          <w:tcPr>
            <w:tcW w:w="1413" w:type="dxa"/>
            <w:tcBorders>
              <w:top w:val="double" w:sz="2" w:space="0" w:color="000000"/>
              <w:left w:val="single" w:sz="4" w:space="0" w:color="000000"/>
              <w:bottom w:val="single" w:sz="4" w:space="0" w:color="000000"/>
              <w:right w:val="nil"/>
            </w:tcBorders>
            <w:hideMark/>
          </w:tcPr>
          <w:p w14:paraId="40D74B27" w14:textId="77777777" w:rsidR="00FC4BA0" w:rsidRPr="007D03F5" w:rsidRDefault="00FC4BA0" w:rsidP="00475945">
            <w:pPr>
              <w:pStyle w:val="Pro-Inwest"/>
              <w:jc w:val="both"/>
              <w:rPr>
                <w:rFonts w:asciiTheme="minorHAnsi" w:hAnsiTheme="minorHAnsi"/>
                <w:sz w:val="16"/>
                <w:szCs w:val="16"/>
                <w:lang w:val="en-US"/>
              </w:rPr>
            </w:pPr>
            <w:proofErr w:type="spellStart"/>
            <w:r w:rsidRPr="007D03F5">
              <w:rPr>
                <w:rFonts w:asciiTheme="minorHAnsi" w:hAnsiTheme="minorHAnsi"/>
                <w:sz w:val="16"/>
                <w:szCs w:val="16"/>
              </w:rPr>
              <w:t>kN</w:t>
            </w:r>
            <w:proofErr w:type="spellEnd"/>
            <w:r w:rsidRPr="007D03F5">
              <w:rPr>
                <w:rFonts w:asciiTheme="minorHAnsi" w:hAnsiTheme="minorHAnsi"/>
                <w:sz w:val="16"/>
                <w:szCs w:val="16"/>
              </w:rPr>
              <w:t xml:space="preserve"> m-2</w:t>
            </w:r>
          </w:p>
        </w:tc>
        <w:tc>
          <w:tcPr>
            <w:tcW w:w="2248" w:type="dxa"/>
            <w:tcBorders>
              <w:top w:val="double" w:sz="2" w:space="0" w:color="000000"/>
              <w:left w:val="single" w:sz="4" w:space="0" w:color="000000"/>
              <w:bottom w:val="single" w:sz="4" w:space="0" w:color="000000"/>
              <w:right w:val="nil"/>
            </w:tcBorders>
            <w:hideMark/>
          </w:tcPr>
          <w:p w14:paraId="1E6AFE32" w14:textId="77777777" w:rsidR="00FC4BA0" w:rsidRPr="007D03F5" w:rsidRDefault="00FC4BA0" w:rsidP="00475945">
            <w:pPr>
              <w:pStyle w:val="Pro-Inwest"/>
              <w:jc w:val="both"/>
              <w:rPr>
                <w:rFonts w:asciiTheme="minorHAnsi" w:hAnsiTheme="minorHAnsi"/>
                <w:sz w:val="16"/>
                <w:szCs w:val="16"/>
                <w:lang w:val="en-US"/>
              </w:rPr>
            </w:pPr>
            <w:r w:rsidRPr="007D03F5">
              <w:rPr>
                <w:rFonts w:asciiTheme="minorHAnsi" w:hAnsiTheme="minorHAnsi"/>
                <w:sz w:val="16"/>
                <w:szCs w:val="16"/>
              </w:rPr>
              <w:sym w:font="Arial" w:char="F0B3"/>
            </w:r>
            <w:r w:rsidRPr="007D03F5">
              <w:rPr>
                <w:rFonts w:asciiTheme="minorHAnsi" w:hAnsiTheme="minorHAnsi"/>
                <w:sz w:val="16"/>
                <w:szCs w:val="16"/>
              </w:rPr>
              <w:t xml:space="preserve"> 0,60</w:t>
            </w:r>
          </w:p>
        </w:tc>
        <w:tc>
          <w:tcPr>
            <w:tcW w:w="2000" w:type="dxa"/>
            <w:tcBorders>
              <w:top w:val="double" w:sz="2" w:space="0" w:color="000000"/>
              <w:left w:val="single" w:sz="4" w:space="0" w:color="000000"/>
              <w:bottom w:val="single" w:sz="4" w:space="0" w:color="000000"/>
              <w:right w:val="single" w:sz="4" w:space="0" w:color="000000"/>
            </w:tcBorders>
            <w:hideMark/>
          </w:tcPr>
          <w:p w14:paraId="09A694A4" w14:textId="77777777" w:rsidR="00FC4BA0" w:rsidRPr="007D03F5" w:rsidRDefault="00FC4BA0" w:rsidP="00475945">
            <w:pPr>
              <w:pStyle w:val="Pro-Inwest"/>
              <w:jc w:val="both"/>
              <w:rPr>
                <w:rFonts w:asciiTheme="minorHAnsi" w:hAnsiTheme="minorHAnsi"/>
                <w:sz w:val="16"/>
                <w:szCs w:val="16"/>
                <w:lang w:val="en-US"/>
              </w:rPr>
            </w:pPr>
            <w:r w:rsidRPr="007D03F5">
              <w:rPr>
                <w:rFonts w:asciiTheme="minorHAnsi" w:hAnsiTheme="minorHAnsi"/>
                <w:sz w:val="16"/>
                <w:szCs w:val="16"/>
              </w:rPr>
              <w:t>WL2</w:t>
            </w:r>
          </w:p>
        </w:tc>
      </w:tr>
      <w:tr w:rsidR="00021789" w:rsidRPr="007D03F5" w14:paraId="3522DCEE" w14:textId="77777777" w:rsidTr="00475945">
        <w:trPr>
          <w:jc w:val="center"/>
        </w:trPr>
        <w:tc>
          <w:tcPr>
            <w:tcW w:w="2026" w:type="dxa"/>
            <w:tcBorders>
              <w:top w:val="single" w:sz="4" w:space="0" w:color="000000"/>
              <w:left w:val="single" w:sz="4" w:space="0" w:color="000000"/>
              <w:bottom w:val="single" w:sz="4" w:space="0" w:color="000000"/>
              <w:right w:val="nil"/>
            </w:tcBorders>
            <w:hideMark/>
          </w:tcPr>
          <w:p w14:paraId="7BAAA45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Wytrzymałość na obciążenie skupione</w:t>
            </w:r>
          </w:p>
        </w:tc>
        <w:tc>
          <w:tcPr>
            <w:tcW w:w="1413" w:type="dxa"/>
            <w:tcBorders>
              <w:top w:val="single" w:sz="4" w:space="0" w:color="000000"/>
              <w:left w:val="single" w:sz="4" w:space="0" w:color="000000"/>
              <w:bottom w:val="single" w:sz="4" w:space="0" w:color="000000"/>
              <w:right w:val="nil"/>
            </w:tcBorders>
            <w:hideMark/>
          </w:tcPr>
          <w:p w14:paraId="5C6EF046" w14:textId="77777777" w:rsidR="00FC4BA0" w:rsidRPr="007D03F5" w:rsidRDefault="00FC4BA0" w:rsidP="00475945">
            <w:pPr>
              <w:pStyle w:val="Pro-Inwest"/>
              <w:jc w:val="both"/>
              <w:rPr>
                <w:rFonts w:asciiTheme="minorHAnsi" w:hAnsiTheme="minorHAnsi"/>
                <w:sz w:val="16"/>
                <w:szCs w:val="16"/>
              </w:rPr>
            </w:pPr>
            <w:proofErr w:type="spellStart"/>
            <w:r w:rsidRPr="007D03F5">
              <w:rPr>
                <w:rFonts w:asciiTheme="minorHAnsi" w:hAnsiTheme="minorHAnsi"/>
                <w:sz w:val="16"/>
                <w:szCs w:val="16"/>
              </w:rPr>
              <w:t>kN</w:t>
            </w:r>
            <w:proofErr w:type="spellEnd"/>
          </w:p>
        </w:tc>
        <w:tc>
          <w:tcPr>
            <w:tcW w:w="2248" w:type="dxa"/>
            <w:tcBorders>
              <w:top w:val="single" w:sz="4" w:space="0" w:color="000000"/>
              <w:left w:val="single" w:sz="4" w:space="0" w:color="000000"/>
              <w:bottom w:val="single" w:sz="4" w:space="0" w:color="000000"/>
              <w:right w:val="nil"/>
            </w:tcBorders>
            <w:hideMark/>
          </w:tcPr>
          <w:p w14:paraId="27048B7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sym w:font="Arial" w:char="F0B3"/>
            </w:r>
            <w:r w:rsidRPr="007D03F5">
              <w:rPr>
                <w:rFonts w:asciiTheme="minorHAnsi" w:hAnsiTheme="minorHAnsi"/>
                <w:sz w:val="16"/>
                <w:szCs w:val="16"/>
              </w:rPr>
              <w:t xml:space="preserve"> 0,50</w:t>
            </w:r>
          </w:p>
        </w:tc>
        <w:tc>
          <w:tcPr>
            <w:tcW w:w="2000" w:type="dxa"/>
            <w:tcBorders>
              <w:top w:val="single" w:sz="4" w:space="0" w:color="000000"/>
              <w:left w:val="single" w:sz="4" w:space="0" w:color="000000"/>
              <w:bottom w:val="single" w:sz="4" w:space="0" w:color="000000"/>
              <w:right w:val="single" w:sz="4" w:space="0" w:color="000000"/>
            </w:tcBorders>
            <w:hideMark/>
          </w:tcPr>
          <w:p w14:paraId="74672C7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PL2</w:t>
            </w:r>
          </w:p>
        </w:tc>
      </w:tr>
      <w:tr w:rsidR="00021789" w:rsidRPr="007D03F5" w14:paraId="149C3C22" w14:textId="77777777" w:rsidTr="00475945">
        <w:trPr>
          <w:jc w:val="center"/>
        </w:trPr>
        <w:tc>
          <w:tcPr>
            <w:tcW w:w="2026" w:type="dxa"/>
            <w:tcBorders>
              <w:top w:val="single" w:sz="4" w:space="0" w:color="000000"/>
              <w:left w:val="single" w:sz="4" w:space="0" w:color="000000"/>
              <w:bottom w:val="single" w:sz="4" w:space="0" w:color="000000"/>
              <w:right w:val="nil"/>
            </w:tcBorders>
            <w:hideMark/>
          </w:tcPr>
          <w:p w14:paraId="1582536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Chwilowe odkształcenie zginające</w:t>
            </w:r>
          </w:p>
        </w:tc>
        <w:tc>
          <w:tcPr>
            <w:tcW w:w="1413" w:type="dxa"/>
            <w:tcBorders>
              <w:top w:val="single" w:sz="4" w:space="0" w:color="000000"/>
              <w:left w:val="single" w:sz="4" w:space="0" w:color="000000"/>
              <w:bottom w:val="single" w:sz="4" w:space="0" w:color="000000"/>
              <w:right w:val="nil"/>
            </w:tcBorders>
            <w:hideMark/>
          </w:tcPr>
          <w:p w14:paraId="43C57D90" w14:textId="77777777" w:rsidR="00FC4BA0" w:rsidRPr="007D03F5" w:rsidRDefault="00FC4BA0" w:rsidP="00475945">
            <w:pPr>
              <w:pStyle w:val="Pro-Inwest"/>
              <w:jc w:val="both"/>
              <w:rPr>
                <w:rFonts w:asciiTheme="minorHAnsi" w:hAnsiTheme="minorHAnsi"/>
                <w:sz w:val="16"/>
                <w:szCs w:val="16"/>
                <w:lang w:val="en-US"/>
              </w:rPr>
            </w:pPr>
            <w:r w:rsidRPr="007D03F5">
              <w:rPr>
                <w:rFonts w:asciiTheme="minorHAnsi" w:hAnsiTheme="minorHAnsi"/>
                <w:sz w:val="16"/>
                <w:szCs w:val="16"/>
              </w:rPr>
              <w:t>mm/m</w:t>
            </w:r>
          </w:p>
        </w:tc>
        <w:tc>
          <w:tcPr>
            <w:tcW w:w="2248" w:type="dxa"/>
            <w:tcBorders>
              <w:top w:val="single" w:sz="4" w:space="0" w:color="000000"/>
              <w:left w:val="single" w:sz="4" w:space="0" w:color="000000"/>
              <w:bottom w:val="single" w:sz="4" w:space="0" w:color="000000"/>
              <w:right w:val="nil"/>
            </w:tcBorders>
            <w:hideMark/>
          </w:tcPr>
          <w:p w14:paraId="0A6EE88A" w14:textId="77777777" w:rsidR="00FC4BA0" w:rsidRPr="007D03F5" w:rsidRDefault="00FC4BA0" w:rsidP="00475945">
            <w:pPr>
              <w:pStyle w:val="Pro-Inwest"/>
              <w:jc w:val="both"/>
              <w:rPr>
                <w:rFonts w:asciiTheme="minorHAnsi" w:hAnsiTheme="minorHAnsi"/>
                <w:sz w:val="16"/>
                <w:szCs w:val="16"/>
                <w:lang w:val="en-US"/>
              </w:rPr>
            </w:pPr>
            <w:r w:rsidRPr="007D03F5">
              <w:rPr>
                <w:rFonts w:asciiTheme="minorHAnsi" w:hAnsiTheme="minorHAnsi"/>
                <w:sz w:val="16"/>
                <w:szCs w:val="16"/>
              </w:rPr>
              <w:sym w:font="Arial" w:char="F0A3"/>
            </w:r>
            <w:r w:rsidRPr="007D03F5">
              <w:rPr>
                <w:rFonts w:asciiTheme="minorHAnsi" w:hAnsiTheme="minorHAnsi"/>
                <w:sz w:val="16"/>
                <w:szCs w:val="16"/>
              </w:rPr>
              <w:t xml:space="preserve"> 25</w:t>
            </w:r>
          </w:p>
        </w:tc>
        <w:tc>
          <w:tcPr>
            <w:tcW w:w="2000" w:type="dxa"/>
            <w:tcBorders>
              <w:top w:val="single" w:sz="4" w:space="0" w:color="000000"/>
              <w:left w:val="single" w:sz="4" w:space="0" w:color="000000"/>
              <w:bottom w:val="single" w:sz="4" w:space="0" w:color="000000"/>
              <w:right w:val="single" w:sz="4" w:space="0" w:color="000000"/>
            </w:tcBorders>
            <w:hideMark/>
          </w:tcPr>
          <w:p w14:paraId="5BDBA6D6" w14:textId="77777777" w:rsidR="00FC4BA0" w:rsidRPr="007D03F5" w:rsidRDefault="00FC4BA0" w:rsidP="00475945">
            <w:pPr>
              <w:pStyle w:val="Pro-Inwest"/>
              <w:jc w:val="both"/>
              <w:rPr>
                <w:rFonts w:asciiTheme="minorHAnsi" w:hAnsiTheme="minorHAnsi"/>
                <w:sz w:val="16"/>
                <w:szCs w:val="16"/>
                <w:lang w:val="en-US"/>
              </w:rPr>
            </w:pPr>
            <w:r w:rsidRPr="007D03F5">
              <w:rPr>
                <w:rFonts w:asciiTheme="minorHAnsi" w:hAnsiTheme="minorHAnsi"/>
                <w:sz w:val="16"/>
                <w:szCs w:val="16"/>
              </w:rPr>
              <w:t>TDB4</w:t>
            </w:r>
          </w:p>
        </w:tc>
      </w:tr>
      <w:tr w:rsidR="00021789" w:rsidRPr="007D03F5" w14:paraId="0BC33D2E" w14:textId="77777777" w:rsidTr="00475945">
        <w:trPr>
          <w:jc w:val="center"/>
        </w:trPr>
        <w:tc>
          <w:tcPr>
            <w:tcW w:w="2026" w:type="dxa"/>
            <w:tcBorders>
              <w:top w:val="single" w:sz="4" w:space="0" w:color="000000"/>
              <w:left w:val="single" w:sz="4" w:space="0" w:color="000000"/>
              <w:bottom w:val="single" w:sz="4" w:space="0" w:color="000000"/>
              <w:right w:val="nil"/>
            </w:tcBorders>
            <w:hideMark/>
          </w:tcPr>
          <w:p w14:paraId="48BB966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Chwilowe odkształcenie skrętne</w:t>
            </w:r>
          </w:p>
        </w:tc>
        <w:tc>
          <w:tcPr>
            <w:tcW w:w="1413" w:type="dxa"/>
            <w:tcBorders>
              <w:top w:val="single" w:sz="4" w:space="0" w:color="000000"/>
              <w:left w:val="single" w:sz="4" w:space="0" w:color="000000"/>
              <w:bottom w:val="single" w:sz="4" w:space="0" w:color="000000"/>
              <w:right w:val="nil"/>
            </w:tcBorders>
            <w:hideMark/>
          </w:tcPr>
          <w:p w14:paraId="5F85D42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stopień </w:t>
            </w:r>
            <w:r w:rsidRPr="007D03F5">
              <w:rPr>
                <w:rFonts w:asciiTheme="minorHAnsi" w:hAnsiTheme="minorHAnsi"/>
                <w:sz w:val="16"/>
                <w:szCs w:val="16"/>
              </w:rPr>
              <w:sym w:font="Arial" w:char="F0D7"/>
            </w:r>
            <w:r w:rsidRPr="007D03F5">
              <w:rPr>
                <w:rFonts w:asciiTheme="minorHAnsi" w:hAnsiTheme="minorHAnsi"/>
                <w:sz w:val="16"/>
                <w:szCs w:val="16"/>
              </w:rPr>
              <w:t xml:space="preserve"> m</w:t>
            </w:r>
          </w:p>
        </w:tc>
        <w:tc>
          <w:tcPr>
            <w:tcW w:w="2248" w:type="dxa"/>
            <w:tcBorders>
              <w:top w:val="single" w:sz="4" w:space="0" w:color="000000"/>
              <w:left w:val="single" w:sz="4" w:space="0" w:color="000000"/>
              <w:bottom w:val="single" w:sz="4" w:space="0" w:color="000000"/>
              <w:right w:val="nil"/>
            </w:tcBorders>
            <w:hideMark/>
          </w:tcPr>
          <w:p w14:paraId="2C286A6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sym w:font="Arial" w:char="F0A3"/>
            </w:r>
            <w:r w:rsidRPr="007D03F5">
              <w:rPr>
                <w:rFonts w:asciiTheme="minorHAnsi" w:hAnsiTheme="minorHAnsi"/>
                <w:sz w:val="16"/>
                <w:szCs w:val="16"/>
              </w:rPr>
              <w:t xml:space="preserve"> 0,02</w:t>
            </w:r>
          </w:p>
          <w:p w14:paraId="2586DEE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sym w:font="Arial" w:char="F0A3"/>
            </w:r>
            <w:r w:rsidRPr="007D03F5">
              <w:rPr>
                <w:rFonts w:asciiTheme="minorHAnsi" w:hAnsiTheme="minorHAnsi"/>
                <w:sz w:val="16"/>
                <w:szCs w:val="16"/>
              </w:rPr>
              <w:t xml:space="preserve"> 0,11</w:t>
            </w:r>
          </w:p>
          <w:p w14:paraId="422192C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sym w:font="Arial" w:char="F0A3"/>
            </w:r>
            <w:r w:rsidRPr="007D03F5">
              <w:rPr>
                <w:rFonts w:asciiTheme="minorHAnsi" w:hAnsiTheme="minorHAnsi"/>
                <w:sz w:val="16"/>
                <w:szCs w:val="16"/>
              </w:rPr>
              <w:t xml:space="preserve"> 0,57</w:t>
            </w:r>
          </w:p>
          <w:p w14:paraId="1D083D0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sym w:font="Arial" w:char="F0A3"/>
            </w:r>
            <w:r w:rsidRPr="007D03F5">
              <w:rPr>
                <w:rFonts w:asciiTheme="minorHAnsi" w:hAnsiTheme="minorHAnsi"/>
                <w:sz w:val="16"/>
                <w:szCs w:val="16"/>
              </w:rPr>
              <w:t xml:space="preserve"> 1,15</w:t>
            </w:r>
          </w:p>
        </w:tc>
        <w:tc>
          <w:tcPr>
            <w:tcW w:w="2000" w:type="dxa"/>
            <w:tcBorders>
              <w:top w:val="single" w:sz="4" w:space="0" w:color="000000"/>
              <w:left w:val="single" w:sz="4" w:space="0" w:color="000000"/>
              <w:bottom w:val="single" w:sz="4" w:space="0" w:color="000000"/>
              <w:right w:val="single" w:sz="4" w:space="0" w:color="000000"/>
            </w:tcBorders>
            <w:hideMark/>
          </w:tcPr>
          <w:p w14:paraId="601AD90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TDT1</w:t>
            </w:r>
          </w:p>
          <w:p w14:paraId="0104384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TDT3</w:t>
            </w:r>
          </w:p>
          <w:p w14:paraId="19EF129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TDT5</w:t>
            </w:r>
          </w:p>
          <w:p w14:paraId="03A92A2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TDT6*</w:t>
            </w:r>
          </w:p>
        </w:tc>
      </w:tr>
      <w:tr w:rsidR="00021789" w:rsidRPr="007D03F5" w14:paraId="3A54540D" w14:textId="77777777" w:rsidTr="00475945">
        <w:trPr>
          <w:jc w:val="center"/>
        </w:trPr>
        <w:tc>
          <w:tcPr>
            <w:tcW w:w="2026" w:type="dxa"/>
            <w:tcBorders>
              <w:top w:val="single" w:sz="4" w:space="0" w:color="000000"/>
              <w:left w:val="single" w:sz="4" w:space="0" w:color="000000"/>
              <w:bottom w:val="single" w:sz="4" w:space="0" w:color="000000"/>
              <w:right w:val="nil"/>
            </w:tcBorders>
            <w:hideMark/>
          </w:tcPr>
          <w:p w14:paraId="5C0EB41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Odkształcenie trwałe</w:t>
            </w:r>
          </w:p>
        </w:tc>
        <w:tc>
          <w:tcPr>
            <w:tcW w:w="1413" w:type="dxa"/>
            <w:tcBorders>
              <w:top w:val="single" w:sz="4" w:space="0" w:color="000000"/>
              <w:left w:val="single" w:sz="4" w:space="0" w:color="000000"/>
              <w:bottom w:val="single" w:sz="4" w:space="0" w:color="000000"/>
              <w:right w:val="nil"/>
            </w:tcBorders>
            <w:hideMark/>
          </w:tcPr>
          <w:p w14:paraId="3B2086A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mm/m  lub stopień </w:t>
            </w:r>
            <w:r w:rsidRPr="007D03F5">
              <w:rPr>
                <w:rFonts w:asciiTheme="minorHAnsi" w:hAnsiTheme="minorHAnsi"/>
                <w:sz w:val="16"/>
                <w:szCs w:val="16"/>
              </w:rPr>
              <w:sym w:font="Arial" w:char="F0D7"/>
            </w:r>
            <w:r w:rsidRPr="007D03F5">
              <w:rPr>
                <w:rFonts w:asciiTheme="minorHAnsi" w:hAnsiTheme="minorHAnsi"/>
                <w:sz w:val="16"/>
                <w:szCs w:val="16"/>
              </w:rPr>
              <w:t xml:space="preserve"> m</w:t>
            </w:r>
          </w:p>
        </w:tc>
        <w:tc>
          <w:tcPr>
            <w:tcW w:w="2248" w:type="dxa"/>
            <w:tcBorders>
              <w:top w:val="single" w:sz="4" w:space="0" w:color="000000"/>
              <w:left w:val="single" w:sz="4" w:space="0" w:color="000000"/>
              <w:bottom w:val="single" w:sz="4" w:space="0" w:color="000000"/>
              <w:right w:val="nil"/>
            </w:tcBorders>
            <w:hideMark/>
          </w:tcPr>
          <w:p w14:paraId="69DB7D9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20 % odkształcenia chwilowego</w:t>
            </w:r>
          </w:p>
        </w:tc>
        <w:tc>
          <w:tcPr>
            <w:tcW w:w="2000" w:type="dxa"/>
            <w:tcBorders>
              <w:top w:val="single" w:sz="4" w:space="0" w:color="000000"/>
              <w:left w:val="single" w:sz="4" w:space="0" w:color="000000"/>
              <w:bottom w:val="single" w:sz="4" w:space="0" w:color="000000"/>
              <w:right w:val="single" w:sz="4" w:space="0" w:color="000000"/>
            </w:tcBorders>
            <w:hideMark/>
          </w:tcPr>
          <w:p w14:paraId="246E663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t>
            </w:r>
          </w:p>
        </w:tc>
      </w:tr>
      <w:tr w:rsidR="00021789" w:rsidRPr="007D03F5" w14:paraId="2E3C71B2" w14:textId="77777777" w:rsidTr="00475945">
        <w:trPr>
          <w:jc w:val="center"/>
        </w:trPr>
        <w:tc>
          <w:tcPr>
            <w:tcW w:w="2026" w:type="dxa"/>
            <w:tcBorders>
              <w:top w:val="single" w:sz="4" w:space="0" w:color="000000"/>
              <w:left w:val="single" w:sz="4" w:space="0" w:color="000000"/>
              <w:bottom w:val="single" w:sz="4" w:space="0" w:color="000000"/>
              <w:right w:val="nil"/>
            </w:tcBorders>
            <w:hideMark/>
          </w:tcPr>
          <w:p w14:paraId="50294B2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Rodzaj krawędzi znaku</w:t>
            </w:r>
          </w:p>
        </w:tc>
        <w:tc>
          <w:tcPr>
            <w:tcW w:w="1413" w:type="dxa"/>
            <w:tcBorders>
              <w:top w:val="single" w:sz="4" w:space="0" w:color="000000"/>
              <w:left w:val="single" w:sz="4" w:space="0" w:color="000000"/>
              <w:bottom w:val="single" w:sz="4" w:space="0" w:color="000000"/>
              <w:right w:val="nil"/>
            </w:tcBorders>
            <w:hideMark/>
          </w:tcPr>
          <w:p w14:paraId="5B357F4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t>
            </w:r>
          </w:p>
        </w:tc>
        <w:tc>
          <w:tcPr>
            <w:tcW w:w="2248" w:type="dxa"/>
            <w:tcBorders>
              <w:top w:val="single" w:sz="4" w:space="0" w:color="000000"/>
              <w:left w:val="single" w:sz="4" w:space="0" w:color="000000"/>
              <w:bottom w:val="single" w:sz="4" w:space="0" w:color="000000"/>
              <w:right w:val="nil"/>
            </w:tcBorders>
            <w:hideMark/>
          </w:tcPr>
          <w:p w14:paraId="2E6155C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Zabezpieczona, krawędź tłoczona, zaginana, prasowana lub zabezpieczona profilem krawędziowym</w:t>
            </w:r>
          </w:p>
        </w:tc>
        <w:tc>
          <w:tcPr>
            <w:tcW w:w="2000" w:type="dxa"/>
            <w:tcBorders>
              <w:top w:val="single" w:sz="4" w:space="0" w:color="000000"/>
              <w:left w:val="single" w:sz="4" w:space="0" w:color="000000"/>
              <w:bottom w:val="single" w:sz="4" w:space="0" w:color="000000"/>
              <w:right w:val="single" w:sz="4" w:space="0" w:color="000000"/>
            </w:tcBorders>
            <w:hideMark/>
          </w:tcPr>
          <w:p w14:paraId="6725BFD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E2</w:t>
            </w:r>
          </w:p>
        </w:tc>
      </w:tr>
      <w:tr w:rsidR="00021789" w:rsidRPr="007D03F5" w14:paraId="367EA8C2" w14:textId="77777777" w:rsidTr="00475945">
        <w:trPr>
          <w:jc w:val="center"/>
        </w:trPr>
        <w:tc>
          <w:tcPr>
            <w:tcW w:w="2026" w:type="dxa"/>
            <w:tcBorders>
              <w:top w:val="single" w:sz="4" w:space="0" w:color="000000"/>
              <w:left w:val="single" w:sz="4" w:space="0" w:color="000000"/>
              <w:bottom w:val="single" w:sz="4" w:space="0" w:color="000000"/>
              <w:right w:val="nil"/>
            </w:tcBorders>
            <w:hideMark/>
          </w:tcPr>
          <w:p w14:paraId="5FE2790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Przewiercanie lica znaku</w:t>
            </w:r>
          </w:p>
        </w:tc>
        <w:tc>
          <w:tcPr>
            <w:tcW w:w="1413" w:type="dxa"/>
            <w:tcBorders>
              <w:top w:val="single" w:sz="4" w:space="0" w:color="000000"/>
              <w:left w:val="single" w:sz="4" w:space="0" w:color="000000"/>
              <w:bottom w:val="single" w:sz="4" w:space="0" w:color="000000"/>
              <w:right w:val="nil"/>
            </w:tcBorders>
            <w:hideMark/>
          </w:tcPr>
          <w:p w14:paraId="0E4ADB3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t>
            </w:r>
          </w:p>
        </w:tc>
        <w:tc>
          <w:tcPr>
            <w:tcW w:w="2248" w:type="dxa"/>
            <w:tcBorders>
              <w:top w:val="single" w:sz="4" w:space="0" w:color="000000"/>
              <w:left w:val="single" w:sz="4" w:space="0" w:color="000000"/>
              <w:bottom w:val="single" w:sz="4" w:space="0" w:color="000000"/>
              <w:right w:val="nil"/>
            </w:tcBorders>
            <w:hideMark/>
          </w:tcPr>
          <w:p w14:paraId="68C796C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Lico znaku nie może być przewiercone z żadnego powodu</w:t>
            </w:r>
          </w:p>
        </w:tc>
        <w:tc>
          <w:tcPr>
            <w:tcW w:w="2000" w:type="dxa"/>
            <w:tcBorders>
              <w:top w:val="single" w:sz="4" w:space="0" w:color="000000"/>
              <w:left w:val="single" w:sz="4" w:space="0" w:color="000000"/>
              <w:bottom w:val="single" w:sz="4" w:space="0" w:color="000000"/>
              <w:right w:val="single" w:sz="4" w:space="0" w:color="000000"/>
            </w:tcBorders>
            <w:hideMark/>
          </w:tcPr>
          <w:p w14:paraId="4BEF4D8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P3</w:t>
            </w:r>
          </w:p>
        </w:tc>
      </w:tr>
      <w:tr w:rsidR="00181ACA" w:rsidRPr="007D03F5" w14:paraId="57344952" w14:textId="77777777" w:rsidTr="00475945">
        <w:trPr>
          <w:jc w:val="center"/>
        </w:trPr>
        <w:tc>
          <w:tcPr>
            <w:tcW w:w="7687" w:type="dxa"/>
            <w:gridSpan w:val="4"/>
            <w:tcBorders>
              <w:top w:val="single" w:sz="4" w:space="0" w:color="000000"/>
              <w:left w:val="single" w:sz="4" w:space="0" w:color="000000"/>
              <w:bottom w:val="single" w:sz="4" w:space="0" w:color="000000"/>
              <w:right w:val="single" w:sz="4" w:space="0" w:color="000000"/>
            </w:tcBorders>
            <w:hideMark/>
          </w:tcPr>
          <w:p w14:paraId="341CFD7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klasę TDT3 stosuje się dla tablic na 2 lub więcej podporach, klasę TDT 5 dla tablic na jednej podporze, klasę TDT1 dla tablic na konstrukcjach bramowych, klasę TDT6 dla tablic na konstrukcjach wysięgnikowych</w:t>
            </w:r>
          </w:p>
        </w:tc>
      </w:tr>
    </w:tbl>
    <w:p w14:paraId="0BEDA423" w14:textId="77777777" w:rsidR="00FC4BA0" w:rsidRPr="007D03F5" w:rsidRDefault="00FC4BA0" w:rsidP="00FC4BA0">
      <w:pPr>
        <w:pStyle w:val="Pro-Inwest"/>
        <w:jc w:val="both"/>
        <w:rPr>
          <w:rFonts w:asciiTheme="minorHAnsi" w:hAnsiTheme="minorHAnsi"/>
          <w:sz w:val="16"/>
          <w:szCs w:val="16"/>
        </w:rPr>
      </w:pPr>
    </w:p>
    <w:p w14:paraId="36BE81E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Przyjęto zgodnie z tablicą 1, że przy sile naporu wiatru równej 0,6 </w:t>
      </w:r>
      <w:proofErr w:type="spellStart"/>
      <w:r w:rsidRPr="007D03F5">
        <w:rPr>
          <w:rFonts w:asciiTheme="minorHAnsi" w:hAnsiTheme="minorHAnsi"/>
          <w:sz w:val="16"/>
          <w:szCs w:val="16"/>
        </w:rPr>
        <w:t>kN</w:t>
      </w:r>
      <w:proofErr w:type="spellEnd"/>
      <w:r w:rsidRPr="007D03F5">
        <w:rPr>
          <w:rFonts w:asciiTheme="minorHAnsi" w:hAnsiTheme="minorHAnsi"/>
          <w:sz w:val="16"/>
          <w:szCs w:val="16"/>
        </w:rPr>
        <w:t xml:space="preserve"> (klasa WL2), chwilowe odkształcenie zginające, zarówno znak, jak i samą tarczę znaku nie może być większe niż 25 mm/m (klasa TDB4).</w:t>
      </w:r>
    </w:p>
    <w:p w14:paraId="458AFED8"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2.5.4.</w:t>
      </w:r>
      <w:r w:rsidRPr="007D03F5">
        <w:rPr>
          <w:rFonts w:asciiTheme="minorHAnsi" w:hAnsiTheme="minorHAnsi"/>
          <w:sz w:val="16"/>
          <w:szCs w:val="16"/>
        </w:rPr>
        <w:t xml:space="preserve"> Warunki wykonania tarczy znaku</w:t>
      </w:r>
    </w:p>
    <w:p w14:paraId="005F829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Tarcze znaków powinny spełniać także następujące wymagania:</w:t>
      </w:r>
    </w:p>
    <w:p w14:paraId="6B2146F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krawędzie tarczy  znaku powinny być usztywnione na całym obwodzie poprzez ich podwójne gięcie o promieniu gięcia nie większym niż 10 mm włącznie z narożnikami lub przez zamocowanie odpowiedniego profilu na całym obwodzie znaku, </w:t>
      </w:r>
    </w:p>
    <w:p w14:paraId="76AD9FA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powierzchnia czołowa tarczy znaku powinna być równa – bez wgięć, pofałdowań i otworów montażowych. Dopuszczalna nierówność wynosi 1 mm/m,</w:t>
      </w:r>
    </w:p>
    <w:p w14:paraId="7DD3551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14:paraId="2F741179"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[4] oraz PN-76/C-81521 [1] w zakresie odporności na działanie mgły solnej oraz wody.  </w:t>
      </w:r>
    </w:p>
    <w:p w14:paraId="12CF18C4"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Tarcze znaków i tablic o powierzchni  &gt; 1 m2 powinny spełniać dodatkowo następujące wymagania:</w:t>
      </w:r>
    </w:p>
    <w:p w14:paraId="2DF5C77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narożniki znaku i tablicy powinny być zaokrąglone, o promieniu zgodnym z wymaganiami określonymi w załączniku nr 1 do rozporządzenia Ministra Infrastruktury z dnia 3 lipca 2003 r. [25] nie mniejszym jednak niż 30 mm, gdy wielkości tego promienia nie wskazano,</w:t>
      </w:r>
    </w:p>
    <w:p w14:paraId="48F1AC7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łączenie poszczególnych segmentów tarczy (dla znaków wielkogabarytowych) wzdłuż poziomej lub pionowej krawędzi  powinno być wykonane w taki sposób, aby nie występowały przesunięcia i prześwity w miejscach ich łączenia. </w:t>
      </w:r>
    </w:p>
    <w:p w14:paraId="7A715C30" w14:textId="77777777" w:rsidR="00944B24" w:rsidRPr="007D03F5" w:rsidRDefault="00944B24" w:rsidP="00FC4BA0">
      <w:pPr>
        <w:pStyle w:val="Pro-Inwest"/>
        <w:jc w:val="both"/>
        <w:rPr>
          <w:rFonts w:asciiTheme="minorHAnsi" w:hAnsiTheme="minorHAnsi"/>
          <w:b/>
          <w:sz w:val="16"/>
          <w:szCs w:val="16"/>
        </w:rPr>
      </w:pPr>
    </w:p>
    <w:p w14:paraId="69EAA847" w14:textId="77777777" w:rsidR="00944B24" w:rsidRPr="007D03F5" w:rsidRDefault="00944B24" w:rsidP="00FC4BA0">
      <w:pPr>
        <w:pStyle w:val="Pro-Inwest"/>
        <w:jc w:val="both"/>
        <w:rPr>
          <w:rFonts w:asciiTheme="minorHAnsi" w:hAnsiTheme="minorHAnsi"/>
          <w:b/>
          <w:sz w:val="16"/>
          <w:szCs w:val="16"/>
        </w:rPr>
      </w:pPr>
    </w:p>
    <w:p w14:paraId="6A469BF5" w14:textId="77777777" w:rsidR="00944B24" w:rsidRPr="007D03F5" w:rsidRDefault="00944B24" w:rsidP="00FC4BA0">
      <w:pPr>
        <w:pStyle w:val="Pro-Inwest"/>
        <w:jc w:val="both"/>
        <w:rPr>
          <w:rFonts w:asciiTheme="minorHAnsi" w:hAnsiTheme="minorHAnsi"/>
          <w:b/>
          <w:sz w:val="16"/>
          <w:szCs w:val="16"/>
        </w:rPr>
      </w:pPr>
    </w:p>
    <w:p w14:paraId="31DA02FC"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lastRenderedPageBreak/>
        <w:t>2.6. Znaki odblaskowe</w:t>
      </w:r>
    </w:p>
    <w:p w14:paraId="13B1567D"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 xml:space="preserve">2.6.1. </w:t>
      </w:r>
      <w:r w:rsidRPr="007D03F5">
        <w:rPr>
          <w:rFonts w:asciiTheme="minorHAnsi" w:hAnsiTheme="minorHAnsi"/>
          <w:sz w:val="16"/>
          <w:szCs w:val="16"/>
        </w:rPr>
        <w:t>Wymagania dotyczące powierzchni odblaskowej</w:t>
      </w:r>
    </w:p>
    <w:p w14:paraId="154FC43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Znaki drogowe odblaskowe wykonuje się przez naklejenie na tarczę znaku lica wykonanego z samoprzylepnej, aktywowanej przez docisk, folii odblaskowej. Znaki drogowe klasy A, B, D nie odblaskowe, nie są dopuszczone do stosowania na drogach publicznych.</w:t>
      </w:r>
    </w:p>
    <w:p w14:paraId="302649E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Folia odblaskowa (odbijająca powrotnie) powinna spełniać wymagania określone w aprobacie technicznej .</w:t>
      </w:r>
    </w:p>
    <w:p w14:paraId="47EE861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Lico znaku powinno być wykonane z:</w:t>
      </w:r>
    </w:p>
    <w:p w14:paraId="249B6319"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samoprzylepnej folii odblaskowej o właściwościach fotometrycznych i kolorymetrycznych typu 1, typu 2 (folia z kulkami szklanymi lub pryzmatyczna) lub typu 3 (folia pryzmatyczna) potwierdzonych uzyskanymi aprobatami technicznymi dla poszczególnych typów folii,</w:t>
      </w:r>
    </w:p>
    <w:p w14:paraId="78356CC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do nanoszenia barw innych niż biała można stosować: farby transparentne do sitodruku, zalecane przez producenta danej folii, transparentne folie ploterowe posiadające aprobaty techniczne oraz w przypadku folii typu 1 wycinane kształty z folii odblaskowych barwnych,</w:t>
      </w:r>
    </w:p>
    <w:p w14:paraId="349AFF1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dopuszcza się wycinanie kształtów z folii 2 i 3 typu pod warunkiem zabezpieczenia ich krawędzi lakierem zalecanym przez producenta folii,</w:t>
      </w:r>
    </w:p>
    <w:p w14:paraId="3937CA8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nie dopuszcza się stosowania folii o okresie trwałości poniżej 7 lat do znaków stałych,</w:t>
      </w:r>
    </w:p>
    <w:p w14:paraId="2C615BF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 [25].</w:t>
      </w:r>
    </w:p>
    <w:p w14:paraId="2E129C34"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Minimalna początkowa wartość współczynnika odblasku R’(cd·lx-1m-2 ) znaków odblaskowych, zmierzona zgodnie z procedurą zawartą w CIE No.54 [29], używając standardowego </w:t>
      </w:r>
      <w:proofErr w:type="spellStart"/>
      <w:r w:rsidRPr="007D03F5">
        <w:rPr>
          <w:rFonts w:asciiTheme="minorHAnsi" w:hAnsiTheme="minorHAnsi"/>
          <w:sz w:val="16"/>
          <w:szCs w:val="16"/>
        </w:rPr>
        <w:t>iluminanta</w:t>
      </w:r>
      <w:proofErr w:type="spellEnd"/>
      <w:r w:rsidRPr="007D03F5">
        <w:rPr>
          <w:rFonts w:asciiTheme="minorHAnsi" w:hAnsiTheme="minorHAnsi"/>
          <w:sz w:val="16"/>
          <w:szCs w:val="16"/>
        </w:rPr>
        <w:t xml:space="preserve"> A, powinna spełniać odpowiednio wymagania podane w tablicy 2.</w:t>
      </w:r>
    </w:p>
    <w:p w14:paraId="1AFF3F93"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Współczynnik odblasku R’ dla wszystkich kolorów drukowanych, z wyjątkiem białego, nie powinien być mniejszy niż 70 % wartości podanych w tablicy 2 dla znaków z folią typu 2,  zgodnie  z publikacją CIE No 39.2 [28]. Folie odblaskowe pryzmatyczne (typ 3) powinny spełniać minimalne wymagania dla folii typu 2 lub zwiększone wymagania postawione w aprobacie technicznej dla danej folii. </w:t>
      </w:r>
    </w:p>
    <w:p w14:paraId="4D36A538"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W przypadku oświetlenia standardowym </w:t>
      </w:r>
      <w:proofErr w:type="spellStart"/>
      <w:r w:rsidRPr="007D03F5">
        <w:rPr>
          <w:rFonts w:asciiTheme="minorHAnsi" w:hAnsiTheme="minorHAnsi"/>
          <w:sz w:val="16"/>
          <w:szCs w:val="16"/>
        </w:rPr>
        <w:t>iluminantem</w:t>
      </w:r>
      <w:proofErr w:type="spellEnd"/>
      <w:r w:rsidRPr="007D03F5">
        <w:rPr>
          <w:rFonts w:asciiTheme="minorHAnsi" w:hAnsiTheme="minorHAnsi"/>
          <w:sz w:val="16"/>
          <w:szCs w:val="16"/>
        </w:rPr>
        <w:t xml:space="preserve"> D 65 i pomiaru w geometrii 45/0 współrzędne chromatyczności i współczynnik luminancji </w:t>
      </w:r>
      <w:r w:rsidRPr="007D03F5">
        <w:rPr>
          <w:rFonts w:asciiTheme="minorHAnsi" w:hAnsiTheme="minorHAnsi"/>
          <w:sz w:val="16"/>
          <w:szCs w:val="16"/>
        </w:rPr>
        <w:sym w:font="Arial" w:char="F062"/>
      </w:r>
      <w:r w:rsidRPr="007D03F5">
        <w:rPr>
          <w:rFonts w:asciiTheme="minorHAnsi" w:hAnsiTheme="minorHAnsi"/>
          <w:sz w:val="16"/>
          <w:szCs w:val="16"/>
        </w:rPr>
        <w:t xml:space="preserve"> powinny być zgodne z wymaganiami podanymi w tablicach 2 i 3.</w:t>
      </w:r>
    </w:p>
    <w:p w14:paraId="446D45B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Tablica 2. </w:t>
      </w:r>
      <w:r w:rsidRPr="007D03F5">
        <w:rPr>
          <w:rFonts w:asciiTheme="minorHAnsi" w:hAnsiTheme="minorHAnsi"/>
          <w:sz w:val="16"/>
          <w:szCs w:val="16"/>
        </w:rPr>
        <w:tab/>
        <w:t xml:space="preserve">Wymagania dla współczynnika luminancji </w:t>
      </w:r>
      <w:r w:rsidRPr="007D03F5">
        <w:rPr>
          <w:rFonts w:asciiTheme="minorHAnsi" w:hAnsiTheme="minorHAnsi"/>
          <w:sz w:val="16"/>
          <w:szCs w:val="16"/>
        </w:rPr>
        <w:sym w:font="Arial" w:char="F062"/>
      </w:r>
      <w:r w:rsidRPr="007D03F5">
        <w:rPr>
          <w:rFonts w:asciiTheme="minorHAnsi" w:hAnsiTheme="minorHAnsi"/>
          <w:sz w:val="16"/>
          <w:szCs w:val="16"/>
        </w:rPr>
        <w:t xml:space="preserve"> i współrzędnych chromatyczności x, y oraz współczynnika odblasku R’</w:t>
      </w:r>
    </w:p>
    <w:tbl>
      <w:tblPr>
        <w:tblW w:w="0" w:type="auto"/>
        <w:jc w:val="center"/>
        <w:tblLayout w:type="fixed"/>
        <w:tblCellMar>
          <w:left w:w="70" w:type="dxa"/>
          <w:right w:w="70" w:type="dxa"/>
        </w:tblCellMar>
        <w:tblLook w:val="04A0" w:firstRow="1" w:lastRow="0" w:firstColumn="1" w:lastColumn="0" w:noHBand="0" w:noVBand="1"/>
      </w:tblPr>
      <w:tblGrid>
        <w:gridCol w:w="567"/>
        <w:gridCol w:w="2835"/>
        <w:gridCol w:w="993"/>
        <w:gridCol w:w="1557"/>
        <w:gridCol w:w="1730"/>
      </w:tblGrid>
      <w:tr w:rsidR="007D03F5" w:rsidRPr="007D03F5" w14:paraId="0648B24E" w14:textId="77777777" w:rsidTr="00475945">
        <w:trPr>
          <w:trHeight w:val="218"/>
          <w:tblHeader/>
          <w:jc w:val="center"/>
        </w:trPr>
        <w:tc>
          <w:tcPr>
            <w:tcW w:w="567" w:type="dxa"/>
            <w:tcBorders>
              <w:top w:val="single" w:sz="4" w:space="0" w:color="000000"/>
              <w:left w:val="single" w:sz="4" w:space="0" w:color="000000"/>
              <w:bottom w:val="double" w:sz="2" w:space="0" w:color="000000"/>
              <w:right w:val="nil"/>
            </w:tcBorders>
            <w:hideMark/>
          </w:tcPr>
          <w:p w14:paraId="2F1928D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Lp.</w:t>
            </w:r>
          </w:p>
        </w:tc>
        <w:tc>
          <w:tcPr>
            <w:tcW w:w="2835" w:type="dxa"/>
            <w:tcBorders>
              <w:top w:val="single" w:sz="4" w:space="0" w:color="000000"/>
              <w:left w:val="single" w:sz="4" w:space="0" w:color="000000"/>
              <w:bottom w:val="double" w:sz="2" w:space="0" w:color="000000"/>
              <w:right w:val="nil"/>
            </w:tcBorders>
            <w:hideMark/>
          </w:tcPr>
          <w:p w14:paraId="733FCCD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Właściwości</w:t>
            </w:r>
          </w:p>
        </w:tc>
        <w:tc>
          <w:tcPr>
            <w:tcW w:w="993" w:type="dxa"/>
            <w:tcBorders>
              <w:top w:val="single" w:sz="4" w:space="0" w:color="000000"/>
              <w:left w:val="single" w:sz="4" w:space="0" w:color="000000"/>
              <w:bottom w:val="double" w:sz="2" w:space="0" w:color="000000"/>
              <w:right w:val="nil"/>
            </w:tcBorders>
            <w:hideMark/>
          </w:tcPr>
          <w:p w14:paraId="71A32C8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Jednostki</w:t>
            </w:r>
          </w:p>
        </w:tc>
        <w:tc>
          <w:tcPr>
            <w:tcW w:w="3287" w:type="dxa"/>
            <w:gridSpan w:val="2"/>
            <w:tcBorders>
              <w:top w:val="single" w:sz="4" w:space="0" w:color="000000"/>
              <w:left w:val="single" w:sz="4" w:space="0" w:color="000000"/>
              <w:bottom w:val="double" w:sz="2" w:space="0" w:color="000000"/>
              <w:right w:val="single" w:sz="4" w:space="0" w:color="000000"/>
            </w:tcBorders>
            <w:hideMark/>
          </w:tcPr>
          <w:p w14:paraId="1BF0F73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Wymagania</w:t>
            </w:r>
          </w:p>
        </w:tc>
      </w:tr>
      <w:tr w:rsidR="007D03F5" w:rsidRPr="007D03F5" w14:paraId="356D0C33" w14:textId="77777777" w:rsidTr="00475945">
        <w:trPr>
          <w:cantSplit/>
          <w:trHeight w:val="2688"/>
          <w:jc w:val="center"/>
        </w:trPr>
        <w:tc>
          <w:tcPr>
            <w:tcW w:w="567" w:type="dxa"/>
            <w:tcBorders>
              <w:top w:val="single" w:sz="4" w:space="0" w:color="000000"/>
              <w:left w:val="single" w:sz="4" w:space="0" w:color="000000"/>
              <w:bottom w:val="single" w:sz="4" w:space="0" w:color="000000"/>
              <w:right w:val="nil"/>
            </w:tcBorders>
          </w:tcPr>
          <w:p w14:paraId="2DED0C1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w:t>
            </w:r>
          </w:p>
          <w:p w14:paraId="79F59935" w14:textId="77777777" w:rsidR="00FC4BA0" w:rsidRPr="007D03F5" w:rsidRDefault="00FC4BA0" w:rsidP="00475945">
            <w:pPr>
              <w:pStyle w:val="Pro-Inwest"/>
              <w:jc w:val="both"/>
              <w:rPr>
                <w:rFonts w:asciiTheme="minorHAnsi" w:hAnsiTheme="minorHAnsi"/>
                <w:sz w:val="16"/>
                <w:szCs w:val="16"/>
                <w:lang w:val="fr-FR"/>
              </w:rPr>
            </w:pPr>
          </w:p>
          <w:p w14:paraId="5E0371B3" w14:textId="77777777" w:rsidR="00FC4BA0" w:rsidRPr="007D03F5" w:rsidRDefault="00FC4BA0" w:rsidP="00475945">
            <w:pPr>
              <w:pStyle w:val="Pro-Inwest"/>
              <w:jc w:val="both"/>
              <w:rPr>
                <w:rFonts w:asciiTheme="minorHAnsi" w:hAnsiTheme="minorHAnsi"/>
                <w:sz w:val="16"/>
                <w:szCs w:val="16"/>
              </w:rPr>
            </w:pPr>
          </w:p>
          <w:p w14:paraId="452DCC26" w14:textId="77777777" w:rsidR="00FC4BA0" w:rsidRPr="007D03F5" w:rsidRDefault="00FC4BA0" w:rsidP="00475945">
            <w:pPr>
              <w:pStyle w:val="Pro-Inwest"/>
              <w:jc w:val="both"/>
              <w:rPr>
                <w:rFonts w:asciiTheme="minorHAnsi" w:hAnsiTheme="minorHAnsi"/>
                <w:sz w:val="16"/>
                <w:szCs w:val="16"/>
              </w:rPr>
            </w:pPr>
          </w:p>
          <w:p w14:paraId="08FDABC5" w14:textId="77777777" w:rsidR="00FC4BA0" w:rsidRPr="007D03F5" w:rsidRDefault="00FC4BA0" w:rsidP="00475945">
            <w:pPr>
              <w:pStyle w:val="Pro-Inwest"/>
              <w:jc w:val="both"/>
              <w:rPr>
                <w:rFonts w:asciiTheme="minorHAnsi" w:hAnsiTheme="minorHAnsi"/>
                <w:sz w:val="16"/>
                <w:szCs w:val="16"/>
                <w:lang w:val="fr-FR"/>
              </w:rPr>
            </w:pPr>
          </w:p>
        </w:tc>
        <w:tc>
          <w:tcPr>
            <w:tcW w:w="2835" w:type="dxa"/>
            <w:tcBorders>
              <w:top w:val="single" w:sz="4" w:space="0" w:color="000000"/>
              <w:left w:val="single" w:sz="4" w:space="0" w:color="000000"/>
              <w:bottom w:val="single" w:sz="4" w:space="0" w:color="000000"/>
              <w:right w:val="nil"/>
            </w:tcBorders>
            <w:hideMark/>
          </w:tcPr>
          <w:p w14:paraId="06B34F8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Współczynnik odblasku R’ (kąt oświetlenia 5o, kąt obserwacji 0,33o) dla folii:</w:t>
            </w:r>
          </w:p>
          <w:p w14:paraId="27FDBE6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białej</w:t>
            </w:r>
          </w:p>
          <w:p w14:paraId="4C7EA4F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żółtej</w:t>
            </w:r>
          </w:p>
          <w:p w14:paraId="318BD4B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czerwonej</w:t>
            </w:r>
          </w:p>
          <w:p w14:paraId="5C6BB49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zielonej </w:t>
            </w:r>
          </w:p>
          <w:p w14:paraId="2AFCBFD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niebieskiej</w:t>
            </w:r>
          </w:p>
          <w:p w14:paraId="3D58FFB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brązowej</w:t>
            </w:r>
          </w:p>
          <w:p w14:paraId="1A56CA1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pomarańczowej</w:t>
            </w:r>
          </w:p>
          <w:p w14:paraId="0E93166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szarej</w:t>
            </w:r>
          </w:p>
        </w:tc>
        <w:tc>
          <w:tcPr>
            <w:tcW w:w="993" w:type="dxa"/>
            <w:tcBorders>
              <w:top w:val="single" w:sz="4" w:space="0" w:color="000000"/>
              <w:left w:val="single" w:sz="4" w:space="0" w:color="000000"/>
              <w:bottom w:val="single" w:sz="4" w:space="0" w:color="000000"/>
              <w:right w:val="nil"/>
            </w:tcBorders>
            <w:hideMark/>
          </w:tcPr>
          <w:p w14:paraId="3BCECBD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cd/m2lx</w:t>
            </w:r>
          </w:p>
        </w:tc>
        <w:tc>
          <w:tcPr>
            <w:tcW w:w="1557" w:type="dxa"/>
            <w:tcBorders>
              <w:top w:val="single" w:sz="4" w:space="0" w:color="000000"/>
              <w:left w:val="single" w:sz="4" w:space="0" w:color="000000"/>
              <w:bottom w:val="single" w:sz="4" w:space="0" w:color="000000"/>
              <w:right w:val="nil"/>
            </w:tcBorders>
          </w:tcPr>
          <w:p w14:paraId="076F35A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typ 1</w:t>
            </w:r>
          </w:p>
          <w:p w14:paraId="5069F7C5" w14:textId="77777777" w:rsidR="00FC4BA0" w:rsidRPr="007D03F5" w:rsidRDefault="00FC4BA0" w:rsidP="00475945">
            <w:pPr>
              <w:pStyle w:val="Pro-Inwest"/>
              <w:jc w:val="both"/>
              <w:rPr>
                <w:rFonts w:asciiTheme="minorHAnsi" w:hAnsiTheme="minorHAnsi"/>
                <w:sz w:val="16"/>
                <w:szCs w:val="16"/>
              </w:rPr>
            </w:pPr>
          </w:p>
          <w:p w14:paraId="0C5331F0" w14:textId="77777777" w:rsidR="00FC4BA0" w:rsidRPr="007D03F5" w:rsidRDefault="00FC4BA0" w:rsidP="00475945">
            <w:pPr>
              <w:pStyle w:val="Pro-Inwest"/>
              <w:jc w:val="both"/>
              <w:rPr>
                <w:rFonts w:asciiTheme="minorHAnsi" w:hAnsiTheme="minorHAnsi"/>
                <w:sz w:val="16"/>
                <w:szCs w:val="16"/>
                <w:lang w:val="fr-FR"/>
              </w:rPr>
            </w:pPr>
          </w:p>
          <w:p w14:paraId="6EAF70D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50</w:t>
            </w:r>
          </w:p>
          <w:p w14:paraId="5B88F23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35</w:t>
            </w:r>
          </w:p>
          <w:p w14:paraId="2FC05F6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³10</w:t>
            </w:r>
          </w:p>
          <w:p w14:paraId="0217BF5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7</w:t>
            </w:r>
          </w:p>
          <w:p w14:paraId="641441C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2</w:t>
            </w:r>
          </w:p>
          <w:p w14:paraId="782D1D1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0,6</w:t>
            </w:r>
          </w:p>
          <w:p w14:paraId="75C2782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20</w:t>
            </w:r>
          </w:p>
          <w:p w14:paraId="4088B7B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30</w:t>
            </w:r>
          </w:p>
        </w:tc>
        <w:tc>
          <w:tcPr>
            <w:tcW w:w="1730" w:type="dxa"/>
            <w:tcBorders>
              <w:top w:val="single" w:sz="4" w:space="0" w:color="000000"/>
              <w:left w:val="single" w:sz="4" w:space="0" w:color="000000"/>
              <w:bottom w:val="single" w:sz="4" w:space="0" w:color="000000"/>
              <w:right w:val="single" w:sz="4" w:space="0" w:color="000000"/>
            </w:tcBorders>
          </w:tcPr>
          <w:p w14:paraId="57FC432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typ 2</w:t>
            </w:r>
          </w:p>
          <w:p w14:paraId="03A89240" w14:textId="77777777" w:rsidR="00FC4BA0" w:rsidRPr="007D03F5" w:rsidRDefault="00FC4BA0" w:rsidP="00475945">
            <w:pPr>
              <w:pStyle w:val="Pro-Inwest"/>
              <w:jc w:val="both"/>
              <w:rPr>
                <w:rFonts w:asciiTheme="minorHAnsi" w:hAnsiTheme="minorHAnsi"/>
                <w:sz w:val="16"/>
                <w:szCs w:val="16"/>
              </w:rPr>
            </w:pPr>
          </w:p>
          <w:p w14:paraId="74FF5061" w14:textId="77777777" w:rsidR="00FC4BA0" w:rsidRPr="007D03F5" w:rsidRDefault="00FC4BA0" w:rsidP="00475945">
            <w:pPr>
              <w:pStyle w:val="Pro-Inwest"/>
              <w:jc w:val="both"/>
              <w:rPr>
                <w:rFonts w:asciiTheme="minorHAnsi" w:hAnsiTheme="minorHAnsi"/>
                <w:sz w:val="16"/>
                <w:szCs w:val="16"/>
                <w:lang w:val="fr-FR"/>
              </w:rPr>
            </w:pPr>
          </w:p>
          <w:p w14:paraId="01BB7CB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180</w:t>
            </w:r>
          </w:p>
          <w:p w14:paraId="10AD674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120</w:t>
            </w:r>
          </w:p>
          <w:p w14:paraId="675F077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25</w:t>
            </w:r>
          </w:p>
          <w:p w14:paraId="43AE9C2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21</w:t>
            </w:r>
          </w:p>
          <w:p w14:paraId="1CA94CE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14</w:t>
            </w:r>
          </w:p>
          <w:p w14:paraId="25F8E1E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8</w:t>
            </w:r>
          </w:p>
          <w:p w14:paraId="57FE875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65</w:t>
            </w:r>
          </w:p>
          <w:p w14:paraId="5A9C336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³  90</w:t>
            </w:r>
          </w:p>
        </w:tc>
      </w:tr>
      <w:tr w:rsidR="007D03F5" w:rsidRPr="007D03F5" w14:paraId="0E70C80E" w14:textId="77777777" w:rsidTr="00475945">
        <w:trPr>
          <w:jc w:val="center"/>
        </w:trPr>
        <w:tc>
          <w:tcPr>
            <w:tcW w:w="567" w:type="dxa"/>
            <w:tcBorders>
              <w:top w:val="single" w:sz="4" w:space="0" w:color="000000"/>
              <w:left w:val="single" w:sz="4" w:space="0" w:color="000000"/>
              <w:bottom w:val="single" w:sz="4" w:space="0" w:color="000000"/>
              <w:right w:val="nil"/>
            </w:tcBorders>
            <w:hideMark/>
          </w:tcPr>
          <w:p w14:paraId="3379DE3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2</w:t>
            </w:r>
          </w:p>
        </w:tc>
        <w:tc>
          <w:tcPr>
            <w:tcW w:w="2835" w:type="dxa"/>
            <w:tcBorders>
              <w:top w:val="single" w:sz="4" w:space="0" w:color="000000"/>
              <w:left w:val="single" w:sz="4" w:space="0" w:color="000000"/>
              <w:bottom w:val="single" w:sz="4" w:space="0" w:color="000000"/>
              <w:right w:val="nil"/>
            </w:tcBorders>
            <w:hideMark/>
          </w:tcPr>
          <w:p w14:paraId="654DB33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Współczynnik luminancji b i współrzędne chromatyczności x, y *) dla folii:</w:t>
            </w:r>
          </w:p>
          <w:p w14:paraId="70E17F1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białej</w:t>
            </w:r>
          </w:p>
          <w:p w14:paraId="15D5E9C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żółtej</w:t>
            </w:r>
          </w:p>
          <w:p w14:paraId="4A764F5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czerwonej</w:t>
            </w:r>
          </w:p>
          <w:p w14:paraId="37CE5A2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zielonej </w:t>
            </w:r>
          </w:p>
          <w:p w14:paraId="02646D3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niebieskiej</w:t>
            </w:r>
          </w:p>
          <w:p w14:paraId="61BDDC6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brązowej</w:t>
            </w:r>
          </w:p>
          <w:p w14:paraId="4BBD089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pomarańczowej</w:t>
            </w:r>
          </w:p>
          <w:p w14:paraId="2DFFDAB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szarej</w:t>
            </w:r>
          </w:p>
        </w:tc>
        <w:tc>
          <w:tcPr>
            <w:tcW w:w="993" w:type="dxa"/>
            <w:tcBorders>
              <w:top w:val="single" w:sz="4" w:space="0" w:color="000000"/>
              <w:left w:val="single" w:sz="4" w:space="0" w:color="000000"/>
              <w:bottom w:val="single" w:sz="4" w:space="0" w:color="000000"/>
              <w:right w:val="nil"/>
            </w:tcBorders>
            <w:hideMark/>
          </w:tcPr>
          <w:p w14:paraId="4B77092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t>
            </w:r>
          </w:p>
        </w:tc>
        <w:tc>
          <w:tcPr>
            <w:tcW w:w="1557" w:type="dxa"/>
            <w:tcBorders>
              <w:top w:val="single" w:sz="4" w:space="0" w:color="000000"/>
              <w:left w:val="single" w:sz="4" w:space="0" w:color="000000"/>
              <w:bottom w:val="single" w:sz="4" w:space="0" w:color="000000"/>
              <w:right w:val="nil"/>
            </w:tcBorders>
          </w:tcPr>
          <w:p w14:paraId="30A7197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typ 1</w:t>
            </w:r>
          </w:p>
          <w:p w14:paraId="15891DE9" w14:textId="77777777" w:rsidR="00FC4BA0" w:rsidRPr="007D03F5" w:rsidRDefault="00FC4BA0" w:rsidP="00475945">
            <w:pPr>
              <w:pStyle w:val="Pro-Inwest"/>
              <w:jc w:val="both"/>
              <w:rPr>
                <w:rFonts w:asciiTheme="minorHAnsi" w:hAnsiTheme="minorHAnsi"/>
                <w:sz w:val="16"/>
                <w:szCs w:val="16"/>
              </w:rPr>
            </w:pPr>
          </w:p>
          <w:p w14:paraId="484D3D26" w14:textId="77777777" w:rsidR="00FC4BA0" w:rsidRPr="007D03F5" w:rsidRDefault="00FC4BA0" w:rsidP="00475945">
            <w:pPr>
              <w:pStyle w:val="Pro-Inwest"/>
              <w:jc w:val="both"/>
              <w:rPr>
                <w:rFonts w:asciiTheme="minorHAnsi" w:hAnsiTheme="minorHAnsi"/>
                <w:sz w:val="16"/>
                <w:szCs w:val="16"/>
              </w:rPr>
            </w:pPr>
          </w:p>
          <w:p w14:paraId="562FBBE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0,35</w:t>
            </w:r>
          </w:p>
          <w:p w14:paraId="0048C31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0,27</w:t>
            </w:r>
          </w:p>
          <w:p w14:paraId="027052D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0,05</w:t>
            </w:r>
          </w:p>
          <w:p w14:paraId="2A260E7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0,04</w:t>
            </w:r>
          </w:p>
          <w:p w14:paraId="1106D59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0,01</w:t>
            </w:r>
          </w:p>
          <w:p w14:paraId="4E3C2BE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0,09 ³b ³ 0,03</w:t>
            </w:r>
          </w:p>
          <w:p w14:paraId="756C0CC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0,17</w:t>
            </w:r>
          </w:p>
          <w:p w14:paraId="4D33DD2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0,18 ³b ³ 0,12</w:t>
            </w:r>
          </w:p>
        </w:tc>
        <w:tc>
          <w:tcPr>
            <w:tcW w:w="1730" w:type="dxa"/>
            <w:tcBorders>
              <w:top w:val="single" w:sz="4" w:space="0" w:color="000000"/>
              <w:left w:val="single" w:sz="4" w:space="0" w:color="000000"/>
              <w:bottom w:val="single" w:sz="4" w:space="0" w:color="000000"/>
              <w:right w:val="single" w:sz="4" w:space="0" w:color="000000"/>
            </w:tcBorders>
          </w:tcPr>
          <w:p w14:paraId="59B8028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typ 2</w:t>
            </w:r>
          </w:p>
          <w:p w14:paraId="0344C078" w14:textId="77777777" w:rsidR="00FC4BA0" w:rsidRPr="007D03F5" w:rsidRDefault="00FC4BA0" w:rsidP="00475945">
            <w:pPr>
              <w:pStyle w:val="Pro-Inwest"/>
              <w:jc w:val="both"/>
              <w:rPr>
                <w:rFonts w:asciiTheme="minorHAnsi" w:hAnsiTheme="minorHAnsi"/>
                <w:sz w:val="16"/>
                <w:szCs w:val="16"/>
              </w:rPr>
            </w:pPr>
          </w:p>
          <w:p w14:paraId="7F987882" w14:textId="77777777" w:rsidR="00FC4BA0" w:rsidRPr="007D03F5" w:rsidRDefault="00FC4BA0" w:rsidP="00475945">
            <w:pPr>
              <w:pStyle w:val="Pro-Inwest"/>
              <w:jc w:val="both"/>
              <w:rPr>
                <w:rFonts w:asciiTheme="minorHAnsi" w:hAnsiTheme="minorHAnsi"/>
                <w:sz w:val="16"/>
                <w:szCs w:val="16"/>
              </w:rPr>
            </w:pPr>
          </w:p>
          <w:p w14:paraId="175406E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0,27</w:t>
            </w:r>
          </w:p>
          <w:p w14:paraId="0D9A415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0,16</w:t>
            </w:r>
          </w:p>
          <w:p w14:paraId="71C848A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0,03</w:t>
            </w:r>
          </w:p>
          <w:p w14:paraId="2B98A13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0,03</w:t>
            </w:r>
          </w:p>
          <w:p w14:paraId="196D6D6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0,01</w:t>
            </w:r>
          </w:p>
          <w:p w14:paraId="160B11F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0,09 ³b ³ 0,03</w:t>
            </w:r>
          </w:p>
          <w:p w14:paraId="41BDDD4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 ³ 0,14</w:t>
            </w:r>
          </w:p>
          <w:p w14:paraId="2BDE690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0,18 ³b ³ 0,12</w:t>
            </w:r>
          </w:p>
        </w:tc>
      </w:tr>
      <w:tr w:rsidR="007D03F5" w:rsidRPr="007D03F5" w14:paraId="74E85F82" w14:textId="77777777" w:rsidTr="00475945">
        <w:trPr>
          <w:jc w:val="center"/>
        </w:trPr>
        <w:tc>
          <w:tcPr>
            <w:tcW w:w="7682" w:type="dxa"/>
            <w:gridSpan w:val="5"/>
            <w:tcBorders>
              <w:top w:val="single" w:sz="4" w:space="0" w:color="000000"/>
              <w:left w:val="single" w:sz="4" w:space="0" w:color="000000"/>
              <w:bottom w:val="single" w:sz="4" w:space="0" w:color="000000"/>
              <w:right w:val="single" w:sz="4" w:space="0" w:color="000000"/>
            </w:tcBorders>
            <w:hideMark/>
          </w:tcPr>
          <w:p w14:paraId="17B77AA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współrzędne chromatyczności x, y w polu barw według tablicy 3</w:t>
            </w:r>
          </w:p>
        </w:tc>
      </w:tr>
    </w:tbl>
    <w:p w14:paraId="11A4E31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Tablica 3. Współrzędne punktów narożnych wyznaczających pola barw</w:t>
      </w:r>
    </w:p>
    <w:tbl>
      <w:tblPr>
        <w:tblW w:w="0" w:type="auto"/>
        <w:tblInd w:w="816" w:type="dxa"/>
        <w:tblLayout w:type="fixed"/>
        <w:tblCellMar>
          <w:left w:w="70" w:type="dxa"/>
          <w:right w:w="70" w:type="dxa"/>
        </w:tblCellMar>
        <w:tblLook w:val="04A0" w:firstRow="1" w:lastRow="0" w:firstColumn="1" w:lastColumn="0" w:noHBand="0" w:noVBand="1"/>
      </w:tblPr>
      <w:tblGrid>
        <w:gridCol w:w="1913"/>
        <w:gridCol w:w="851"/>
        <w:gridCol w:w="1134"/>
        <w:gridCol w:w="1134"/>
        <w:gridCol w:w="1134"/>
        <w:gridCol w:w="1284"/>
      </w:tblGrid>
      <w:tr w:rsidR="007D03F5" w:rsidRPr="007D03F5" w14:paraId="6AB96682" w14:textId="77777777" w:rsidTr="00475945">
        <w:trPr>
          <w:cantSplit/>
          <w:trHeight w:val="528"/>
          <w:tblHeader/>
        </w:trPr>
        <w:tc>
          <w:tcPr>
            <w:tcW w:w="2764" w:type="dxa"/>
            <w:gridSpan w:val="2"/>
            <w:vMerge w:val="restart"/>
            <w:tcBorders>
              <w:top w:val="single" w:sz="4" w:space="0" w:color="000000"/>
              <w:left w:val="single" w:sz="4" w:space="0" w:color="000000"/>
              <w:bottom w:val="single" w:sz="4" w:space="0" w:color="000000"/>
              <w:right w:val="nil"/>
            </w:tcBorders>
          </w:tcPr>
          <w:p w14:paraId="7DA862FC" w14:textId="77777777" w:rsidR="00FC4BA0" w:rsidRPr="007D03F5" w:rsidRDefault="00FC4BA0" w:rsidP="00475945">
            <w:pPr>
              <w:pStyle w:val="Pro-Inwest"/>
              <w:jc w:val="both"/>
              <w:rPr>
                <w:rFonts w:asciiTheme="minorHAnsi" w:hAnsiTheme="minorHAnsi"/>
                <w:sz w:val="16"/>
                <w:szCs w:val="16"/>
              </w:rPr>
            </w:pPr>
          </w:p>
          <w:p w14:paraId="3FEA4CE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Barwa folii</w:t>
            </w:r>
          </w:p>
        </w:tc>
        <w:tc>
          <w:tcPr>
            <w:tcW w:w="4686" w:type="dxa"/>
            <w:gridSpan w:val="4"/>
            <w:tcBorders>
              <w:top w:val="single" w:sz="4" w:space="0" w:color="000000"/>
              <w:left w:val="single" w:sz="4" w:space="0" w:color="000000"/>
              <w:bottom w:val="single" w:sz="4" w:space="0" w:color="000000"/>
              <w:right w:val="single" w:sz="4" w:space="0" w:color="000000"/>
            </w:tcBorders>
            <w:hideMark/>
          </w:tcPr>
          <w:p w14:paraId="1A949DA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Współrzędne chromatyczności punktów narożnych wyznaczających pole barwy</w:t>
            </w:r>
          </w:p>
          <w:p w14:paraId="527196F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(źródło światła D65, geometria pomiaru 45/0 o)  </w:t>
            </w:r>
          </w:p>
        </w:tc>
      </w:tr>
      <w:tr w:rsidR="007D03F5" w:rsidRPr="007D03F5" w14:paraId="4F060FED" w14:textId="77777777" w:rsidTr="00475945">
        <w:trPr>
          <w:cantSplit/>
          <w:trHeight w:val="194"/>
          <w:tblHeader/>
        </w:trPr>
        <w:tc>
          <w:tcPr>
            <w:tcW w:w="2764" w:type="dxa"/>
            <w:gridSpan w:val="2"/>
            <w:vMerge/>
            <w:tcBorders>
              <w:top w:val="single" w:sz="4" w:space="0" w:color="000000"/>
              <w:left w:val="single" w:sz="4" w:space="0" w:color="000000"/>
              <w:bottom w:val="single" w:sz="4" w:space="0" w:color="000000"/>
              <w:right w:val="nil"/>
            </w:tcBorders>
            <w:vAlign w:val="center"/>
            <w:hideMark/>
          </w:tcPr>
          <w:p w14:paraId="659E6ED4" w14:textId="77777777" w:rsidR="00FC4BA0" w:rsidRPr="007D03F5" w:rsidRDefault="00FC4BA0" w:rsidP="00475945">
            <w:pPr>
              <w:pStyle w:val="Pro-Inwest"/>
              <w:jc w:val="both"/>
              <w:rPr>
                <w:rFonts w:asciiTheme="minorHAnsi" w:hAnsiTheme="minorHAnsi"/>
                <w:sz w:val="16"/>
                <w:szCs w:val="16"/>
                <w:lang w:val="fr-FR"/>
              </w:rPr>
            </w:pPr>
          </w:p>
        </w:tc>
        <w:tc>
          <w:tcPr>
            <w:tcW w:w="1134" w:type="dxa"/>
            <w:tcBorders>
              <w:top w:val="single" w:sz="4" w:space="0" w:color="000000"/>
              <w:left w:val="single" w:sz="4" w:space="0" w:color="000000"/>
              <w:bottom w:val="single" w:sz="4" w:space="0" w:color="000000"/>
              <w:right w:val="nil"/>
            </w:tcBorders>
            <w:hideMark/>
          </w:tcPr>
          <w:p w14:paraId="0A0EA08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w:t>
            </w:r>
          </w:p>
        </w:tc>
        <w:tc>
          <w:tcPr>
            <w:tcW w:w="1134" w:type="dxa"/>
            <w:tcBorders>
              <w:top w:val="single" w:sz="4" w:space="0" w:color="000000"/>
              <w:left w:val="single" w:sz="4" w:space="0" w:color="000000"/>
              <w:bottom w:val="single" w:sz="4" w:space="0" w:color="000000"/>
              <w:right w:val="nil"/>
            </w:tcBorders>
            <w:hideMark/>
          </w:tcPr>
          <w:p w14:paraId="6E31D30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2</w:t>
            </w:r>
          </w:p>
        </w:tc>
        <w:tc>
          <w:tcPr>
            <w:tcW w:w="1134" w:type="dxa"/>
            <w:tcBorders>
              <w:top w:val="single" w:sz="4" w:space="0" w:color="000000"/>
              <w:left w:val="single" w:sz="4" w:space="0" w:color="000000"/>
              <w:bottom w:val="single" w:sz="4" w:space="0" w:color="000000"/>
              <w:right w:val="nil"/>
            </w:tcBorders>
            <w:hideMark/>
          </w:tcPr>
          <w:p w14:paraId="087AA2C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3</w:t>
            </w:r>
          </w:p>
        </w:tc>
        <w:tc>
          <w:tcPr>
            <w:tcW w:w="1284" w:type="dxa"/>
            <w:tcBorders>
              <w:top w:val="single" w:sz="4" w:space="0" w:color="000000"/>
              <w:left w:val="single" w:sz="4" w:space="0" w:color="000000"/>
              <w:bottom w:val="single" w:sz="4" w:space="0" w:color="000000"/>
              <w:right w:val="single" w:sz="4" w:space="0" w:color="000000"/>
            </w:tcBorders>
            <w:hideMark/>
          </w:tcPr>
          <w:p w14:paraId="63C31B9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4</w:t>
            </w:r>
          </w:p>
        </w:tc>
      </w:tr>
      <w:tr w:rsidR="007D03F5" w:rsidRPr="007D03F5" w14:paraId="10FF3B2B" w14:textId="77777777" w:rsidTr="00475945">
        <w:trPr>
          <w:cantSplit/>
          <w:trHeight w:val="270"/>
        </w:trPr>
        <w:tc>
          <w:tcPr>
            <w:tcW w:w="1913" w:type="dxa"/>
            <w:vMerge w:val="restart"/>
            <w:tcBorders>
              <w:top w:val="single" w:sz="4" w:space="0" w:color="000000"/>
              <w:left w:val="single" w:sz="4" w:space="0" w:color="000000"/>
              <w:bottom w:val="single" w:sz="4" w:space="0" w:color="000000"/>
              <w:right w:val="nil"/>
            </w:tcBorders>
            <w:hideMark/>
          </w:tcPr>
          <w:p w14:paraId="369DC70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Biała</w:t>
            </w:r>
          </w:p>
        </w:tc>
        <w:tc>
          <w:tcPr>
            <w:tcW w:w="851" w:type="dxa"/>
            <w:tcBorders>
              <w:top w:val="single" w:sz="4" w:space="0" w:color="000000"/>
              <w:left w:val="single" w:sz="4" w:space="0" w:color="000000"/>
              <w:bottom w:val="single" w:sz="4" w:space="0" w:color="000000"/>
              <w:right w:val="nil"/>
            </w:tcBorders>
            <w:hideMark/>
          </w:tcPr>
          <w:p w14:paraId="5DE9E9E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x</w:t>
            </w:r>
          </w:p>
        </w:tc>
        <w:tc>
          <w:tcPr>
            <w:tcW w:w="1134" w:type="dxa"/>
            <w:tcBorders>
              <w:top w:val="single" w:sz="4" w:space="0" w:color="000000"/>
              <w:left w:val="single" w:sz="4" w:space="0" w:color="000000"/>
              <w:bottom w:val="single" w:sz="4" w:space="0" w:color="000000"/>
              <w:right w:val="nil"/>
            </w:tcBorders>
            <w:hideMark/>
          </w:tcPr>
          <w:p w14:paraId="71C02FB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0,355</w:t>
            </w:r>
          </w:p>
        </w:tc>
        <w:tc>
          <w:tcPr>
            <w:tcW w:w="1134" w:type="dxa"/>
            <w:tcBorders>
              <w:top w:val="single" w:sz="4" w:space="0" w:color="000000"/>
              <w:left w:val="single" w:sz="4" w:space="0" w:color="000000"/>
              <w:bottom w:val="single" w:sz="4" w:space="0" w:color="000000"/>
              <w:right w:val="nil"/>
            </w:tcBorders>
            <w:hideMark/>
          </w:tcPr>
          <w:p w14:paraId="74F4758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0,305</w:t>
            </w:r>
          </w:p>
        </w:tc>
        <w:tc>
          <w:tcPr>
            <w:tcW w:w="1134" w:type="dxa"/>
            <w:tcBorders>
              <w:top w:val="single" w:sz="4" w:space="0" w:color="000000"/>
              <w:left w:val="single" w:sz="4" w:space="0" w:color="000000"/>
              <w:bottom w:val="single" w:sz="4" w:space="0" w:color="000000"/>
              <w:right w:val="nil"/>
            </w:tcBorders>
            <w:hideMark/>
          </w:tcPr>
          <w:p w14:paraId="614D65E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0,285</w:t>
            </w:r>
          </w:p>
        </w:tc>
        <w:tc>
          <w:tcPr>
            <w:tcW w:w="1284" w:type="dxa"/>
            <w:tcBorders>
              <w:top w:val="single" w:sz="4" w:space="0" w:color="000000"/>
              <w:left w:val="single" w:sz="4" w:space="0" w:color="000000"/>
              <w:bottom w:val="single" w:sz="4" w:space="0" w:color="000000"/>
              <w:right w:val="single" w:sz="4" w:space="0" w:color="000000"/>
            </w:tcBorders>
            <w:hideMark/>
          </w:tcPr>
          <w:p w14:paraId="714C239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0,335</w:t>
            </w:r>
          </w:p>
        </w:tc>
      </w:tr>
      <w:tr w:rsidR="007D03F5" w:rsidRPr="007D03F5" w14:paraId="573BE9DF" w14:textId="77777777" w:rsidTr="00475945">
        <w:trPr>
          <w:cantSplit/>
          <w:trHeight w:val="274"/>
        </w:trPr>
        <w:tc>
          <w:tcPr>
            <w:tcW w:w="1913" w:type="dxa"/>
            <w:vMerge/>
            <w:tcBorders>
              <w:top w:val="single" w:sz="4" w:space="0" w:color="000000"/>
              <w:left w:val="single" w:sz="4" w:space="0" w:color="000000"/>
              <w:bottom w:val="single" w:sz="4" w:space="0" w:color="000000"/>
              <w:right w:val="nil"/>
            </w:tcBorders>
            <w:vAlign w:val="center"/>
            <w:hideMark/>
          </w:tcPr>
          <w:p w14:paraId="2A8DA149" w14:textId="77777777" w:rsidR="00FC4BA0" w:rsidRPr="007D03F5" w:rsidRDefault="00FC4BA0" w:rsidP="00475945">
            <w:pPr>
              <w:pStyle w:val="Pro-Inwest"/>
              <w:jc w:val="both"/>
              <w:rPr>
                <w:rFonts w:asciiTheme="minorHAnsi" w:hAnsiTheme="minorHAnsi"/>
                <w:sz w:val="16"/>
                <w:szCs w:val="16"/>
                <w:lang w:val="fr-FR"/>
              </w:rPr>
            </w:pPr>
          </w:p>
        </w:tc>
        <w:tc>
          <w:tcPr>
            <w:tcW w:w="851" w:type="dxa"/>
            <w:tcBorders>
              <w:top w:val="single" w:sz="4" w:space="0" w:color="000000"/>
              <w:left w:val="single" w:sz="4" w:space="0" w:color="000000"/>
              <w:bottom w:val="single" w:sz="4" w:space="0" w:color="000000"/>
              <w:right w:val="nil"/>
            </w:tcBorders>
            <w:hideMark/>
          </w:tcPr>
          <w:p w14:paraId="16713DF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y</w:t>
            </w:r>
          </w:p>
        </w:tc>
        <w:tc>
          <w:tcPr>
            <w:tcW w:w="1134" w:type="dxa"/>
            <w:tcBorders>
              <w:top w:val="single" w:sz="4" w:space="0" w:color="000000"/>
              <w:left w:val="single" w:sz="4" w:space="0" w:color="000000"/>
              <w:bottom w:val="single" w:sz="4" w:space="0" w:color="000000"/>
              <w:right w:val="nil"/>
            </w:tcBorders>
            <w:hideMark/>
          </w:tcPr>
          <w:p w14:paraId="1164164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0,355</w:t>
            </w:r>
          </w:p>
        </w:tc>
        <w:tc>
          <w:tcPr>
            <w:tcW w:w="1134" w:type="dxa"/>
            <w:tcBorders>
              <w:top w:val="single" w:sz="4" w:space="0" w:color="000000"/>
              <w:left w:val="single" w:sz="4" w:space="0" w:color="000000"/>
              <w:bottom w:val="single" w:sz="4" w:space="0" w:color="000000"/>
              <w:right w:val="nil"/>
            </w:tcBorders>
            <w:hideMark/>
          </w:tcPr>
          <w:p w14:paraId="47B6CBC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0,305</w:t>
            </w:r>
          </w:p>
        </w:tc>
        <w:tc>
          <w:tcPr>
            <w:tcW w:w="1134" w:type="dxa"/>
            <w:tcBorders>
              <w:top w:val="single" w:sz="4" w:space="0" w:color="000000"/>
              <w:left w:val="single" w:sz="4" w:space="0" w:color="000000"/>
              <w:bottom w:val="single" w:sz="4" w:space="0" w:color="000000"/>
              <w:right w:val="nil"/>
            </w:tcBorders>
            <w:hideMark/>
          </w:tcPr>
          <w:p w14:paraId="4AB4570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0,325</w:t>
            </w:r>
          </w:p>
        </w:tc>
        <w:tc>
          <w:tcPr>
            <w:tcW w:w="1284" w:type="dxa"/>
            <w:tcBorders>
              <w:top w:val="single" w:sz="4" w:space="0" w:color="000000"/>
              <w:left w:val="single" w:sz="4" w:space="0" w:color="000000"/>
              <w:bottom w:val="single" w:sz="4" w:space="0" w:color="000000"/>
              <w:right w:val="single" w:sz="4" w:space="0" w:color="000000"/>
            </w:tcBorders>
            <w:hideMark/>
          </w:tcPr>
          <w:p w14:paraId="037C6BB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0,375</w:t>
            </w:r>
          </w:p>
        </w:tc>
      </w:tr>
      <w:tr w:rsidR="007D03F5" w:rsidRPr="007D03F5" w14:paraId="43AEC4DE" w14:textId="77777777" w:rsidTr="00475945">
        <w:trPr>
          <w:cantSplit/>
          <w:trHeight w:val="214"/>
        </w:trPr>
        <w:tc>
          <w:tcPr>
            <w:tcW w:w="1913" w:type="dxa"/>
            <w:vMerge w:val="restart"/>
            <w:tcBorders>
              <w:top w:val="single" w:sz="4" w:space="0" w:color="000000"/>
              <w:left w:val="single" w:sz="4" w:space="0" w:color="000000"/>
              <w:bottom w:val="single" w:sz="4" w:space="0" w:color="000000"/>
              <w:right w:val="nil"/>
            </w:tcBorders>
            <w:hideMark/>
          </w:tcPr>
          <w:p w14:paraId="3087ECE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Żółta typ 1 folii</w:t>
            </w:r>
          </w:p>
        </w:tc>
        <w:tc>
          <w:tcPr>
            <w:tcW w:w="851" w:type="dxa"/>
            <w:tcBorders>
              <w:top w:val="single" w:sz="4" w:space="0" w:color="000000"/>
              <w:left w:val="single" w:sz="4" w:space="0" w:color="000000"/>
              <w:bottom w:val="single" w:sz="4" w:space="0" w:color="000000"/>
              <w:right w:val="nil"/>
            </w:tcBorders>
            <w:hideMark/>
          </w:tcPr>
          <w:p w14:paraId="6998FC9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x</w:t>
            </w:r>
          </w:p>
        </w:tc>
        <w:tc>
          <w:tcPr>
            <w:tcW w:w="1134" w:type="dxa"/>
            <w:tcBorders>
              <w:top w:val="single" w:sz="4" w:space="0" w:color="000000"/>
              <w:left w:val="single" w:sz="4" w:space="0" w:color="000000"/>
              <w:bottom w:val="single" w:sz="4" w:space="0" w:color="000000"/>
              <w:right w:val="nil"/>
            </w:tcBorders>
            <w:hideMark/>
          </w:tcPr>
          <w:p w14:paraId="2D1E108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0,522</w:t>
            </w:r>
          </w:p>
        </w:tc>
        <w:tc>
          <w:tcPr>
            <w:tcW w:w="1134" w:type="dxa"/>
            <w:tcBorders>
              <w:top w:val="single" w:sz="4" w:space="0" w:color="000000"/>
              <w:left w:val="single" w:sz="4" w:space="0" w:color="000000"/>
              <w:bottom w:val="single" w:sz="4" w:space="0" w:color="000000"/>
              <w:right w:val="nil"/>
            </w:tcBorders>
            <w:hideMark/>
          </w:tcPr>
          <w:p w14:paraId="756DF52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0,470</w:t>
            </w:r>
          </w:p>
        </w:tc>
        <w:tc>
          <w:tcPr>
            <w:tcW w:w="1134" w:type="dxa"/>
            <w:tcBorders>
              <w:top w:val="single" w:sz="4" w:space="0" w:color="000000"/>
              <w:left w:val="single" w:sz="4" w:space="0" w:color="000000"/>
              <w:bottom w:val="single" w:sz="4" w:space="0" w:color="000000"/>
              <w:right w:val="nil"/>
            </w:tcBorders>
            <w:hideMark/>
          </w:tcPr>
          <w:p w14:paraId="16636DC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0,427</w:t>
            </w:r>
          </w:p>
        </w:tc>
        <w:tc>
          <w:tcPr>
            <w:tcW w:w="1284" w:type="dxa"/>
            <w:tcBorders>
              <w:top w:val="single" w:sz="4" w:space="0" w:color="000000"/>
              <w:left w:val="single" w:sz="4" w:space="0" w:color="000000"/>
              <w:bottom w:val="single" w:sz="4" w:space="0" w:color="000000"/>
              <w:right w:val="single" w:sz="4" w:space="0" w:color="000000"/>
            </w:tcBorders>
            <w:hideMark/>
          </w:tcPr>
          <w:p w14:paraId="7F7842F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0,465</w:t>
            </w:r>
          </w:p>
        </w:tc>
      </w:tr>
      <w:tr w:rsidR="007D03F5" w:rsidRPr="007D03F5" w14:paraId="44CEAA4F" w14:textId="77777777" w:rsidTr="00475945">
        <w:trPr>
          <w:cantSplit/>
          <w:trHeight w:val="281"/>
        </w:trPr>
        <w:tc>
          <w:tcPr>
            <w:tcW w:w="1913" w:type="dxa"/>
            <w:vMerge/>
            <w:tcBorders>
              <w:top w:val="single" w:sz="4" w:space="0" w:color="000000"/>
              <w:left w:val="single" w:sz="4" w:space="0" w:color="000000"/>
              <w:bottom w:val="single" w:sz="4" w:space="0" w:color="000000"/>
              <w:right w:val="nil"/>
            </w:tcBorders>
            <w:vAlign w:val="center"/>
            <w:hideMark/>
          </w:tcPr>
          <w:p w14:paraId="22C3544A" w14:textId="77777777" w:rsidR="00FC4BA0" w:rsidRPr="007D03F5" w:rsidRDefault="00FC4BA0" w:rsidP="00475945">
            <w:pPr>
              <w:pStyle w:val="Pro-Inwest"/>
              <w:jc w:val="both"/>
              <w:rPr>
                <w:rFonts w:asciiTheme="minorHAnsi" w:hAnsiTheme="minorHAnsi"/>
                <w:sz w:val="16"/>
                <w:szCs w:val="16"/>
                <w:lang w:val="fr-FR"/>
              </w:rPr>
            </w:pPr>
          </w:p>
        </w:tc>
        <w:tc>
          <w:tcPr>
            <w:tcW w:w="851" w:type="dxa"/>
            <w:tcBorders>
              <w:top w:val="single" w:sz="4" w:space="0" w:color="000000"/>
              <w:left w:val="single" w:sz="4" w:space="0" w:color="000000"/>
              <w:bottom w:val="single" w:sz="4" w:space="0" w:color="000000"/>
              <w:right w:val="nil"/>
            </w:tcBorders>
            <w:hideMark/>
          </w:tcPr>
          <w:p w14:paraId="3A8553F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y</w:t>
            </w:r>
          </w:p>
        </w:tc>
        <w:tc>
          <w:tcPr>
            <w:tcW w:w="1134" w:type="dxa"/>
            <w:tcBorders>
              <w:top w:val="single" w:sz="4" w:space="0" w:color="000000"/>
              <w:left w:val="single" w:sz="4" w:space="0" w:color="000000"/>
              <w:bottom w:val="single" w:sz="4" w:space="0" w:color="000000"/>
              <w:right w:val="nil"/>
            </w:tcBorders>
            <w:hideMark/>
          </w:tcPr>
          <w:p w14:paraId="27F3876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0,477</w:t>
            </w:r>
          </w:p>
        </w:tc>
        <w:tc>
          <w:tcPr>
            <w:tcW w:w="1134" w:type="dxa"/>
            <w:tcBorders>
              <w:top w:val="single" w:sz="4" w:space="0" w:color="000000"/>
              <w:left w:val="single" w:sz="4" w:space="0" w:color="000000"/>
              <w:bottom w:val="single" w:sz="4" w:space="0" w:color="000000"/>
              <w:right w:val="nil"/>
            </w:tcBorders>
            <w:hideMark/>
          </w:tcPr>
          <w:p w14:paraId="449E04E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0,440</w:t>
            </w:r>
          </w:p>
        </w:tc>
        <w:tc>
          <w:tcPr>
            <w:tcW w:w="1134" w:type="dxa"/>
            <w:tcBorders>
              <w:top w:val="single" w:sz="4" w:space="0" w:color="000000"/>
              <w:left w:val="single" w:sz="4" w:space="0" w:color="000000"/>
              <w:bottom w:val="single" w:sz="4" w:space="0" w:color="000000"/>
              <w:right w:val="nil"/>
            </w:tcBorders>
            <w:hideMark/>
          </w:tcPr>
          <w:p w14:paraId="7D2F229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0,483</w:t>
            </w:r>
          </w:p>
        </w:tc>
        <w:tc>
          <w:tcPr>
            <w:tcW w:w="1284" w:type="dxa"/>
            <w:tcBorders>
              <w:top w:val="single" w:sz="4" w:space="0" w:color="000000"/>
              <w:left w:val="single" w:sz="4" w:space="0" w:color="000000"/>
              <w:bottom w:val="single" w:sz="4" w:space="0" w:color="000000"/>
              <w:right w:val="single" w:sz="4" w:space="0" w:color="000000"/>
            </w:tcBorders>
            <w:hideMark/>
          </w:tcPr>
          <w:p w14:paraId="144F647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0,534</w:t>
            </w:r>
          </w:p>
        </w:tc>
      </w:tr>
      <w:tr w:rsidR="007D03F5" w:rsidRPr="007D03F5" w14:paraId="6D74A83F" w14:textId="77777777" w:rsidTr="00475945">
        <w:trPr>
          <w:cantSplit/>
          <w:trHeight w:val="199"/>
        </w:trPr>
        <w:tc>
          <w:tcPr>
            <w:tcW w:w="1913" w:type="dxa"/>
            <w:vMerge w:val="restart"/>
            <w:tcBorders>
              <w:top w:val="single" w:sz="4" w:space="0" w:color="000000"/>
              <w:left w:val="single" w:sz="4" w:space="0" w:color="000000"/>
              <w:bottom w:val="nil"/>
              <w:right w:val="nil"/>
            </w:tcBorders>
            <w:hideMark/>
          </w:tcPr>
          <w:p w14:paraId="47687A8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Żółta typ 2 folii</w:t>
            </w:r>
          </w:p>
        </w:tc>
        <w:tc>
          <w:tcPr>
            <w:tcW w:w="851" w:type="dxa"/>
            <w:tcBorders>
              <w:top w:val="single" w:sz="4" w:space="0" w:color="000000"/>
              <w:left w:val="single" w:sz="4" w:space="0" w:color="000000"/>
              <w:bottom w:val="single" w:sz="4" w:space="0" w:color="000000"/>
              <w:right w:val="nil"/>
            </w:tcBorders>
            <w:hideMark/>
          </w:tcPr>
          <w:p w14:paraId="0E327BF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x</w:t>
            </w:r>
          </w:p>
        </w:tc>
        <w:tc>
          <w:tcPr>
            <w:tcW w:w="1134" w:type="dxa"/>
            <w:tcBorders>
              <w:top w:val="single" w:sz="4" w:space="0" w:color="000000"/>
              <w:left w:val="single" w:sz="4" w:space="0" w:color="000000"/>
              <w:bottom w:val="single" w:sz="4" w:space="0" w:color="000000"/>
              <w:right w:val="nil"/>
            </w:tcBorders>
            <w:hideMark/>
          </w:tcPr>
          <w:p w14:paraId="41CA9F8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0,545</w:t>
            </w:r>
          </w:p>
        </w:tc>
        <w:tc>
          <w:tcPr>
            <w:tcW w:w="1134" w:type="dxa"/>
            <w:tcBorders>
              <w:top w:val="single" w:sz="4" w:space="0" w:color="000000"/>
              <w:left w:val="single" w:sz="4" w:space="0" w:color="000000"/>
              <w:bottom w:val="single" w:sz="4" w:space="0" w:color="000000"/>
              <w:right w:val="nil"/>
            </w:tcBorders>
            <w:hideMark/>
          </w:tcPr>
          <w:p w14:paraId="1556CDF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0,487</w:t>
            </w:r>
          </w:p>
        </w:tc>
        <w:tc>
          <w:tcPr>
            <w:tcW w:w="1134" w:type="dxa"/>
            <w:tcBorders>
              <w:top w:val="single" w:sz="4" w:space="0" w:color="000000"/>
              <w:left w:val="single" w:sz="4" w:space="0" w:color="000000"/>
              <w:bottom w:val="single" w:sz="4" w:space="0" w:color="000000"/>
              <w:right w:val="nil"/>
            </w:tcBorders>
            <w:hideMark/>
          </w:tcPr>
          <w:p w14:paraId="3E295BD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0,427</w:t>
            </w:r>
          </w:p>
        </w:tc>
        <w:tc>
          <w:tcPr>
            <w:tcW w:w="1284" w:type="dxa"/>
            <w:tcBorders>
              <w:top w:val="single" w:sz="4" w:space="0" w:color="000000"/>
              <w:left w:val="single" w:sz="4" w:space="0" w:color="000000"/>
              <w:bottom w:val="single" w:sz="4" w:space="0" w:color="000000"/>
              <w:right w:val="single" w:sz="4" w:space="0" w:color="000000"/>
            </w:tcBorders>
            <w:hideMark/>
          </w:tcPr>
          <w:p w14:paraId="53B54DC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0,465</w:t>
            </w:r>
          </w:p>
        </w:tc>
      </w:tr>
      <w:tr w:rsidR="007D03F5" w:rsidRPr="007D03F5" w14:paraId="5A49BAB4" w14:textId="77777777" w:rsidTr="00475945">
        <w:trPr>
          <w:cantSplit/>
          <w:trHeight w:val="199"/>
        </w:trPr>
        <w:tc>
          <w:tcPr>
            <w:tcW w:w="1913" w:type="dxa"/>
            <w:vMerge/>
            <w:tcBorders>
              <w:top w:val="single" w:sz="4" w:space="0" w:color="000000"/>
              <w:left w:val="single" w:sz="4" w:space="0" w:color="000000"/>
              <w:bottom w:val="nil"/>
              <w:right w:val="nil"/>
            </w:tcBorders>
            <w:vAlign w:val="center"/>
            <w:hideMark/>
          </w:tcPr>
          <w:p w14:paraId="2F676F80" w14:textId="77777777" w:rsidR="00FC4BA0" w:rsidRPr="007D03F5" w:rsidRDefault="00FC4BA0" w:rsidP="00475945">
            <w:pPr>
              <w:pStyle w:val="Pro-Inwest"/>
              <w:jc w:val="both"/>
              <w:rPr>
                <w:rFonts w:asciiTheme="minorHAnsi" w:hAnsiTheme="minorHAnsi"/>
                <w:sz w:val="16"/>
                <w:szCs w:val="16"/>
                <w:lang w:val="fr-FR"/>
              </w:rPr>
            </w:pPr>
          </w:p>
        </w:tc>
        <w:tc>
          <w:tcPr>
            <w:tcW w:w="851" w:type="dxa"/>
            <w:tcBorders>
              <w:top w:val="single" w:sz="4" w:space="0" w:color="000000"/>
              <w:left w:val="single" w:sz="4" w:space="0" w:color="000000"/>
              <w:bottom w:val="single" w:sz="4" w:space="0" w:color="000000"/>
              <w:right w:val="nil"/>
            </w:tcBorders>
            <w:hideMark/>
          </w:tcPr>
          <w:p w14:paraId="2E2D49A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y</w:t>
            </w:r>
          </w:p>
        </w:tc>
        <w:tc>
          <w:tcPr>
            <w:tcW w:w="1134" w:type="dxa"/>
            <w:tcBorders>
              <w:top w:val="single" w:sz="4" w:space="0" w:color="000000"/>
              <w:left w:val="single" w:sz="4" w:space="0" w:color="000000"/>
              <w:bottom w:val="single" w:sz="4" w:space="0" w:color="000000"/>
              <w:right w:val="nil"/>
            </w:tcBorders>
            <w:hideMark/>
          </w:tcPr>
          <w:p w14:paraId="1A6F88C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0,454</w:t>
            </w:r>
          </w:p>
        </w:tc>
        <w:tc>
          <w:tcPr>
            <w:tcW w:w="1134" w:type="dxa"/>
            <w:tcBorders>
              <w:top w:val="single" w:sz="4" w:space="0" w:color="000000"/>
              <w:left w:val="single" w:sz="4" w:space="0" w:color="000000"/>
              <w:bottom w:val="single" w:sz="4" w:space="0" w:color="000000"/>
              <w:right w:val="nil"/>
            </w:tcBorders>
            <w:hideMark/>
          </w:tcPr>
          <w:p w14:paraId="43DFE0F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0,423</w:t>
            </w:r>
          </w:p>
        </w:tc>
        <w:tc>
          <w:tcPr>
            <w:tcW w:w="1134" w:type="dxa"/>
            <w:tcBorders>
              <w:top w:val="single" w:sz="4" w:space="0" w:color="000000"/>
              <w:left w:val="single" w:sz="4" w:space="0" w:color="000000"/>
              <w:bottom w:val="single" w:sz="4" w:space="0" w:color="000000"/>
              <w:right w:val="nil"/>
            </w:tcBorders>
            <w:hideMark/>
          </w:tcPr>
          <w:p w14:paraId="7EC70C7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0,483</w:t>
            </w:r>
          </w:p>
        </w:tc>
        <w:tc>
          <w:tcPr>
            <w:tcW w:w="1284" w:type="dxa"/>
            <w:tcBorders>
              <w:top w:val="single" w:sz="4" w:space="0" w:color="000000"/>
              <w:left w:val="single" w:sz="4" w:space="0" w:color="000000"/>
              <w:bottom w:val="single" w:sz="4" w:space="0" w:color="000000"/>
              <w:right w:val="single" w:sz="4" w:space="0" w:color="000000"/>
            </w:tcBorders>
            <w:hideMark/>
          </w:tcPr>
          <w:p w14:paraId="353556A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0,534</w:t>
            </w:r>
          </w:p>
        </w:tc>
      </w:tr>
      <w:tr w:rsidR="007D03F5" w:rsidRPr="007D03F5" w14:paraId="26E4CE50" w14:textId="77777777" w:rsidTr="00475945">
        <w:trPr>
          <w:cantSplit/>
          <w:trHeight w:val="182"/>
        </w:trPr>
        <w:tc>
          <w:tcPr>
            <w:tcW w:w="1913" w:type="dxa"/>
            <w:vMerge w:val="restart"/>
            <w:tcBorders>
              <w:top w:val="single" w:sz="4" w:space="0" w:color="000000"/>
              <w:left w:val="single" w:sz="4" w:space="0" w:color="000000"/>
              <w:bottom w:val="single" w:sz="4" w:space="0" w:color="000000"/>
              <w:right w:val="nil"/>
            </w:tcBorders>
            <w:hideMark/>
          </w:tcPr>
          <w:p w14:paraId="598C5F2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Czerwona</w:t>
            </w:r>
          </w:p>
        </w:tc>
        <w:tc>
          <w:tcPr>
            <w:tcW w:w="851" w:type="dxa"/>
            <w:tcBorders>
              <w:top w:val="single" w:sz="4" w:space="0" w:color="000000"/>
              <w:left w:val="single" w:sz="4" w:space="0" w:color="000000"/>
              <w:bottom w:val="single" w:sz="4" w:space="0" w:color="000000"/>
              <w:right w:val="nil"/>
            </w:tcBorders>
            <w:hideMark/>
          </w:tcPr>
          <w:p w14:paraId="792B849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x </w:t>
            </w:r>
          </w:p>
        </w:tc>
        <w:tc>
          <w:tcPr>
            <w:tcW w:w="1134" w:type="dxa"/>
            <w:tcBorders>
              <w:top w:val="single" w:sz="4" w:space="0" w:color="000000"/>
              <w:left w:val="single" w:sz="4" w:space="0" w:color="000000"/>
              <w:bottom w:val="single" w:sz="4" w:space="0" w:color="000000"/>
              <w:right w:val="nil"/>
            </w:tcBorders>
            <w:hideMark/>
          </w:tcPr>
          <w:p w14:paraId="158A160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0,735</w:t>
            </w:r>
          </w:p>
        </w:tc>
        <w:tc>
          <w:tcPr>
            <w:tcW w:w="1134" w:type="dxa"/>
            <w:tcBorders>
              <w:top w:val="single" w:sz="4" w:space="0" w:color="000000"/>
              <w:left w:val="single" w:sz="4" w:space="0" w:color="000000"/>
              <w:bottom w:val="single" w:sz="4" w:space="0" w:color="000000"/>
              <w:right w:val="nil"/>
            </w:tcBorders>
            <w:hideMark/>
          </w:tcPr>
          <w:p w14:paraId="6D7CED5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0,674</w:t>
            </w:r>
          </w:p>
        </w:tc>
        <w:tc>
          <w:tcPr>
            <w:tcW w:w="1134" w:type="dxa"/>
            <w:tcBorders>
              <w:top w:val="single" w:sz="4" w:space="0" w:color="000000"/>
              <w:left w:val="single" w:sz="4" w:space="0" w:color="000000"/>
              <w:bottom w:val="single" w:sz="4" w:space="0" w:color="000000"/>
              <w:right w:val="nil"/>
            </w:tcBorders>
            <w:hideMark/>
          </w:tcPr>
          <w:p w14:paraId="6CA98BF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0,569</w:t>
            </w:r>
          </w:p>
        </w:tc>
        <w:tc>
          <w:tcPr>
            <w:tcW w:w="1284" w:type="dxa"/>
            <w:tcBorders>
              <w:top w:val="single" w:sz="4" w:space="0" w:color="000000"/>
              <w:left w:val="single" w:sz="4" w:space="0" w:color="000000"/>
              <w:bottom w:val="single" w:sz="4" w:space="0" w:color="000000"/>
              <w:right w:val="single" w:sz="4" w:space="0" w:color="000000"/>
            </w:tcBorders>
            <w:hideMark/>
          </w:tcPr>
          <w:p w14:paraId="3F6BD55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0,655</w:t>
            </w:r>
          </w:p>
        </w:tc>
      </w:tr>
      <w:tr w:rsidR="007D03F5" w:rsidRPr="007D03F5" w14:paraId="7773DB44" w14:textId="77777777" w:rsidTr="00475945">
        <w:trPr>
          <w:cantSplit/>
          <w:trHeight w:val="214"/>
        </w:trPr>
        <w:tc>
          <w:tcPr>
            <w:tcW w:w="1913" w:type="dxa"/>
            <w:vMerge/>
            <w:tcBorders>
              <w:top w:val="single" w:sz="4" w:space="0" w:color="000000"/>
              <w:left w:val="single" w:sz="4" w:space="0" w:color="000000"/>
              <w:bottom w:val="single" w:sz="4" w:space="0" w:color="000000"/>
              <w:right w:val="nil"/>
            </w:tcBorders>
            <w:vAlign w:val="center"/>
            <w:hideMark/>
          </w:tcPr>
          <w:p w14:paraId="32CBAD21" w14:textId="77777777" w:rsidR="00FC4BA0" w:rsidRPr="007D03F5" w:rsidRDefault="00FC4BA0" w:rsidP="00475945">
            <w:pPr>
              <w:pStyle w:val="Pro-Inwest"/>
              <w:jc w:val="both"/>
              <w:rPr>
                <w:rFonts w:asciiTheme="minorHAnsi" w:hAnsiTheme="minorHAnsi"/>
                <w:sz w:val="16"/>
                <w:szCs w:val="16"/>
                <w:lang w:val="fr-FR"/>
              </w:rPr>
            </w:pPr>
          </w:p>
        </w:tc>
        <w:tc>
          <w:tcPr>
            <w:tcW w:w="851" w:type="dxa"/>
            <w:tcBorders>
              <w:top w:val="single" w:sz="4" w:space="0" w:color="000000"/>
              <w:left w:val="single" w:sz="4" w:space="0" w:color="000000"/>
              <w:bottom w:val="single" w:sz="4" w:space="0" w:color="000000"/>
              <w:right w:val="nil"/>
            </w:tcBorders>
            <w:hideMark/>
          </w:tcPr>
          <w:p w14:paraId="4ABD8B3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y </w:t>
            </w:r>
          </w:p>
        </w:tc>
        <w:tc>
          <w:tcPr>
            <w:tcW w:w="1134" w:type="dxa"/>
            <w:tcBorders>
              <w:top w:val="single" w:sz="4" w:space="0" w:color="000000"/>
              <w:left w:val="single" w:sz="4" w:space="0" w:color="000000"/>
              <w:bottom w:val="single" w:sz="4" w:space="0" w:color="000000"/>
              <w:right w:val="nil"/>
            </w:tcBorders>
            <w:hideMark/>
          </w:tcPr>
          <w:p w14:paraId="649216E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0,265</w:t>
            </w:r>
          </w:p>
        </w:tc>
        <w:tc>
          <w:tcPr>
            <w:tcW w:w="1134" w:type="dxa"/>
            <w:tcBorders>
              <w:top w:val="single" w:sz="4" w:space="0" w:color="000000"/>
              <w:left w:val="single" w:sz="4" w:space="0" w:color="000000"/>
              <w:bottom w:val="single" w:sz="4" w:space="0" w:color="000000"/>
              <w:right w:val="nil"/>
            </w:tcBorders>
            <w:hideMark/>
          </w:tcPr>
          <w:p w14:paraId="538604B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0,236</w:t>
            </w:r>
          </w:p>
        </w:tc>
        <w:tc>
          <w:tcPr>
            <w:tcW w:w="1134" w:type="dxa"/>
            <w:tcBorders>
              <w:top w:val="single" w:sz="4" w:space="0" w:color="000000"/>
              <w:left w:val="single" w:sz="4" w:space="0" w:color="000000"/>
              <w:bottom w:val="single" w:sz="4" w:space="0" w:color="000000"/>
              <w:right w:val="nil"/>
            </w:tcBorders>
            <w:hideMark/>
          </w:tcPr>
          <w:p w14:paraId="576FEE6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0,341</w:t>
            </w:r>
          </w:p>
        </w:tc>
        <w:tc>
          <w:tcPr>
            <w:tcW w:w="1284" w:type="dxa"/>
            <w:tcBorders>
              <w:top w:val="single" w:sz="4" w:space="0" w:color="000000"/>
              <w:left w:val="single" w:sz="4" w:space="0" w:color="000000"/>
              <w:bottom w:val="single" w:sz="4" w:space="0" w:color="000000"/>
              <w:right w:val="single" w:sz="4" w:space="0" w:color="000000"/>
            </w:tcBorders>
            <w:hideMark/>
          </w:tcPr>
          <w:p w14:paraId="7C19739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0,345</w:t>
            </w:r>
          </w:p>
        </w:tc>
      </w:tr>
      <w:tr w:rsidR="007D03F5" w:rsidRPr="007D03F5" w14:paraId="59716008" w14:textId="77777777" w:rsidTr="00475945">
        <w:trPr>
          <w:cantSplit/>
          <w:trHeight w:val="254"/>
        </w:trPr>
        <w:tc>
          <w:tcPr>
            <w:tcW w:w="1913" w:type="dxa"/>
            <w:vMerge w:val="restart"/>
            <w:tcBorders>
              <w:top w:val="single" w:sz="4" w:space="0" w:color="000000"/>
              <w:left w:val="single" w:sz="4" w:space="0" w:color="000000"/>
              <w:bottom w:val="single" w:sz="4" w:space="0" w:color="000000"/>
              <w:right w:val="nil"/>
            </w:tcBorders>
            <w:hideMark/>
          </w:tcPr>
          <w:p w14:paraId="32AFAC2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Niebieska</w:t>
            </w:r>
          </w:p>
        </w:tc>
        <w:tc>
          <w:tcPr>
            <w:tcW w:w="851" w:type="dxa"/>
            <w:tcBorders>
              <w:top w:val="single" w:sz="4" w:space="0" w:color="000000"/>
              <w:left w:val="single" w:sz="4" w:space="0" w:color="000000"/>
              <w:bottom w:val="single" w:sz="4" w:space="0" w:color="000000"/>
              <w:right w:val="nil"/>
            </w:tcBorders>
            <w:hideMark/>
          </w:tcPr>
          <w:p w14:paraId="186B1B2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x </w:t>
            </w:r>
          </w:p>
        </w:tc>
        <w:tc>
          <w:tcPr>
            <w:tcW w:w="1134" w:type="dxa"/>
            <w:tcBorders>
              <w:top w:val="single" w:sz="4" w:space="0" w:color="000000"/>
              <w:left w:val="single" w:sz="4" w:space="0" w:color="000000"/>
              <w:bottom w:val="single" w:sz="4" w:space="0" w:color="000000"/>
              <w:right w:val="nil"/>
            </w:tcBorders>
            <w:hideMark/>
          </w:tcPr>
          <w:p w14:paraId="5FFE2EC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0,078</w:t>
            </w:r>
          </w:p>
        </w:tc>
        <w:tc>
          <w:tcPr>
            <w:tcW w:w="1134" w:type="dxa"/>
            <w:tcBorders>
              <w:top w:val="single" w:sz="4" w:space="0" w:color="000000"/>
              <w:left w:val="single" w:sz="4" w:space="0" w:color="000000"/>
              <w:bottom w:val="single" w:sz="4" w:space="0" w:color="000000"/>
              <w:right w:val="nil"/>
            </w:tcBorders>
            <w:hideMark/>
          </w:tcPr>
          <w:p w14:paraId="3554EF7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0,150</w:t>
            </w:r>
          </w:p>
        </w:tc>
        <w:tc>
          <w:tcPr>
            <w:tcW w:w="1134" w:type="dxa"/>
            <w:tcBorders>
              <w:top w:val="single" w:sz="4" w:space="0" w:color="000000"/>
              <w:left w:val="single" w:sz="4" w:space="0" w:color="000000"/>
              <w:bottom w:val="single" w:sz="4" w:space="0" w:color="000000"/>
              <w:right w:val="nil"/>
            </w:tcBorders>
            <w:hideMark/>
          </w:tcPr>
          <w:p w14:paraId="167489E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0,210</w:t>
            </w:r>
          </w:p>
        </w:tc>
        <w:tc>
          <w:tcPr>
            <w:tcW w:w="1284" w:type="dxa"/>
            <w:tcBorders>
              <w:top w:val="single" w:sz="4" w:space="0" w:color="000000"/>
              <w:left w:val="single" w:sz="4" w:space="0" w:color="000000"/>
              <w:bottom w:val="single" w:sz="4" w:space="0" w:color="000000"/>
              <w:right w:val="single" w:sz="4" w:space="0" w:color="000000"/>
            </w:tcBorders>
            <w:hideMark/>
          </w:tcPr>
          <w:p w14:paraId="0FDAD6D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0,137</w:t>
            </w:r>
          </w:p>
        </w:tc>
      </w:tr>
      <w:tr w:rsidR="007D03F5" w:rsidRPr="007D03F5" w14:paraId="121FBD42" w14:textId="77777777" w:rsidTr="00475945">
        <w:trPr>
          <w:cantSplit/>
          <w:trHeight w:val="144"/>
        </w:trPr>
        <w:tc>
          <w:tcPr>
            <w:tcW w:w="1913" w:type="dxa"/>
            <w:vMerge/>
            <w:tcBorders>
              <w:top w:val="single" w:sz="4" w:space="0" w:color="000000"/>
              <w:left w:val="single" w:sz="4" w:space="0" w:color="000000"/>
              <w:bottom w:val="single" w:sz="4" w:space="0" w:color="000000"/>
              <w:right w:val="nil"/>
            </w:tcBorders>
            <w:vAlign w:val="center"/>
            <w:hideMark/>
          </w:tcPr>
          <w:p w14:paraId="6D7DEFE4" w14:textId="77777777" w:rsidR="00FC4BA0" w:rsidRPr="007D03F5" w:rsidRDefault="00FC4BA0" w:rsidP="00475945">
            <w:pPr>
              <w:pStyle w:val="Pro-Inwest"/>
              <w:jc w:val="both"/>
              <w:rPr>
                <w:rFonts w:asciiTheme="minorHAnsi" w:hAnsiTheme="minorHAnsi"/>
                <w:sz w:val="16"/>
                <w:szCs w:val="16"/>
                <w:lang w:val="fr-FR"/>
              </w:rPr>
            </w:pPr>
          </w:p>
        </w:tc>
        <w:tc>
          <w:tcPr>
            <w:tcW w:w="851" w:type="dxa"/>
            <w:tcBorders>
              <w:top w:val="single" w:sz="4" w:space="0" w:color="000000"/>
              <w:left w:val="single" w:sz="4" w:space="0" w:color="000000"/>
              <w:bottom w:val="single" w:sz="4" w:space="0" w:color="000000"/>
              <w:right w:val="nil"/>
            </w:tcBorders>
            <w:hideMark/>
          </w:tcPr>
          <w:p w14:paraId="1368E7A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y </w:t>
            </w:r>
          </w:p>
        </w:tc>
        <w:tc>
          <w:tcPr>
            <w:tcW w:w="1134" w:type="dxa"/>
            <w:tcBorders>
              <w:top w:val="single" w:sz="4" w:space="0" w:color="000000"/>
              <w:left w:val="single" w:sz="4" w:space="0" w:color="000000"/>
              <w:bottom w:val="single" w:sz="4" w:space="0" w:color="000000"/>
              <w:right w:val="nil"/>
            </w:tcBorders>
            <w:hideMark/>
          </w:tcPr>
          <w:p w14:paraId="3A8AD13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0,171</w:t>
            </w:r>
          </w:p>
        </w:tc>
        <w:tc>
          <w:tcPr>
            <w:tcW w:w="1134" w:type="dxa"/>
            <w:tcBorders>
              <w:top w:val="single" w:sz="4" w:space="0" w:color="000000"/>
              <w:left w:val="single" w:sz="4" w:space="0" w:color="000000"/>
              <w:bottom w:val="single" w:sz="4" w:space="0" w:color="000000"/>
              <w:right w:val="nil"/>
            </w:tcBorders>
            <w:hideMark/>
          </w:tcPr>
          <w:p w14:paraId="7A8A3BD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0,220</w:t>
            </w:r>
          </w:p>
        </w:tc>
        <w:tc>
          <w:tcPr>
            <w:tcW w:w="1134" w:type="dxa"/>
            <w:tcBorders>
              <w:top w:val="single" w:sz="4" w:space="0" w:color="000000"/>
              <w:left w:val="single" w:sz="4" w:space="0" w:color="000000"/>
              <w:bottom w:val="single" w:sz="4" w:space="0" w:color="000000"/>
              <w:right w:val="nil"/>
            </w:tcBorders>
            <w:hideMark/>
          </w:tcPr>
          <w:p w14:paraId="2426C52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0,160</w:t>
            </w:r>
          </w:p>
        </w:tc>
        <w:tc>
          <w:tcPr>
            <w:tcW w:w="1284" w:type="dxa"/>
            <w:tcBorders>
              <w:top w:val="single" w:sz="4" w:space="0" w:color="000000"/>
              <w:left w:val="single" w:sz="4" w:space="0" w:color="000000"/>
              <w:bottom w:val="single" w:sz="4" w:space="0" w:color="000000"/>
              <w:right w:val="single" w:sz="4" w:space="0" w:color="000000"/>
            </w:tcBorders>
            <w:hideMark/>
          </w:tcPr>
          <w:p w14:paraId="7E655FF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0,038</w:t>
            </w:r>
          </w:p>
        </w:tc>
      </w:tr>
      <w:tr w:rsidR="007D03F5" w:rsidRPr="007D03F5" w14:paraId="665B0976" w14:textId="77777777" w:rsidTr="00475945">
        <w:trPr>
          <w:cantSplit/>
          <w:trHeight w:val="213"/>
        </w:trPr>
        <w:tc>
          <w:tcPr>
            <w:tcW w:w="1913" w:type="dxa"/>
            <w:vMerge w:val="restart"/>
            <w:tcBorders>
              <w:top w:val="single" w:sz="4" w:space="0" w:color="000000"/>
              <w:left w:val="single" w:sz="4" w:space="0" w:color="000000"/>
              <w:bottom w:val="single" w:sz="4" w:space="0" w:color="000000"/>
              <w:right w:val="nil"/>
            </w:tcBorders>
            <w:hideMark/>
          </w:tcPr>
          <w:p w14:paraId="66AC52B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Zielona</w:t>
            </w:r>
          </w:p>
        </w:tc>
        <w:tc>
          <w:tcPr>
            <w:tcW w:w="851" w:type="dxa"/>
            <w:tcBorders>
              <w:top w:val="single" w:sz="4" w:space="0" w:color="000000"/>
              <w:left w:val="single" w:sz="4" w:space="0" w:color="000000"/>
              <w:bottom w:val="single" w:sz="4" w:space="0" w:color="000000"/>
              <w:right w:val="nil"/>
            </w:tcBorders>
            <w:hideMark/>
          </w:tcPr>
          <w:p w14:paraId="7BEED44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x </w:t>
            </w:r>
          </w:p>
        </w:tc>
        <w:tc>
          <w:tcPr>
            <w:tcW w:w="1134" w:type="dxa"/>
            <w:tcBorders>
              <w:top w:val="single" w:sz="4" w:space="0" w:color="000000"/>
              <w:left w:val="single" w:sz="4" w:space="0" w:color="000000"/>
              <w:bottom w:val="single" w:sz="4" w:space="0" w:color="000000"/>
              <w:right w:val="nil"/>
            </w:tcBorders>
            <w:hideMark/>
          </w:tcPr>
          <w:p w14:paraId="1451B94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0,007</w:t>
            </w:r>
          </w:p>
        </w:tc>
        <w:tc>
          <w:tcPr>
            <w:tcW w:w="1134" w:type="dxa"/>
            <w:tcBorders>
              <w:top w:val="single" w:sz="4" w:space="0" w:color="000000"/>
              <w:left w:val="single" w:sz="4" w:space="0" w:color="000000"/>
              <w:bottom w:val="single" w:sz="4" w:space="0" w:color="000000"/>
              <w:right w:val="nil"/>
            </w:tcBorders>
            <w:hideMark/>
          </w:tcPr>
          <w:p w14:paraId="1E3D8F6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0,248</w:t>
            </w:r>
          </w:p>
        </w:tc>
        <w:tc>
          <w:tcPr>
            <w:tcW w:w="1134" w:type="dxa"/>
            <w:tcBorders>
              <w:top w:val="single" w:sz="4" w:space="0" w:color="000000"/>
              <w:left w:val="single" w:sz="4" w:space="0" w:color="000000"/>
              <w:bottom w:val="single" w:sz="4" w:space="0" w:color="000000"/>
              <w:right w:val="nil"/>
            </w:tcBorders>
            <w:hideMark/>
          </w:tcPr>
          <w:p w14:paraId="3AB3BF4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0,177</w:t>
            </w:r>
          </w:p>
        </w:tc>
        <w:tc>
          <w:tcPr>
            <w:tcW w:w="1284" w:type="dxa"/>
            <w:tcBorders>
              <w:top w:val="single" w:sz="4" w:space="0" w:color="000000"/>
              <w:left w:val="single" w:sz="4" w:space="0" w:color="000000"/>
              <w:bottom w:val="single" w:sz="4" w:space="0" w:color="000000"/>
              <w:right w:val="single" w:sz="4" w:space="0" w:color="000000"/>
            </w:tcBorders>
            <w:hideMark/>
          </w:tcPr>
          <w:p w14:paraId="1CBEFF7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0,026</w:t>
            </w:r>
          </w:p>
        </w:tc>
      </w:tr>
      <w:tr w:rsidR="007D03F5" w:rsidRPr="007D03F5" w14:paraId="3A6BEC65" w14:textId="77777777" w:rsidTr="00475945">
        <w:trPr>
          <w:cantSplit/>
          <w:trHeight w:val="230"/>
        </w:trPr>
        <w:tc>
          <w:tcPr>
            <w:tcW w:w="1913" w:type="dxa"/>
            <w:vMerge/>
            <w:tcBorders>
              <w:top w:val="single" w:sz="4" w:space="0" w:color="000000"/>
              <w:left w:val="single" w:sz="4" w:space="0" w:color="000000"/>
              <w:bottom w:val="single" w:sz="4" w:space="0" w:color="000000"/>
              <w:right w:val="nil"/>
            </w:tcBorders>
            <w:vAlign w:val="center"/>
            <w:hideMark/>
          </w:tcPr>
          <w:p w14:paraId="4D86EB87" w14:textId="77777777" w:rsidR="00FC4BA0" w:rsidRPr="007D03F5" w:rsidRDefault="00FC4BA0" w:rsidP="00475945">
            <w:pPr>
              <w:pStyle w:val="Pro-Inwest"/>
              <w:jc w:val="both"/>
              <w:rPr>
                <w:rFonts w:asciiTheme="minorHAnsi" w:hAnsiTheme="minorHAnsi"/>
                <w:sz w:val="16"/>
                <w:szCs w:val="16"/>
                <w:lang w:val="fr-FR"/>
              </w:rPr>
            </w:pPr>
          </w:p>
        </w:tc>
        <w:tc>
          <w:tcPr>
            <w:tcW w:w="851" w:type="dxa"/>
            <w:tcBorders>
              <w:top w:val="single" w:sz="4" w:space="0" w:color="000000"/>
              <w:left w:val="single" w:sz="4" w:space="0" w:color="000000"/>
              <w:bottom w:val="single" w:sz="4" w:space="0" w:color="000000"/>
              <w:right w:val="nil"/>
            </w:tcBorders>
            <w:hideMark/>
          </w:tcPr>
          <w:p w14:paraId="4C0676F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y </w:t>
            </w:r>
          </w:p>
        </w:tc>
        <w:tc>
          <w:tcPr>
            <w:tcW w:w="1134" w:type="dxa"/>
            <w:tcBorders>
              <w:top w:val="single" w:sz="4" w:space="0" w:color="000000"/>
              <w:left w:val="single" w:sz="4" w:space="0" w:color="000000"/>
              <w:bottom w:val="single" w:sz="4" w:space="0" w:color="000000"/>
              <w:right w:val="nil"/>
            </w:tcBorders>
            <w:hideMark/>
          </w:tcPr>
          <w:p w14:paraId="2F0E517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0,703</w:t>
            </w:r>
          </w:p>
        </w:tc>
        <w:tc>
          <w:tcPr>
            <w:tcW w:w="1134" w:type="dxa"/>
            <w:tcBorders>
              <w:top w:val="single" w:sz="4" w:space="0" w:color="000000"/>
              <w:left w:val="single" w:sz="4" w:space="0" w:color="000000"/>
              <w:bottom w:val="single" w:sz="4" w:space="0" w:color="000000"/>
              <w:right w:val="nil"/>
            </w:tcBorders>
            <w:hideMark/>
          </w:tcPr>
          <w:p w14:paraId="535858D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0,409</w:t>
            </w:r>
          </w:p>
        </w:tc>
        <w:tc>
          <w:tcPr>
            <w:tcW w:w="1134" w:type="dxa"/>
            <w:tcBorders>
              <w:top w:val="single" w:sz="4" w:space="0" w:color="000000"/>
              <w:left w:val="single" w:sz="4" w:space="0" w:color="000000"/>
              <w:bottom w:val="single" w:sz="4" w:space="0" w:color="000000"/>
              <w:right w:val="nil"/>
            </w:tcBorders>
            <w:hideMark/>
          </w:tcPr>
          <w:p w14:paraId="7F54E75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0,362</w:t>
            </w:r>
          </w:p>
        </w:tc>
        <w:tc>
          <w:tcPr>
            <w:tcW w:w="1284" w:type="dxa"/>
            <w:tcBorders>
              <w:top w:val="single" w:sz="4" w:space="0" w:color="000000"/>
              <w:left w:val="single" w:sz="4" w:space="0" w:color="000000"/>
              <w:bottom w:val="single" w:sz="4" w:space="0" w:color="000000"/>
              <w:right w:val="single" w:sz="4" w:space="0" w:color="000000"/>
            </w:tcBorders>
            <w:hideMark/>
          </w:tcPr>
          <w:p w14:paraId="773B565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0,399</w:t>
            </w:r>
          </w:p>
        </w:tc>
      </w:tr>
      <w:tr w:rsidR="007D03F5" w:rsidRPr="007D03F5" w14:paraId="61DB9C5A" w14:textId="77777777" w:rsidTr="00475945">
        <w:trPr>
          <w:cantSplit/>
          <w:trHeight w:val="213"/>
        </w:trPr>
        <w:tc>
          <w:tcPr>
            <w:tcW w:w="1913" w:type="dxa"/>
            <w:vMerge w:val="restart"/>
            <w:tcBorders>
              <w:top w:val="single" w:sz="4" w:space="0" w:color="000000"/>
              <w:left w:val="single" w:sz="4" w:space="0" w:color="000000"/>
              <w:bottom w:val="single" w:sz="4" w:space="0" w:color="000000"/>
              <w:right w:val="nil"/>
            </w:tcBorders>
            <w:hideMark/>
          </w:tcPr>
          <w:p w14:paraId="5958BFB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Brązowa</w:t>
            </w:r>
          </w:p>
        </w:tc>
        <w:tc>
          <w:tcPr>
            <w:tcW w:w="851" w:type="dxa"/>
            <w:tcBorders>
              <w:top w:val="single" w:sz="4" w:space="0" w:color="000000"/>
              <w:left w:val="single" w:sz="4" w:space="0" w:color="000000"/>
              <w:bottom w:val="single" w:sz="4" w:space="0" w:color="000000"/>
              <w:right w:val="nil"/>
            </w:tcBorders>
            <w:hideMark/>
          </w:tcPr>
          <w:p w14:paraId="3CBFFEA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x</w:t>
            </w:r>
          </w:p>
        </w:tc>
        <w:tc>
          <w:tcPr>
            <w:tcW w:w="1134" w:type="dxa"/>
            <w:tcBorders>
              <w:top w:val="single" w:sz="4" w:space="0" w:color="000000"/>
              <w:left w:val="single" w:sz="4" w:space="0" w:color="000000"/>
              <w:bottom w:val="single" w:sz="4" w:space="0" w:color="000000"/>
              <w:right w:val="nil"/>
            </w:tcBorders>
            <w:hideMark/>
          </w:tcPr>
          <w:p w14:paraId="2C998D2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0,455</w:t>
            </w:r>
          </w:p>
        </w:tc>
        <w:tc>
          <w:tcPr>
            <w:tcW w:w="1134" w:type="dxa"/>
            <w:tcBorders>
              <w:top w:val="single" w:sz="4" w:space="0" w:color="000000"/>
              <w:left w:val="single" w:sz="4" w:space="0" w:color="000000"/>
              <w:bottom w:val="single" w:sz="4" w:space="0" w:color="000000"/>
              <w:right w:val="nil"/>
            </w:tcBorders>
            <w:hideMark/>
          </w:tcPr>
          <w:p w14:paraId="19C929B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0,523</w:t>
            </w:r>
          </w:p>
        </w:tc>
        <w:tc>
          <w:tcPr>
            <w:tcW w:w="1134" w:type="dxa"/>
            <w:tcBorders>
              <w:top w:val="single" w:sz="4" w:space="0" w:color="000000"/>
              <w:left w:val="single" w:sz="4" w:space="0" w:color="000000"/>
              <w:bottom w:val="single" w:sz="4" w:space="0" w:color="000000"/>
              <w:right w:val="nil"/>
            </w:tcBorders>
            <w:hideMark/>
          </w:tcPr>
          <w:p w14:paraId="5552712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0,479</w:t>
            </w:r>
          </w:p>
        </w:tc>
        <w:tc>
          <w:tcPr>
            <w:tcW w:w="1284" w:type="dxa"/>
            <w:tcBorders>
              <w:top w:val="single" w:sz="4" w:space="0" w:color="000000"/>
              <w:left w:val="single" w:sz="4" w:space="0" w:color="000000"/>
              <w:bottom w:val="single" w:sz="4" w:space="0" w:color="000000"/>
              <w:right w:val="single" w:sz="4" w:space="0" w:color="000000"/>
            </w:tcBorders>
            <w:hideMark/>
          </w:tcPr>
          <w:p w14:paraId="56CBC1E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0,558</w:t>
            </w:r>
          </w:p>
        </w:tc>
      </w:tr>
      <w:tr w:rsidR="007D03F5" w:rsidRPr="007D03F5" w14:paraId="493096CC" w14:textId="77777777" w:rsidTr="00475945">
        <w:trPr>
          <w:cantSplit/>
          <w:trHeight w:val="230"/>
        </w:trPr>
        <w:tc>
          <w:tcPr>
            <w:tcW w:w="1913" w:type="dxa"/>
            <w:vMerge/>
            <w:tcBorders>
              <w:top w:val="single" w:sz="4" w:space="0" w:color="000000"/>
              <w:left w:val="single" w:sz="4" w:space="0" w:color="000000"/>
              <w:bottom w:val="single" w:sz="4" w:space="0" w:color="000000"/>
              <w:right w:val="nil"/>
            </w:tcBorders>
            <w:vAlign w:val="center"/>
            <w:hideMark/>
          </w:tcPr>
          <w:p w14:paraId="410A212E" w14:textId="77777777" w:rsidR="00FC4BA0" w:rsidRPr="007D03F5" w:rsidRDefault="00FC4BA0" w:rsidP="00475945">
            <w:pPr>
              <w:pStyle w:val="Pro-Inwest"/>
              <w:jc w:val="both"/>
              <w:rPr>
                <w:rFonts w:asciiTheme="minorHAnsi" w:hAnsiTheme="minorHAnsi"/>
                <w:sz w:val="16"/>
                <w:szCs w:val="16"/>
                <w:lang w:val="fr-FR"/>
              </w:rPr>
            </w:pPr>
          </w:p>
        </w:tc>
        <w:tc>
          <w:tcPr>
            <w:tcW w:w="851" w:type="dxa"/>
            <w:tcBorders>
              <w:top w:val="single" w:sz="4" w:space="0" w:color="000000"/>
              <w:left w:val="single" w:sz="4" w:space="0" w:color="000000"/>
              <w:bottom w:val="single" w:sz="4" w:space="0" w:color="000000"/>
              <w:right w:val="nil"/>
            </w:tcBorders>
            <w:hideMark/>
          </w:tcPr>
          <w:p w14:paraId="3CA7BE8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y</w:t>
            </w:r>
          </w:p>
        </w:tc>
        <w:tc>
          <w:tcPr>
            <w:tcW w:w="1134" w:type="dxa"/>
            <w:tcBorders>
              <w:top w:val="single" w:sz="4" w:space="0" w:color="000000"/>
              <w:left w:val="single" w:sz="4" w:space="0" w:color="000000"/>
              <w:bottom w:val="single" w:sz="4" w:space="0" w:color="000000"/>
              <w:right w:val="nil"/>
            </w:tcBorders>
            <w:hideMark/>
          </w:tcPr>
          <w:p w14:paraId="0A45DCB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0,397</w:t>
            </w:r>
          </w:p>
        </w:tc>
        <w:tc>
          <w:tcPr>
            <w:tcW w:w="1134" w:type="dxa"/>
            <w:tcBorders>
              <w:top w:val="single" w:sz="4" w:space="0" w:color="000000"/>
              <w:left w:val="single" w:sz="4" w:space="0" w:color="000000"/>
              <w:bottom w:val="single" w:sz="4" w:space="0" w:color="000000"/>
              <w:right w:val="nil"/>
            </w:tcBorders>
            <w:hideMark/>
          </w:tcPr>
          <w:p w14:paraId="3531733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0,429</w:t>
            </w:r>
          </w:p>
        </w:tc>
        <w:tc>
          <w:tcPr>
            <w:tcW w:w="1134" w:type="dxa"/>
            <w:tcBorders>
              <w:top w:val="single" w:sz="4" w:space="0" w:color="000000"/>
              <w:left w:val="single" w:sz="4" w:space="0" w:color="000000"/>
              <w:bottom w:val="single" w:sz="4" w:space="0" w:color="000000"/>
              <w:right w:val="nil"/>
            </w:tcBorders>
            <w:hideMark/>
          </w:tcPr>
          <w:p w14:paraId="451D957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0,373</w:t>
            </w:r>
          </w:p>
        </w:tc>
        <w:tc>
          <w:tcPr>
            <w:tcW w:w="1284" w:type="dxa"/>
            <w:tcBorders>
              <w:top w:val="single" w:sz="4" w:space="0" w:color="000000"/>
              <w:left w:val="single" w:sz="4" w:space="0" w:color="000000"/>
              <w:bottom w:val="single" w:sz="4" w:space="0" w:color="000000"/>
              <w:right w:val="single" w:sz="4" w:space="0" w:color="000000"/>
            </w:tcBorders>
            <w:hideMark/>
          </w:tcPr>
          <w:p w14:paraId="1AFBCE9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0,394</w:t>
            </w:r>
          </w:p>
        </w:tc>
      </w:tr>
      <w:tr w:rsidR="007D03F5" w:rsidRPr="007D03F5" w14:paraId="7AF7DBC9" w14:textId="77777777" w:rsidTr="00475945">
        <w:trPr>
          <w:cantSplit/>
          <w:trHeight w:val="213"/>
        </w:trPr>
        <w:tc>
          <w:tcPr>
            <w:tcW w:w="1913" w:type="dxa"/>
            <w:vMerge w:val="restart"/>
            <w:tcBorders>
              <w:top w:val="single" w:sz="4" w:space="0" w:color="000000"/>
              <w:left w:val="single" w:sz="4" w:space="0" w:color="000000"/>
              <w:bottom w:val="single" w:sz="4" w:space="0" w:color="000000"/>
              <w:right w:val="nil"/>
            </w:tcBorders>
            <w:hideMark/>
          </w:tcPr>
          <w:p w14:paraId="6815EF3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Pomarańczowa</w:t>
            </w:r>
          </w:p>
        </w:tc>
        <w:tc>
          <w:tcPr>
            <w:tcW w:w="851" w:type="dxa"/>
            <w:tcBorders>
              <w:top w:val="single" w:sz="4" w:space="0" w:color="000000"/>
              <w:left w:val="single" w:sz="4" w:space="0" w:color="000000"/>
              <w:bottom w:val="single" w:sz="4" w:space="0" w:color="000000"/>
              <w:right w:val="nil"/>
            </w:tcBorders>
            <w:hideMark/>
          </w:tcPr>
          <w:p w14:paraId="2C8617E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x</w:t>
            </w:r>
          </w:p>
        </w:tc>
        <w:tc>
          <w:tcPr>
            <w:tcW w:w="1134" w:type="dxa"/>
            <w:tcBorders>
              <w:top w:val="single" w:sz="4" w:space="0" w:color="000000"/>
              <w:left w:val="single" w:sz="4" w:space="0" w:color="000000"/>
              <w:bottom w:val="single" w:sz="4" w:space="0" w:color="000000"/>
              <w:right w:val="nil"/>
            </w:tcBorders>
            <w:hideMark/>
          </w:tcPr>
          <w:p w14:paraId="2F4F980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0,610</w:t>
            </w:r>
          </w:p>
        </w:tc>
        <w:tc>
          <w:tcPr>
            <w:tcW w:w="1134" w:type="dxa"/>
            <w:tcBorders>
              <w:top w:val="single" w:sz="4" w:space="0" w:color="000000"/>
              <w:left w:val="single" w:sz="4" w:space="0" w:color="000000"/>
              <w:bottom w:val="single" w:sz="4" w:space="0" w:color="000000"/>
              <w:right w:val="nil"/>
            </w:tcBorders>
            <w:hideMark/>
          </w:tcPr>
          <w:p w14:paraId="1B87938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0,535</w:t>
            </w:r>
          </w:p>
        </w:tc>
        <w:tc>
          <w:tcPr>
            <w:tcW w:w="1134" w:type="dxa"/>
            <w:tcBorders>
              <w:top w:val="single" w:sz="4" w:space="0" w:color="000000"/>
              <w:left w:val="single" w:sz="4" w:space="0" w:color="000000"/>
              <w:bottom w:val="single" w:sz="4" w:space="0" w:color="000000"/>
              <w:right w:val="nil"/>
            </w:tcBorders>
            <w:hideMark/>
          </w:tcPr>
          <w:p w14:paraId="3B33F6E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0,506</w:t>
            </w:r>
          </w:p>
        </w:tc>
        <w:tc>
          <w:tcPr>
            <w:tcW w:w="1284" w:type="dxa"/>
            <w:tcBorders>
              <w:top w:val="single" w:sz="4" w:space="0" w:color="000000"/>
              <w:left w:val="single" w:sz="4" w:space="0" w:color="000000"/>
              <w:bottom w:val="single" w:sz="4" w:space="0" w:color="000000"/>
              <w:right w:val="single" w:sz="4" w:space="0" w:color="000000"/>
            </w:tcBorders>
            <w:hideMark/>
          </w:tcPr>
          <w:p w14:paraId="53944A6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0,570</w:t>
            </w:r>
          </w:p>
        </w:tc>
      </w:tr>
      <w:tr w:rsidR="007D03F5" w:rsidRPr="007D03F5" w14:paraId="34E6765B" w14:textId="77777777" w:rsidTr="00475945">
        <w:trPr>
          <w:cantSplit/>
          <w:trHeight w:val="230"/>
        </w:trPr>
        <w:tc>
          <w:tcPr>
            <w:tcW w:w="1913" w:type="dxa"/>
            <w:vMerge/>
            <w:tcBorders>
              <w:top w:val="single" w:sz="4" w:space="0" w:color="000000"/>
              <w:left w:val="single" w:sz="4" w:space="0" w:color="000000"/>
              <w:bottom w:val="single" w:sz="4" w:space="0" w:color="000000"/>
              <w:right w:val="nil"/>
            </w:tcBorders>
            <w:vAlign w:val="center"/>
            <w:hideMark/>
          </w:tcPr>
          <w:p w14:paraId="11B7A3F6" w14:textId="77777777" w:rsidR="00FC4BA0" w:rsidRPr="007D03F5" w:rsidRDefault="00FC4BA0" w:rsidP="00475945">
            <w:pPr>
              <w:pStyle w:val="Pro-Inwest"/>
              <w:jc w:val="both"/>
              <w:rPr>
                <w:rFonts w:asciiTheme="minorHAnsi" w:hAnsiTheme="minorHAnsi"/>
                <w:sz w:val="16"/>
                <w:szCs w:val="16"/>
                <w:lang w:val="fr-FR"/>
              </w:rPr>
            </w:pPr>
          </w:p>
        </w:tc>
        <w:tc>
          <w:tcPr>
            <w:tcW w:w="851" w:type="dxa"/>
            <w:tcBorders>
              <w:top w:val="single" w:sz="4" w:space="0" w:color="000000"/>
              <w:left w:val="single" w:sz="4" w:space="0" w:color="000000"/>
              <w:bottom w:val="single" w:sz="4" w:space="0" w:color="000000"/>
              <w:right w:val="nil"/>
            </w:tcBorders>
            <w:hideMark/>
          </w:tcPr>
          <w:p w14:paraId="4D19C43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y</w:t>
            </w:r>
          </w:p>
        </w:tc>
        <w:tc>
          <w:tcPr>
            <w:tcW w:w="1134" w:type="dxa"/>
            <w:tcBorders>
              <w:top w:val="single" w:sz="4" w:space="0" w:color="000000"/>
              <w:left w:val="single" w:sz="4" w:space="0" w:color="000000"/>
              <w:bottom w:val="single" w:sz="4" w:space="0" w:color="000000"/>
              <w:right w:val="nil"/>
            </w:tcBorders>
            <w:hideMark/>
          </w:tcPr>
          <w:p w14:paraId="708A815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0,390</w:t>
            </w:r>
          </w:p>
        </w:tc>
        <w:tc>
          <w:tcPr>
            <w:tcW w:w="1134" w:type="dxa"/>
            <w:tcBorders>
              <w:top w:val="single" w:sz="4" w:space="0" w:color="000000"/>
              <w:left w:val="single" w:sz="4" w:space="0" w:color="000000"/>
              <w:bottom w:val="single" w:sz="4" w:space="0" w:color="000000"/>
              <w:right w:val="nil"/>
            </w:tcBorders>
            <w:hideMark/>
          </w:tcPr>
          <w:p w14:paraId="0C9112B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0,375</w:t>
            </w:r>
          </w:p>
        </w:tc>
        <w:tc>
          <w:tcPr>
            <w:tcW w:w="1134" w:type="dxa"/>
            <w:tcBorders>
              <w:top w:val="single" w:sz="4" w:space="0" w:color="000000"/>
              <w:left w:val="single" w:sz="4" w:space="0" w:color="000000"/>
              <w:bottom w:val="single" w:sz="4" w:space="0" w:color="000000"/>
              <w:right w:val="nil"/>
            </w:tcBorders>
            <w:hideMark/>
          </w:tcPr>
          <w:p w14:paraId="3487D92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0,404</w:t>
            </w:r>
          </w:p>
        </w:tc>
        <w:tc>
          <w:tcPr>
            <w:tcW w:w="1284" w:type="dxa"/>
            <w:tcBorders>
              <w:top w:val="single" w:sz="4" w:space="0" w:color="000000"/>
              <w:left w:val="single" w:sz="4" w:space="0" w:color="000000"/>
              <w:bottom w:val="single" w:sz="4" w:space="0" w:color="000000"/>
              <w:right w:val="single" w:sz="4" w:space="0" w:color="000000"/>
            </w:tcBorders>
            <w:hideMark/>
          </w:tcPr>
          <w:p w14:paraId="5AA2DC3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0,429</w:t>
            </w:r>
          </w:p>
        </w:tc>
      </w:tr>
      <w:tr w:rsidR="007D03F5" w:rsidRPr="007D03F5" w14:paraId="727BBCA0" w14:textId="77777777" w:rsidTr="00475945">
        <w:trPr>
          <w:cantSplit/>
          <w:trHeight w:val="199"/>
        </w:trPr>
        <w:tc>
          <w:tcPr>
            <w:tcW w:w="1913" w:type="dxa"/>
            <w:vMerge w:val="restart"/>
            <w:tcBorders>
              <w:top w:val="single" w:sz="4" w:space="0" w:color="000000"/>
              <w:left w:val="single" w:sz="4" w:space="0" w:color="000000"/>
              <w:bottom w:val="nil"/>
              <w:right w:val="nil"/>
            </w:tcBorders>
            <w:hideMark/>
          </w:tcPr>
          <w:p w14:paraId="0857552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Szara</w:t>
            </w:r>
          </w:p>
        </w:tc>
        <w:tc>
          <w:tcPr>
            <w:tcW w:w="851" w:type="dxa"/>
            <w:tcBorders>
              <w:top w:val="single" w:sz="4" w:space="0" w:color="000000"/>
              <w:left w:val="single" w:sz="4" w:space="0" w:color="000000"/>
              <w:bottom w:val="single" w:sz="4" w:space="0" w:color="000000"/>
              <w:right w:val="nil"/>
            </w:tcBorders>
            <w:hideMark/>
          </w:tcPr>
          <w:p w14:paraId="1969A53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x</w:t>
            </w:r>
          </w:p>
        </w:tc>
        <w:tc>
          <w:tcPr>
            <w:tcW w:w="1134" w:type="dxa"/>
            <w:tcBorders>
              <w:top w:val="single" w:sz="4" w:space="0" w:color="000000"/>
              <w:left w:val="single" w:sz="4" w:space="0" w:color="000000"/>
              <w:bottom w:val="single" w:sz="4" w:space="0" w:color="000000"/>
              <w:right w:val="nil"/>
            </w:tcBorders>
            <w:hideMark/>
          </w:tcPr>
          <w:p w14:paraId="04F2DFE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0,350</w:t>
            </w:r>
          </w:p>
        </w:tc>
        <w:tc>
          <w:tcPr>
            <w:tcW w:w="1134" w:type="dxa"/>
            <w:tcBorders>
              <w:top w:val="single" w:sz="4" w:space="0" w:color="000000"/>
              <w:left w:val="single" w:sz="4" w:space="0" w:color="000000"/>
              <w:bottom w:val="single" w:sz="4" w:space="0" w:color="000000"/>
              <w:right w:val="nil"/>
            </w:tcBorders>
            <w:hideMark/>
          </w:tcPr>
          <w:p w14:paraId="7483927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0,300</w:t>
            </w:r>
          </w:p>
        </w:tc>
        <w:tc>
          <w:tcPr>
            <w:tcW w:w="1134" w:type="dxa"/>
            <w:tcBorders>
              <w:top w:val="single" w:sz="4" w:space="0" w:color="000000"/>
              <w:left w:val="single" w:sz="4" w:space="0" w:color="000000"/>
              <w:bottom w:val="single" w:sz="4" w:space="0" w:color="000000"/>
              <w:right w:val="nil"/>
            </w:tcBorders>
            <w:hideMark/>
          </w:tcPr>
          <w:p w14:paraId="7697470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0,285</w:t>
            </w:r>
          </w:p>
        </w:tc>
        <w:tc>
          <w:tcPr>
            <w:tcW w:w="1284" w:type="dxa"/>
            <w:tcBorders>
              <w:top w:val="single" w:sz="4" w:space="0" w:color="000000"/>
              <w:left w:val="single" w:sz="4" w:space="0" w:color="000000"/>
              <w:bottom w:val="single" w:sz="4" w:space="0" w:color="000000"/>
              <w:right w:val="single" w:sz="4" w:space="0" w:color="000000"/>
            </w:tcBorders>
            <w:hideMark/>
          </w:tcPr>
          <w:p w14:paraId="248DE44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0,335</w:t>
            </w:r>
          </w:p>
        </w:tc>
      </w:tr>
      <w:tr w:rsidR="007D03F5" w:rsidRPr="007D03F5" w14:paraId="5A149A1B" w14:textId="77777777" w:rsidTr="00475945">
        <w:trPr>
          <w:cantSplit/>
          <w:trHeight w:val="199"/>
        </w:trPr>
        <w:tc>
          <w:tcPr>
            <w:tcW w:w="1913" w:type="dxa"/>
            <w:vMerge/>
            <w:tcBorders>
              <w:top w:val="single" w:sz="4" w:space="0" w:color="000000"/>
              <w:left w:val="single" w:sz="4" w:space="0" w:color="000000"/>
              <w:bottom w:val="nil"/>
              <w:right w:val="nil"/>
            </w:tcBorders>
            <w:vAlign w:val="center"/>
            <w:hideMark/>
          </w:tcPr>
          <w:p w14:paraId="10004CD9" w14:textId="77777777" w:rsidR="00FC4BA0" w:rsidRPr="007D03F5" w:rsidRDefault="00FC4BA0" w:rsidP="00475945">
            <w:pPr>
              <w:pStyle w:val="Pro-Inwest"/>
              <w:jc w:val="both"/>
              <w:rPr>
                <w:rFonts w:asciiTheme="minorHAnsi" w:hAnsiTheme="minorHAnsi"/>
                <w:sz w:val="16"/>
                <w:szCs w:val="16"/>
                <w:lang w:val="fr-FR"/>
              </w:rPr>
            </w:pPr>
          </w:p>
        </w:tc>
        <w:tc>
          <w:tcPr>
            <w:tcW w:w="851" w:type="dxa"/>
            <w:tcBorders>
              <w:top w:val="single" w:sz="4" w:space="0" w:color="000000"/>
              <w:left w:val="single" w:sz="4" w:space="0" w:color="000000"/>
              <w:bottom w:val="single" w:sz="4" w:space="0" w:color="000000"/>
              <w:right w:val="nil"/>
            </w:tcBorders>
            <w:hideMark/>
          </w:tcPr>
          <w:p w14:paraId="7690EB1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y</w:t>
            </w:r>
          </w:p>
        </w:tc>
        <w:tc>
          <w:tcPr>
            <w:tcW w:w="1134" w:type="dxa"/>
            <w:tcBorders>
              <w:top w:val="single" w:sz="4" w:space="0" w:color="000000"/>
              <w:left w:val="single" w:sz="4" w:space="0" w:color="000000"/>
              <w:bottom w:val="single" w:sz="4" w:space="0" w:color="000000"/>
              <w:right w:val="nil"/>
            </w:tcBorders>
            <w:hideMark/>
          </w:tcPr>
          <w:p w14:paraId="3097850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0,360</w:t>
            </w:r>
          </w:p>
        </w:tc>
        <w:tc>
          <w:tcPr>
            <w:tcW w:w="1134" w:type="dxa"/>
            <w:tcBorders>
              <w:top w:val="single" w:sz="4" w:space="0" w:color="000000"/>
              <w:left w:val="single" w:sz="4" w:space="0" w:color="000000"/>
              <w:bottom w:val="single" w:sz="4" w:space="0" w:color="000000"/>
              <w:right w:val="nil"/>
            </w:tcBorders>
            <w:hideMark/>
          </w:tcPr>
          <w:p w14:paraId="3FD850D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0,310</w:t>
            </w:r>
          </w:p>
        </w:tc>
        <w:tc>
          <w:tcPr>
            <w:tcW w:w="1134" w:type="dxa"/>
            <w:tcBorders>
              <w:top w:val="single" w:sz="4" w:space="0" w:color="000000"/>
              <w:left w:val="single" w:sz="4" w:space="0" w:color="000000"/>
              <w:bottom w:val="single" w:sz="4" w:space="0" w:color="000000"/>
              <w:right w:val="nil"/>
            </w:tcBorders>
            <w:hideMark/>
          </w:tcPr>
          <w:p w14:paraId="68A1168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0,325</w:t>
            </w:r>
          </w:p>
        </w:tc>
        <w:tc>
          <w:tcPr>
            <w:tcW w:w="1284" w:type="dxa"/>
            <w:tcBorders>
              <w:top w:val="single" w:sz="4" w:space="0" w:color="000000"/>
              <w:left w:val="single" w:sz="4" w:space="0" w:color="000000"/>
              <w:bottom w:val="single" w:sz="4" w:space="0" w:color="000000"/>
              <w:right w:val="single" w:sz="4" w:space="0" w:color="000000"/>
            </w:tcBorders>
            <w:hideMark/>
          </w:tcPr>
          <w:p w14:paraId="06EA002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0,375</w:t>
            </w:r>
          </w:p>
        </w:tc>
      </w:tr>
    </w:tbl>
    <w:p w14:paraId="6368D1A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2.6.2.</w:t>
      </w:r>
      <w:r w:rsidRPr="007D03F5">
        <w:rPr>
          <w:rFonts w:asciiTheme="minorHAnsi" w:hAnsiTheme="minorHAnsi"/>
          <w:sz w:val="16"/>
          <w:szCs w:val="16"/>
        </w:rPr>
        <w:t xml:space="preserve"> Wymagania jakościowe </w:t>
      </w:r>
    </w:p>
    <w:p w14:paraId="473FD753"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Powierzchnia licowa znaku powinna być równa, gładka, bez rozwarstwień, pęcherzy i  </w:t>
      </w:r>
      <w:proofErr w:type="spellStart"/>
      <w:r w:rsidRPr="007D03F5">
        <w:rPr>
          <w:rFonts w:asciiTheme="minorHAnsi" w:hAnsiTheme="minorHAnsi"/>
          <w:sz w:val="16"/>
          <w:szCs w:val="16"/>
        </w:rPr>
        <w:t>odklejeń</w:t>
      </w:r>
      <w:proofErr w:type="spellEnd"/>
      <w:r w:rsidRPr="007D03F5">
        <w:rPr>
          <w:rFonts w:asciiTheme="minorHAnsi" w:hAnsiTheme="minorHAnsi"/>
          <w:sz w:val="16"/>
          <w:szCs w:val="16"/>
        </w:rPr>
        <w:t xml:space="preserve"> na krawędziach. Na powierzchni mogą występować w obrębie jednego pola średnio nie więcej niż 0,7 błędów na powierzchni (kurz, pęcherze) o wielkości najwyżej 1 mm. Rysy nie mają prawa wystąpić.</w:t>
      </w:r>
    </w:p>
    <w:p w14:paraId="773454F4"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Sposób połączenia folii z powierzchnią tarczy znaku powinien uniemożliwiać jej odłączenie od tarczy bez jej zniszczenia.</w:t>
      </w:r>
    </w:p>
    <w:p w14:paraId="2DAC119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Dokładność rysunku znaku powinna być taka, aby wady konturów znaku, które mogą powstać przy nanoszeniu farby na odblaskową powierzchnię znaku, nie były większe niż podane w p. 2.6.3.</w:t>
      </w:r>
    </w:p>
    <w:p w14:paraId="3D2CD9B4"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Lica znaków wykonane drukiem sitowym powinny być wolne od smug i cieni.</w:t>
      </w:r>
    </w:p>
    <w:p w14:paraId="7CA8992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Krawędzie lica znaku z folii typu 2 powinny być odpowiednio zabezpieczone np. przez lakierowanie lub ramą z profilu ceowego.</w:t>
      </w:r>
    </w:p>
    <w:p w14:paraId="6B08EB19"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Powłoka lakiernicza w kolorze RAL 7037 na tylnej stronie znaku powinna być równa, gładka bez smug i zacieków.    </w:t>
      </w:r>
    </w:p>
    <w:p w14:paraId="50300E4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Sprawdzenie polega na ocenie wizualnej.</w:t>
      </w:r>
    </w:p>
    <w:p w14:paraId="5E9F83F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2.6.3</w:t>
      </w:r>
      <w:r w:rsidRPr="007D03F5">
        <w:rPr>
          <w:rFonts w:asciiTheme="minorHAnsi" w:hAnsiTheme="minorHAnsi"/>
          <w:sz w:val="16"/>
          <w:szCs w:val="16"/>
        </w:rPr>
        <w:t xml:space="preserve">  Tolerancje wymiarowe znaków drogowych</w:t>
      </w:r>
    </w:p>
    <w:p w14:paraId="2895947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2.6.3.1</w:t>
      </w:r>
      <w:r w:rsidRPr="007D03F5">
        <w:rPr>
          <w:rFonts w:asciiTheme="minorHAnsi" w:hAnsiTheme="minorHAnsi"/>
          <w:sz w:val="16"/>
          <w:szCs w:val="16"/>
        </w:rPr>
        <w:t xml:space="preserve">  Tolerancje wymiarowe dla grubości blach</w:t>
      </w:r>
    </w:p>
    <w:p w14:paraId="0D6D398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Sprawdzenie śrubą mikrometryczną:</w:t>
      </w:r>
    </w:p>
    <w:p w14:paraId="3244AE89" w14:textId="77777777" w:rsidR="00FC4BA0" w:rsidRPr="007D03F5" w:rsidRDefault="00FC4BA0" w:rsidP="00CF52A1">
      <w:pPr>
        <w:pStyle w:val="Pro-Inwest"/>
        <w:numPr>
          <w:ilvl w:val="0"/>
          <w:numId w:val="126"/>
        </w:numPr>
        <w:jc w:val="both"/>
        <w:rPr>
          <w:rFonts w:asciiTheme="minorHAnsi" w:hAnsiTheme="minorHAnsi"/>
          <w:sz w:val="16"/>
          <w:szCs w:val="16"/>
        </w:rPr>
      </w:pPr>
      <w:r w:rsidRPr="007D03F5">
        <w:rPr>
          <w:rFonts w:asciiTheme="minorHAnsi" w:hAnsiTheme="minorHAnsi"/>
          <w:sz w:val="16"/>
          <w:szCs w:val="16"/>
        </w:rPr>
        <w:t xml:space="preserve">dla blachy stalowej ocynkowanej ogniowo o gr. 1,25 - 1,5 mm wynosi </w:t>
      </w:r>
      <w:r w:rsidRPr="007D03F5">
        <w:rPr>
          <w:rFonts w:asciiTheme="minorHAnsi" w:hAnsiTheme="minorHAnsi"/>
          <w:sz w:val="16"/>
          <w:szCs w:val="16"/>
        </w:rPr>
        <w:tab/>
        <w:t xml:space="preserve"> - 0,14 mm,</w:t>
      </w:r>
    </w:p>
    <w:p w14:paraId="0FE883FB" w14:textId="77777777" w:rsidR="00FC4BA0" w:rsidRPr="007D03F5" w:rsidRDefault="00FC4BA0" w:rsidP="00CF52A1">
      <w:pPr>
        <w:pStyle w:val="Pro-Inwest"/>
        <w:numPr>
          <w:ilvl w:val="0"/>
          <w:numId w:val="126"/>
        </w:numPr>
        <w:jc w:val="both"/>
        <w:rPr>
          <w:rFonts w:asciiTheme="minorHAnsi" w:hAnsiTheme="minorHAnsi"/>
          <w:sz w:val="16"/>
          <w:szCs w:val="16"/>
        </w:rPr>
      </w:pPr>
      <w:r w:rsidRPr="007D03F5">
        <w:rPr>
          <w:rFonts w:asciiTheme="minorHAnsi" w:hAnsiTheme="minorHAnsi"/>
          <w:sz w:val="16"/>
          <w:szCs w:val="16"/>
        </w:rPr>
        <w:t xml:space="preserve">dla blach aluminiowych o gr. 1,5 - 2,0 mm wynosi </w:t>
      </w:r>
      <w:r w:rsidRPr="007D03F5">
        <w:rPr>
          <w:rFonts w:asciiTheme="minorHAnsi" w:hAnsiTheme="minorHAnsi"/>
          <w:sz w:val="16"/>
          <w:szCs w:val="16"/>
        </w:rPr>
        <w:tab/>
      </w:r>
      <w:r w:rsidRPr="007D03F5">
        <w:rPr>
          <w:rFonts w:asciiTheme="minorHAnsi" w:hAnsiTheme="minorHAnsi"/>
          <w:sz w:val="16"/>
          <w:szCs w:val="16"/>
        </w:rPr>
        <w:tab/>
      </w:r>
      <w:r w:rsidRPr="007D03F5">
        <w:rPr>
          <w:rFonts w:asciiTheme="minorHAnsi" w:hAnsiTheme="minorHAnsi"/>
          <w:sz w:val="16"/>
          <w:szCs w:val="16"/>
        </w:rPr>
        <w:tab/>
        <w:t xml:space="preserve"> - 0,10 mm.</w:t>
      </w:r>
    </w:p>
    <w:p w14:paraId="661BEF3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 xml:space="preserve"> 2.6.3.2</w:t>
      </w:r>
      <w:r w:rsidRPr="007D03F5">
        <w:rPr>
          <w:rFonts w:asciiTheme="minorHAnsi" w:hAnsiTheme="minorHAnsi"/>
          <w:sz w:val="16"/>
          <w:szCs w:val="16"/>
        </w:rPr>
        <w:t xml:space="preserve"> Tolerancje wymiarowe dla grubości powłok malarskich </w:t>
      </w:r>
    </w:p>
    <w:p w14:paraId="58B5630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Dla powłoki lakierniczej na tylnej powierzchni tarczy znaku o grubości 60 µm wynosi  </w:t>
      </w:r>
      <w:r w:rsidRPr="007D03F5">
        <w:rPr>
          <w:rFonts w:asciiTheme="minorHAnsi" w:hAnsiTheme="minorHAnsi"/>
          <w:sz w:val="16"/>
          <w:szCs w:val="16"/>
        </w:rPr>
        <w:sym w:font="Arial" w:char="F0B1"/>
      </w:r>
      <w:r w:rsidRPr="007D03F5">
        <w:rPr>
          <w:rFonts w:asciiTheme="minorHAnsi" w:hAnsiTheme="minorHAnsi"/>
          <w:sz w:val="16"/>
          <w:szCs w:val="16"/>
        </w:rPr>
        <w:t>15 nm.  Sprawdzenie wg PN-EN ISO 2808:2000 [22].</w:t>
      </w:r>
    </w:p>
    <w:p w14:paraId="41A3FC8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2.6.3.3</w:t>
      </w:r>
      <w:r w:rsidRPr="007D03F5">
        <w:rPr>
          <w:rFonts w:asciiTheme="minorHAnsi" w:hAnsiTheme="minorHAnsi"/>
          <w:sz w:val="16"/>
          <w:szCs w:val="16"/>
        </w:rPr>
        <w:t xml:space="preserve"> Tolerancje wymiarowe dla płaskości powierzchni</w:t>
      </w:r>
    </w:p>
    <w:p w14:paraId="4B1B6E6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Odchylenia od poziomu nie mogą wynieść więcej niż 0,2 %, wyjątkowo do           0,5 %. Sprawdzenie szczelinomierzem.</w:t>
      </w:r>
    </w:p>
    <w:p w14:paraId="766666F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2.6.3.4</w:t>
      </w:r>
      <w:r w:rsidRPr="007D03F5">
        <w:rPr>
          <w:rFonts w:asciiTheme="minorHAnsi" w:hAnsiTheme="minorHAnsi"/>
          <w:sz w:val="16"/>
          <w:szCs w:val="16"/>
        </w:rPr>
        <w:t xml:space="preserve"> Tolerancje wymiarowe dla tarcz znaków</w:t>
      </w:r>
    </w:p>
    <w:p w14:paraId="5187EE03"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Sprawdzenie przymiarem liniowym:</w:t>
      </w:r>
    </w:p>
    <w:p w14:paraId="66C2C76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wymiary dla tarcz znaków o powierzchni &lt; 1m2 podane w opisach szczegółowych załącznika nr 1 [25] są  należy powiększyć o 10 mm i wykonać w tolerancji wymiarowej </w:t>
      </w:r>
      <w:r w:rsidRPr="007D03F5">
        <w:rPr>
          <w:rFonts w:asciiTheme="minorHAnsi" w:hAnsiTheme="minorHAnsi"/>
          <w:sz w:val="16"/>
          <w:szCs w:val="16"/>
        </w:rPr>
        <w:sym w:font="Arial" w:char="F0B1"/>
      </w:r>
      <w:r w:rsidRPr="007D03F5">
        <w:rPr>
          <w:rFonts w:asciiTheme="minorHAnsi" w:hAnsiTheme="minorHAnsi"/>
          <w:sz w:val="16"/>
          <w:szCs w:val="16"/>
        </w:rPr>
        <w:t xml:space="preserve"> 5 mm,</w:t>
      </w:r>
    </w:p>
    <w:p w14:paraId="59696E5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wymiary dla tarcz znaków i tablic  o powierzchni &gt; 1m2 podane w opisach szczegółowych załącznika nr 1 [25] oraz  wymiary wynikowe dla tablic grupy E należy powiększyć o 15 mm i wykonać w tolerancji wymiarowej  </w:t>
      </w:r>
      <w:r w:rsidRPr="007D03F5">
        <w:rPr>
          <w:rFonts w:asciiTheme="minorHAnsi" w:hAnsiTheme="minorHAnsi"/>
          <w:sz w:val="16"/>
          <w:szCs w:val="16"/>
        </w:rPr>
        <w:sym w:font="Arial" w:char="F0B1"/>
      </w:r>
      <w:r w:rsidRPr="007D03F5">
        <w:rPr>
          <w:rFonts w:asciiTheme="minorHAnsi" w:hAnsiTheme="minorHAnsi"/>
          <w:sz w:val="16"/>
          <w:szCs w:val="16"/>
        </w:rPr>
        <w:t xml:space="preserve"> 10 mm.</w:t>
      </w:r>
    </w:p>
    <w:p w14:paraId="3CBC212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2.6.3.5</w:t>
      </w:r>
      <w:r w:rsidRPr="007D03F5">
        <w:rPr>
          <w:rFonts w:asciiTheme="minorHAnsi" w:hAnsiTheme="minorHAnsi"/>
          <w:sz w:val="16"/>
          <w:szCs w:val="16"/>
        </w:rPr>
        <w:t xml:space="preserve"> Tolerancje wymiarowe dla lica znaku </w:t>
      </w:r>
    </w:p>
    <w:p w14:paraId="1851C66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Sprawdzone przymiarem liniowym:</w:t>
      </w:r>
    </w:p>
    <w:p w14:paraId="1435AF2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tolerancje wymiarowe rysunku lica  wykonanego drukiem sitowym wynoszą  </w:t>
      </w:r>
      <w:r w:rsidRPr="007D03F5">
        <w:rPr>
          <w:rFonts w:asciiTheme="minorHAnsi" w:hAnsiTheme="minorHAnsi"/>
          <w:sz w:val="16"/>
          <w:szCs w:val="16"/>
        </w:rPr>
        <w:sym w:font="Arial" w:char="F0B1"/>
      </w:r>
      <w:r w:rsidRPr="007D03F5">
        <w:rPr>
          <w:rFonts w:asciiTheme="minorHAnsi" w:hAnsiTheme="minorHAnsi"/>
          <w:sz w:val="16"/>
          <w:szCs w:val="16"/>
        </w:rPr>
        <w:t xml:space="preserve"> 1,5 mm,</w:t>
      </w:r>
    </w:p>
    <w:p w14:paraId="6A8CE1B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tolerancje wymiarowe rysunku lica wykonanego metodą wyklejania wynoszą  </w:t>
      </w:r>
      <w:r w:rsidRPr="007D03F5">
        <w:rPr>
          <w:rFonts w:asciiTheme="minorHAnsi" w:hAnsiTheme="minorHAnsi"/>
          <w:sz w:val="16"/>
          <w:szCs w:val="16"/>
        </w:rPr>
        <w:sym w:font="Arial" w:char="F0B1"/>
      </w:r>
      <w:r w:rsidRPr="007D03F5">
        <w:rPr>
          <w:rFonts w:asciiTheme="minorHAnsi" w:hAnsiTheme="minorHAnsi"/>
          <w:sz w:val="16"/>
          <w:szCs w:val="16"/>
        </w:rPr>
        <w:t xml:space="preserve"> 2 mm,</w:t>
      </w:r>
    </w:p>
    <w:p w14:paraId="39BC7AC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kontury rysunku znaku (obwódka i symbol) muszą być równe z dokładnością  w każdym  kierunku do 1,0 mm.</w:t>
      </w:r>
    </w:p>
    <w:p w14:paraId="0EBE245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 znakach nowych na każdym z fragmentów powierzchni znaku o wymiarach              4 x 4 cm nie może występować więcej niż 0,7 lokalnych usterek (załamania, pęcherzyki) o wymiarach nie większych niż 1 mm w każdym kierunku. Niedopuszczalne jest występowanie jakichkolwiek zarysowań powierzchni znaku.</w:t>
      </w:r>
    </w:p>
    <w:p w14:paraId="2F8407F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Na znakach w okresie gwarancji, na każdym z fragmentów powierzchni znaku o wymiarach 4 x 4 cm dopuszcza się do 2 usterek jak wyżej, o wymiarach nie większych niż 1 mm w każdym kierunku. Na powierzchni tej dopuszcza się do 3 zarysowań o szerokości nie większej niż 0,8 mm i całkowitej długości nie większej niż 10 cm. Na całkowitej długości znaku dopuszcza się nie więcej niż 5 rys szerokości nie większej niż 0,8 mm i długości przekraczającej 10 cm - pod warunkiem, że zarysowania te nie zniekształcają treści znaku.</w:t>
      </w:r>
    </w:p>
    <w:p w14:paraId="7732BF69"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Na znakach w okresie gwarancji dopuszcza się również lokalne uszkodzenie folii o powierzchni nie przekraczającej 6 mm2 każde - w liczbie nie większej niż pięć na powierzchni znaku małego lub średniego, oraz o powierzchni nie przekraczającej 8 mm2 każde - w liczbie nie większej niż 8 na każdym z fragmentów powierzchni znaku dużego lub wielkiego (włączając znaki informacyjne) o wymiarach 1200 × 1200 mm.</w:t>
      </w:r>
    </w:p>
    <w:p w14:paraId="70E604D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Uszkodzenia folii nie mogą zniekształcać treści znaku - w przypadku występowania takiego zniekształcenia znak musi być bezzwłocznie wymieniony.</w:t>
      </w:r>
    </w:p>
    <w:p w14:paraId="4353D8D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02B35168"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lastRenderedPageBreak/>
        <w:tab/>
        <w:t>W znakach eksploatowanych dopuszczalne jest występowanie co najwyżej dwóch lokalnych ognisk korozji o wymiarach nie przekraczających 2,0 mm w każdym kierunku na powierzchni każdego z fragmentów znaku o wymiarach 4 × 4 cm. W znakach nowych oraz w znakach znajdujących się w okresie wymaganej gwarancji żadna korozja tarczy znaku nie może występować.</w:t>
      </w:r>
    </w:p>
    <w:p w14:paraId="3446C25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Wymagana jest taka wytrzymałość połączenia folii odblaskowej z tarczą znaku, by po zgięciu tarczy o 90o przy promieniu łuku zgięcia do 10 mm w żadnym miejscu nie uległo ono zniszczeniu.</w:t>
      </w:r>
    </w:p>
    <w:p w14:paraId="19999ED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2.6.4</w:t>
      </w:r>
      <w:r w:rsidRPr="007D03F5">
        <w:rPr>
          <w:rFonts w:asciiTheme="minorHAnsi" w:hAnsiTheme="minorHAnsi"/>
          <w:sz w:val="16"/>
          <w:szCs w:val="16"/>
        </w:rPr>
        <w:t xml:space="preserve">   Obowiązujący system oceny zgodności</w:t>
      </w:r>
    </w:p>
    <w:p w14:paraId="356F1018"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Zgodnie z art. 4, art. 5 ust. 1 oraz art. 8, ust. 1 ustawy z dnia 16 kwietnia 2004 r. o wyrobach budowlanych [30]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14:paraId="00C943D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Zgodnie z rozporządzeniem Ministra Infrastruktury z dnia 11 sierpnia 2004 r. [26] oceny zgodności wyrobu z aprobatą techniczną dokonuje producent, stosując system 1. </w:t>
      </w:r>
    </w:p>
    <w:p w14:paraId="443C176C"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2.7. Materiały do montażu znaków</w:t>
      </w:r>
    </w:p>
    <w:p w14:paraId="505B6A4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Wszystkie łączniki metalowe przewidywane do mocowania między sobą elementów konstrukcji wsporczych znaków jak śruby, listwy, wkręty, nakrętki itp. powinny być czyste, gładkie, bez pęknięć, naderwań, rozwarstwień i wypukłych karbów.</w:t>
      </w:r>
    </w:p>
    <w:p w14:paraId="5E099F4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Łączniki mogą być dostarczane w pudełkach tekturowych, pojemnikach blaszanych lub paletach, w zależności od ich wielkości. Łączniki powinny być ocynkowane ogniowo lub wykonane z materiałów odpornych na korozję w czasie nie krótszym niż tarcza znaku i konstrukcja wsporcza.</w:t>
      </w:r>
    </w:p>
    <w:p w14:paraId="323147EE"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2.8. Przechowywanie i składowanie materiałów</w:t>
      </w:r>
    </w:p>
    <w:p w14:paraId="27A15213"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Prefabrykaty betonowe powinny być składowane na wyrównanym, utwardzonym i odwodnionym podłożu. Prefabrykaty należy układać na podkładach z zachowaniem prześwitu minimum 10 cm między podłożem a prefabrykatem.</w:t>
      </w:r>
    </w:p>
    <w:p w14:paraId="72D669D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Znaki powinny być przechowywane w pomieszczeniach suchych, z dala od materiałów działających korodująco i w warunkach zabezpieczających przed uszkodzeniami.</w:t>
      </w:r>
    </w:p>
    <w:p w14:paraId="26A7F74A" w14:textId="77777777" w:rsidR="00FC4BA0" w:rsidRPr="007D03F5" w:rsidRDefault="00FC4BA0" w:rsidP="00FC4BA0">
      <w:pPr>
        <w:pStyle w:val="Pro-Inwest"/>
        <w:jc w:val="both"/>
        <w:rPr>
          <w:rFonts w:asciiTheme="minorHAnsi" w:hAnsiTheme="minorHAnsi"/>
          <w:b/>
          <w:sz w:val="16"/>
          <w:szCs w:val="16"/>
        </w:rPr>
      </w:pPr>
    </w:p>
    <w:p w14:paraId="14C687C2"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3. SPRZĘT</w:t>
      </w:r>
    </w:p>
    <w:p w14:paraId="1F52E7F5"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3.1. Ogólne wymagania dotyczące sprzętu</w:t>
      </w:r>
    </w:p>
    <w:p w14:paraId="4A996A9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Ogólne wymagania dotyczące sprzętu podano w STWiORB-DM-00.00.00  „Wymagania ogólne” pkt 3.</w:t>
      </w:r>
    </w:p>
    <w:p w14:paraId="7A9BBCE2"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3.2. Sprzęt do wykonania oznakowania pionowego</w:t>
      </w:r>
    </w:p>
    <w:p w14:paraId="43AA1E9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Wykonawca przystępujący do wykonania oznakowania pionowego powinien wykazać się możliwością korzystania z następującego sprzętu:</w:t>
      </w:r>
    </w:p>
    <w:p w14:paraId="70655841" w14:textId="77777777" w:rsidR="00FC4BA0" w:rsidRPr="007D03F5" w:rsidRDefault="00FC4BA0" w:rsidP="00CF52A1">
      <w:pPr>
        <w:pStyle w:val="Pro-Inwest"/>
        <w:numPr>
          <w:ilvl w:val="0"/>
          <w:numId w:val="101"/>
        </w:numPr>
        <w:jc w:val="both"/>
        <w:rPr>
          <w:rFonts w:asciiTheme="minorHAnsi" w:hAnsiTheme="minorHAnsi"/>
          <w:sz w:val="16"/>
          <w:szCs w:val="16"/>
        </w:rPr>
      </w:pPr>
      <w:r w:rsidRPr="007D03F5">
        <w:rPr>
          <w:rFonts w:asciiTheme="minorHAnsi" w:hAnsiTheme="minorHAnsi"/>
          <w:sz w:val="16"/>
          <w:szCs w:val="16"/>
        </w:rPr>
        <w:t>koparek kołowych, np. 0,15 m3 lub koparek gąsienicowych, np. 0,25 m3,</w:t>
      </w:r>
    </w:p>
    <w:p w14:paraId="7AF7B30A" w14:textId="77777777" w:rsidR="00FC4BA0" w:rsidRPr="007D03F5" w:rsidRDefault="00FC4BA0" w:rsidP="00CF52A1">
      <w:pPr>
        <w:pStyle w:val="Pro-Inwest"/>
        <w:numPr>
          <w:ilvl w:val="0"/>
          <w:numId w:val="101"/>
        </w:numPr>
        <w:jc w:val="both"/>
        <w:rPr>
          <w:rFonts w:asciiTheme="minorHAnsi" w:hAnsiTheme="minorHAnsi"/>
          <w:sz w:val="16"/>
          <w:szCs w:val="16"/>
        </w:rPr>
      </w:pPr>
      <w:r w:rsidRPr="007D03F5">
        <w:rPr>
          <w:rFonts w:asciiTheme="minorHAnsi" w:hAnsiTheme="minorHAnsi"/>
          <w:sz w:val="16"/>
          <w:szCs w:val="16"/>
        </w:rPr>
        <w:t>żurawi samochodowych o udźwigu do 4 t,</w:t>
      </w:r>
    </w:p>
    <w:p w14:paraId="0B9C8989" w14:textId="77777777" w:rsidR="00FC4BA0" w:rsidRPr="007D03F5" w:rsidRDefault="00FC4BA0" w:rsidP="00CF52A1">
      <w:pPr>
        <w:pStyle w:val="Pro-Inwest"/>
        <w:numPr>
          <w:ilvl w:val="0"/>
          <w:numId w:val="101"/>
        </w:numPr>
        <w:jc w:val="both"/>
        <w:rPr>
          <w:rFonts w:asciiTheme="minorHAnsi" w:hAnsiTheme="minorHAnsi"/>
          <w:sz w:val="16"/>
          <w:szCs w:val="16"/>
        </w:rPr>
      </w:pPr>
      <w:r w:rsidRPr="007D03F5">
        <w:rPr>
          <w:rFonts w:asciiTheme="minorHAnsi" w:hAnsiTheme="minorHAnsi"/>
          <w:sz w:val="16"/>
          <w:szCs w:val="16"/>
        </w:rPr>
        <w:t>wiertnic do wykonywania dołów pod słupki w gruncie spoistym,</w:t>
      </w:r>
    </w:p>
    <w:p w14:paraId="0F550CD6" w14:textId="77777777" w:rsidR="00FC4BA0" w:rsidRPr="007D03F5" w:rsidRDefault="00FC4BA0" w:rsidP="00CF52A1">
      <w:pPr>
        <w:pStyle w:val="Pro-Inwest"/>
        <w:numPr>
          <w:ilvl w:val="0"/>
          <w:numId w:val="101"/>
        </w:numPr>
        <w:jc w:val="both"/>
        <w:rPr>
          <w:rFonts w:asciiTheme="minorHAnsi" w:hAnsiTheme="minorHAnsi"/>
          <w:sz w:val="16"/>
          <w:szCs w:val="16"/>
        </w:rPr>
      </w:pPr>
      <w:r w:rsidRPr="007D03F5">
        <w:rPr>
          <w:rFonts w:asciiTheme="minorHAnsi" w:hAnsiTheme="minorHAnsi"/>
          <w:sz w:val="16"/>
          <w:szCs w:val="16"/>
        </w:rPr>
        <w:t>betoniarek przewoźnych do wykonywania fundamentów betonowych „na mokro”,</w:t>
      </w:r>
    </w:p>
    <w:p w14:paraId="4CDA2CD5" w14:textId="77777777" w:rsidR="00FC4BA0" w:rsidRPr="007D03F5" w:rsidRDefault="00FC4BA0" w:rsidP="00CF52A1">
      <w:pPr>
        <w:pStyle w:val="Pro-Inwest"/>
        <w:numPr>
          <w:ilvl w:val="0"/>
          <w:numId w:val="101"/>
        </w:numPr>
        <w:jc w:val="both"/>
        <w:rPr>
          <w:rFonts w:asciiTheme="minorHAnsi" w:hAnsiTheme="minorHAnsi"/>
          <w:sz w:val="16"/>
          <w:szCs w:val="16"/>
        </w:rPr>
      </w:pPr>
      <w:r w:rsidRPr="007D03F5">
        <w:rPr>
          <w:rFonts w:asciiTheme="minorHAnsi" w:hAnsiTheme="minorHAnsi"/>
          <w:sz w:val="16"/>
          <w:szCs w:val="16"/>
        </w:rPr>
        <w:t>środków transportowych do przewozu materiałów,</w:t>
      </w:r>
    </w:p>
    <w:p w14:paraId="68F6BEF8" w14:textId="77777777" w:rsidR="00FC4BA0" w:rsidRPr="007D03F5" w:rsidRDefault="00FC4BA0" w:rsidP="00CF52A1">
      <w:pPr>
        <w:pStyle w:val="Pro-Inwest"/>
        <w:numPr>
          <w:ilvl w:val="0"/>
          <w:numId w:val="101"/>
        </w:numPr>
        <w:jc w:val="both"/>
        <w:rPr>
          <w:rFonts w:asciiTheme="minorHAnsi" w:hAnsiTheme="minorHAnsi"/>
          <w:sz w:val="16"/>
          <w:szCs w:val="16"/>
        </w:rPr>
      </w:pPr>
      <w:r w:rsidRPr="007D03F5">
        <w:rPr>
          <w:rFonts w:asciiTheme="minorHAnsi" w:hAnsiTheme="minorHAnsi"/>
          <w:sz w:val="16"/>
          <w:szCs w:val="16"/>
        </w:rPr>
        <w:t>przewoźnych zbiorników na wodę,</w:t>
      </w:r>
    </w:p>
    <w:p w14:paraId="5D0916E5" w14:textId="77777777" w:rsidR="00FC4BA0" w:rsidRPr="007D03F5" w:rsidRDefault="00FC4BA0" w:rsidP="00CF52A1">
      <w:pPr>
        <w:pStyle w:val="Pro-Inwest"/>
        <w:numPr>
          <w:ilvl w:val="0"/>
          <w:numId w:val="101"/>
        </w:numPr>
        <w:jc w:val="both"/>
        <w:rPr>
          <w:rFonts w:asciiTheme="minorHAnsi" w:hAnsiTheme="minorHAnsi"/>
          <w:sz w:val="16"/>
          <w:szCs w:val="16"/>
        </w:rPr>
      </w:pPr>
      <w:r w:rsidRPr="007D03F5">
        <w:rPr>
          <w:rFonts w:asciiTheme="minorHAnsi" w:hAnsiTheme="minorHAnsi"/>
          <w:sz w:val="16"/>
          <w:szCs w:val="16"/>
        </w:rPr>
        <w:t>sprzętu spawalniczego, itp.</w:t>
      </w:r>
    </w:p>
    <w:p w14:paraId="40C0311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Pierwsze dwie pozycje dotyczą wykonawcy znaków bramowych.</w:t>
      </w:r>
    </w:p>
    <w:p w14:paraId="28295B9D" w14:textId="77777777" w:rsidR="00FC4BA0" w:rsidRPr="007D03F5" w:rsidRDefault="00FC4BA0" w:rsidP="00FC4BA0">
      <w:pPr>
        <w:pStyle w:val="Pro-Inwest"/>
        <w:jc w:val="both"/>
        <w:rPr>
          <w:rFonts w:asciiTheme="minorHAnsi" w:hAnsiTheme="minorHAnsi"/>
          <w:b/>
          <w:sz w:val="16"/>
          <w:szCs w:val="16"/>
        </w:rPr>
      </w:pPr>
    </w:p>
    <w:p w14:paraId="55AC5858"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4. TRANSPORT</w:t>
      </w:r>
    </w:p>
    <w:p w14:paraId="4FC61EA8"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4.1. Ogólne wymagania dotyczące transportu</w:t>
      </w:r>
    </w:p>
    <w:p w14:paraId="7E92E214"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Ogólne wymagania dotyczące transportu podano w STWiORB-DM-00.00.00  „Wymagania ogólne” pkt 4.</w:t>
      </w:r>
    </w:p>
    <w:p w14:paraId="63F80B4E"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4.2. Transport znaków do pionowego oznakowania dróg</w:t>
      </w:r>
    </w:p>
    <w:p w14:paraId="3DD69AD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Znaki drogowe należy na okres transportu odpowiednio zabezpieczyć, tak aby nie ulegały przemieszczaniu i w sposób nie uszkodzony dotarły do odbiorcy.</w:t>
      </w:r>
    </w:p>
    <w:p w14:paraId="6CFFB67F" w14:textId="77777777" w:rsidR="00FC4BA0" w:rsidRPr="007D03F5" w:rsidRDefault="00FC4BA0" w:rsidP="00FC4BA0">
      <w:pPr>
        <w:pStyle w:val="Pro-Inwest"/>
        <w:jc w:val="both"/>
        <w:rPr>
          <w:rFonts w:asciiTheme="minorHAnsi" w:hAnsiTheme="minorHAnsi"/>
          <w:b/>
          <w:sz w:val="16"/>
          <w:szCs w:val="16"/>
        </w:rPr>
      </w:pPr>
    </w:p>
    <w:p w14:paraId="29091867"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5. WYMAGANIA OGÓLNE</w:t>
      </w:r>
    </w:p>
    <w:p w14:paraId="5CFA0168"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5.1. Ogólne zasady wykonywania robót</w:t>
      </w:r>
    </w:p>
    <w:p w14:paraId="7E14D263"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Ogólne zasady wykonywania robót podano w STWiORB-DM-00.00.00  „Wymagania ogólne” pkt 5.</w:t>
      </w:r>
    </w:p>
    <w:p w14:paraId="7FD81779"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5.2. Roboty przygotowawcze</w:t>
      </w:r>
    </w:p>
    <w:p w14:paraId="2009725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Przed przystąpieniem do robót należy wyznaczyć:</w:t>
      </w:r>
    </w:p>
    <w:p w14:paraId="25757244"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lokalizację znaku, tj. jego </w:t>
      </w:r>
      <w:proofErr w:type="spellStart"/>
      <w:r w:rsidRPr="007D03F5">
        <w:rPr>
          <w:rFonts w:asciiTheme="minorHAnsi" w:hAnsiTheme="minorHAnsi"/>
          <w:sz w:val="16"/>
          <w:szCs w:val="16"/>
        </w:rPr>
        <w:t>pikietaż</w:t>
      </w:r>
      <w:proofErr w:type="spellEnd"/>
      <w:r w:rsidRPr="007D03F5">
        <w:rPr>
          <w:rFonts w:asciiTheme="minorHAnsi" w:hAnsiTheme="minorHAnsi"/>
          <w:sz w:val="16"/>
          <w:szCs w:val="16"/>
        </w:rPr>
        <w:t xml:space="preserve"> oraz odległość od krawędzi jezdni, krawędzi pobocza umocnionego lub pasa awaryjnego postoju,</w:t>
      </w:r>
    </w:p>
    <w:p w14:paraId="25AD66A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wysokość zamocowania znaku na konstrukcji wsporczej.</w:t>
      </w:r>
    </w:p>
    <w:p w14:paraId="08490219"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Punkty stabilizujące miejsca ustawienia znaków należy zabezpieczyć w taki sposób, aby w czasie trwania i odbioru robót istniała możliwość sprawdzenia lokalizacji znaków.</w:t>
      </w:r>
    </w:p>
    <w:p w14:paraId="73E2273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Lokalizacja i wysokość zamocowania znaku powinny być zgodne z dokumentacją projektową.</w:t>
      </w:r>
    </w:p>
    <w:p w14:paraId="460824C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Miejsce wykonywania prac należy oznakować, w celu zabezpieczenia pracowników i kierujących pojazdami na drodze.</w:t>
      </w:r>
    </w:p>
    <w:p w14:paraId="4178BDFD"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5.3. Wykonanie wykopów i fundamentów dla konstrukcji wsporczych znaków</w:t>
      </w:r>
    </w:p>
    <w:p w14:paraId="501D73D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Sposób wykonania wykopu pod fundament znaku pionowego powinien być dostosowany do głębokości wykopu, rodzaju gruntu i posiadanego sprzętu. Wymiary wykopu powinny być zgodne z dokumentacją projektową lub wskazaniami Inżyniera.</w:t>
      </w:r>
    </w:p>
    <w:p w14:paraId="14F2E724"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Wykopy fundamentowe powinny być wykonane w takim okresie, aby po ich zakończeniu można było przystąpić natychmiast do wykonania w nich robót fundamentowych.</w:t>
      </w:r>
    </w:p>
    <w:p w14:paraId="4599FB3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5.3.1</w:t>
      </w:r>
      <w:r w:rsidRPr="007D03F5">
        <w:rPr>
          <w:rFonts w:asciiTheme="minorHAnsi" w:hAnsiTheme="minorHAnsi"/>
          <w:sz w:val="16"/>
          <w:szCs w:val="16"/>
        </w:rPr>
        <w:t>. Prefabrykaty betonowe</w:t>
      </w:r>
    </w:p>
    <w:p w14:paraId="3F481E9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lastRenderedPageBreak/>
        <w:tab/>
        <w:t>Dno wykopu przed ułożeniem prefabrykatu należy wyrównać i zagęścić. Wolne przestrzenie między ścianami gruntu i prefabrykatem należy wypełnić materiałem kamiennym, np. klińcem i dokładnie zagęścić ubijakami ręcznymi.</w:t>
      </w:r>
    </w:p>
    <w:p w14:paraId="4CCB438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Jeżeli znak jest zlokalizowany na poboczu drogi, to górna powierzchnia prefabrykatu powinna być równa z powierzchnią pobocza lub być wyniesiona nad tę powierzchnię nie więcej niż 0,03 m.</w:t>
      </w:r>
    </w:p>
    <w:p w14:paraId="2CE976D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5.3.2.</w:t>
      </w:r>
      <w:r w:rsidRPr="007D03F5">
        <w:rPr>
          <w:rFonts w:asciiTheme="minorHAnsi" w:hAnsiTheme="minorHAnsi"/>
          <w:sz w:val="16"/>
          <w:szCs w:val="16"/>
        </w:rPr>
        <w:t xml:space="preserve"> Fundamenty z betonu i betonu zbrojonego</w:t>
      </w:r>
    </w:p>
    <w:p w14:paraId="1381F5A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Wykopy pod fundamenty konstrukcji wsporczych dla zamocowania znaków wielkowymiarowych (znak kierunku i miejscowości), wykonywane z betonu „na mokro” lub z betonu zbrojonego należy wykonać zgodnie z PN-S-02205:1998 [24].</w:t>
      </w:r>
    </w:p>
    <w:p w14:paraId="7BBA84D9"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Posadowienie fundamentów w wykopach otwartych bądź rozpartych należy wykonywać zgodnie z dokumentacją projektową,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lub wskazaniami Inżyniera. Wykopy należy zabezpieczyć przed napływem wód opadowych przez wyprofilowanie terenu ze spadkiem umożliwiającym łatwy odpływ wody poza teren przylegający do wykopu. Dno wykopu powinno być wyrównane z dokładnością </w:t>
      </w:r>
      <w:r w:rsidRPr="007D03F5">
        <w:rPr>
          <w:rFonts w:asciiTheme="minorHAnsi" w:hAnsiTheme="minorHAnsi"/>
          <w:sz w:val="16"/>
          <w:szCs w:val="16"/>
        </w:rPr>
        <w:sym w:font="Arial" w:char="F0B1"/>
      </w:r>
      <w:r w:rsidRPr="007D03F5">
        <w:rPr>
          <w:rFonts w:asciiTheme="minorHAnsi" w:hAnsiTheme="minorHAnsi"/>
          <w:sz w:val="16"/>
          <w:szCs w:val="16"/>
        </w:rPr>
        <w:t xml:space="preserve"> 2 cm.</w:t>
      </w:r>
    </w:p>
    <w:p w14:paraId="3D876FF8"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20 cm z dokładnym zagęszczeniem gruntu.</w:t>
      </w:r>
    </w:p>
    <w:p w14:paraId="0FDF4FBE"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5.4. Tolerancje ustawienia znaku pionowego</w:t>
      </w:r>
    </w:p>
    <w:p w14:paraId="0502ECE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Konstrukcje wsporcze znaków - słupki, słupy, wysięgniki, konstrukcje dla tablic wielkowymiarowych, powinny być wykonane zgodnie z dokumentacją .</w:t>
      </w:r>
    </w:p>
    <w:p w14:paraId="5C478C0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Dopuszczalne tolerancje ustawienia znaku:</w:t>
      </w:r>
    </w:p>
    <w:p w14:paraId="3FD392C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odchyłka od pionu, nie więcej niż </w:t>
      </w:r>
      <w:r w:rsidRPr="007D03F5">
        <w:rPr>
          <w:rFonts w:asciiTheme="minorHAnsi" w:hAnsiTheme="minorHAnsi"/>
          <w:sz w:val="16"/>
          <w:szCs w:val="16"/>
        </w:rPr>
        <w:sym w:font="Arial" w:char="F0B1"/>
      </w:r>
      <w:r w:rsidRPr="007D03F5">
        <w:rPr>
          <w:rFonts w:asciiTheme="minorHAnsi" w:hAnsiTheme="minorHAnsi"/>
          <w:sz w:val="16"/>
          <w:szCs w:val="16"/>
        </w:rPr>
        <w:t xml:space="preserve"> 1 %,</w:t>
      </w:r>
    </w:p>
    <w:p w14:paraId="32B3AD6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odchyłka w wysokości umieszczenia znaku, nie więcej niż </w:t>
      </w:r>
      <w:r w:rsidRPr="007D03F5">
        <w:rPr>
          <w:rFonts w:asciiTheme="minorHAnsi" w:hAnsiTheme="minorHAnsi"/>
          <w:sz w:val="16"/>
          <w:szCs w:val="16"/>
        </w:rPr>
        <w:sym w:font="Arial" w:char="F0B1"/>
      </w:r>
      <w:r w:rsidRPr="007D03F5">
        <w:rPr>
          <w:rFonts w:asciiTheme="minorHAnsi" w:hAnsiTheme="minorHAnsi"/>
          <w:sz w:val="16"/>
          <w:szCs w:val="16"/>
        </w:rPr>
        <w:t xml:space="preserve"> 2 cm,</w:t>
      </w:r>
    </w:p>
    <w:p w14:paraId="320FDD4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odchyłka w odległości ustawienia znaku od krawędzi jezdni utwardzonego pobocza  nie więcej niż </w:t>
      </w:r>
      <w:r w:rsidRPr="007D03F5">
        <w:rPr>
          <w:rFonts w:asciiTheme="minorHAnsi" w:hAnsiTheme="minorHAnsi"/>
          <w:sz w:val="16"/>
          <w:szCs w:val="16"/>
        </w:rPr>
        <w:sym w:font="Arial" w:char="F0B1"/>
      </w:r>
      <w:r w:rsidRPr="007D03F5">
        <w:rPr>
          <w:rFonts w:asciiTheme="minorHAnsi" w:hAnsiTheme="minorHAnsi"/>
          <w:sz w:val="16"/>
          <w:szCs w:val="16"/>
        </w:rPr>
        <w:t xml:space="preserve"> 5 cm,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[25].</w:t>
      </w:r>
    </w:p>
    <w:p w14:paraId="25A7A6C2"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5.5. Konstrukcje wsporcze</w:t>
      </w:r>
    </w:p>
    <w:p w14:paraId="2BB5376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5.5.1.</w:t>
      </w:r>
      <w:r w:rsidRPr="007D03F5">
        <w:rPr>
          <w:rFonts w:asciiTheme="minorHAnsi" w:hAnsiTheme="minorHAnsi"/>
          <w:sz w:val="16"/>
          <w:szCs w:val="16"/>
        </w:rPr>
        <w:t xml:space="preserve"> Zabezpieczenie konstrukcji wsporczej przed najechaniem</w:t>
      </w:r>
    </w:p>
    <w:p w14:paraId="621AEC24"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Konstrukcje wsporcze znaków drogowych bramowych lub wysięgnikowych jedno lub dwustronnych, jak również konstrukcje wsporcze znaków tablicowych bocznych o powierzchni większej od 4,5 m2, gdy występuje możliwość bezpośredniego najechania na nie przez pojazd - muszą być zabezpieczone odpowiednio umieszczonymi barierami ochronnymi lub innego rodzaju urządzeniami ochronnymi lub </w:t>
      </w:r>
      <w:proofErr w:type="spellStart"/>
      <w:r w:rsidRPr="007D03F5">
        <w:rPr>
          <w:rFonts w:asciiTheme="minorHAnsi" w:hAnsiTheme="minorHAnsi"/>
          <w:sz w:val="16"/>
          <w:szCs w:val="16"/>
        </w:rPr>
        <w:t>przeciwdestrukcyjnymi</w:t>
      </w:r>
      <w:proofErr w:type="spellEnd"/>
      <w:r w:rsidRPr="007D03F5">
        <w:rPr>
          <w:rFonts w:asciiTheme="minorHAnsi" w:hAnsiTheme="minorHAnsi"/>
          <w:sz w:val="16"/>
          <w:szCs w:val="16"/>
        </w:rPr>
        <w:t xml:space="preserve">, zgodnie z dokumentacją projektową,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lub Inżynier.</w:t>
      </w:r>
    </w:p>
    <w:p w14:paraId="3DE201B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5.5.2.</w:t>
      </w:r>
      <w:r w:rsidRPr="007D03F5">
        <w:rPr>
          <w:rFonts w:asciiTheme="minorHAnsi" w:hAnsiTheme="minorHAnsi"/>
          <w:sz w:val="16"/>
          <w:szCs w:val="16"/>
        </w:rPr>
        <w:t xml:space="preserve"> Łatwo </w:t>
      </w:r>
      <w:proofErr w:type="spellStart"/>
      <w:r w:rsidRPr="007D03F5">
        <w:rPr>
          <w:rFonts w:asciiTheme="minorHAnsi" w:hAnsiTheme="minorHAnsi"/>
          <w:sz w:val="16"/>
          <w:szCs w:val="16"/>
        </w:rPr>
        <w:t>zrywalne</w:t>
      </w:r>
      <w:proofErr w:type="spellEnd"/>
      <w:r w:rsidRPr="007D03F5">
        <w:rPr>
          <w:rFonts w:asciiTheme="minorHAnsi" w:hAnsiTheme="minorHAnsi"/>
          <w:sz w:val="16"/>
          <w:szCs w:val="16"/>
        </w:rPr>
        <w:t xml:space="preserve"> złącza konstrukcji wsporczej</w:t>
      </w:r>
    </w:p>
    <w:p w14:paraId="22696F4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W przypadku konstrukcji wsporczych, nie osłoniętych barierami ochronnymi - zaleca się stosowanie łatwo </w:t>
      </w:r>
      <w:proofErr w:type="spellStart"/>
      <w:r w:rsidRPr="007D03F5">
        <w:rPr>
          <w:rFonts w:asciiTheme="minorHAnsi" w:hAnsiTheme="minorHAnsi"/>
          <w:sz w:val="16"/>
          <w:szCs w:val="16"/>
        </w:rPr>
        <w:t>zrywalnych</w:t>
      </w:r>
      <w:proofErr w:type="spellEnd"/>
      <w:r w:rsidRPr="007D03F5">
        <w:rPr>
          <w:rFonts w:asciiTheme="minorHAnsi" w:hAnsiTheme="minorHAnsi"/>
          <w:sz w:val="16"/>
          <w:szCs w:val="16"/>
        </w:rPr>
        <w:t xml:space="preserve"> lub łatwo rozłączalnych przekrojów, złączy lub przegubów o odpowiednio bezpiecznej konstrukcji, umieszczonych na wysokości od 0,15 do 0,20 m nad powierzchnią terenu.</w:t>
      </w:r>
    </w:p>
    <w:p w14:paraId="41DEB27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14:paraId="17703CA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Łatwo </w:t>
      </w:r>
      <w:proofErr w:type="spellStart"/>
      <w:r w:rsidRPr="007D03F5">
        <w:rPr>
          <w:rFonts w:asciiTheme="minorHAnsi" w:hAnsiTheme="minorHAnsi"/>
          <w:sz w:val="16"/>
          <w:szCs w:val="16"/>
        </w:rPr>
        <w:t>zrywalne</w:t>
      </w:r>
      <w:proofErr w:type="spellEnd"/>
      <w:r w:rsidRPr="007D03F5">
        <w:rPr>
          <w:rFonts w:asciiTheme="minorHAnsi" w:hAnsiTheme="minorHAnsi"/>
          <w:sz w:val="16"/>
          <w:szCs w:val="16"/>
        </w:rPr>
        <w:t xml:space="preserv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0,25 m.</w:t>
      </w:r>
    </w:p>
    <w:p w14:paraId="47D3442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5.5.3.</w:t>
      </w:r>
      <w:r w:rsidRPr="007D03F5">
        <w:rPr>
          <w:rFonts w:asciiTheme="minorHAnsi" w:hAnsiTheme="minorHAnsi"/>
          <w:sz w:val="16"/>
          <w:szCs w:val="16"/>
        </w:rPr>
        <w:t xml:space="preserve">  Zapobieganie   zagrożeniu   użytkowników   drogi   i   terenu   przyległego   -   przez konstrukcję wsporczą</w:t>
      </w:r>
    </w:p>
    <w:p w14:paraId="0EE99D0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14:paraId="333AC74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5.5.4.</w:t>
      </w:r>
      <w:r w:rsidRPr="007D03F5">
        <w:rPr>
          <w:rFonts w:asciiTheme="minorHAnsi" w:hAnsiTheme="minorHAnsi"/>
          <w:sz w:val="16"/>
          <w:szCs w:val="16"/>
        </w:rPr>
        <w:t xml:space="preserve"> Tablicowe znaki drogowe na dwóch słupach lub podporach</w:t>
      </w:r>
    </w:p>
    <w:p w14:paraId="70FABFA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Przy stosowaniu tablicowych znaków drogowych (drogowskazów tablicowych, tablic </w:t>
      </w:r>
      <w:proofErr w:type="spellStart"/>
      <w:r w:rsidRPr="007D03F5">
        <w:rPr>
          <w:rFonts w:asciiTheme="minorHAnsi" w:hAnsiTheme="minorHAnsi"/>
          <w:sz w:val="16"/>
          <w:szCs w:val="16"/>
        </w:rPr>
        <w:t>przeddrogowskazowych</w:t>
      </w:r>
      <w:proofErr w:type="spellEnd"/>
      <w:r w:rsidRPr="007D03F5">
        <w:rPr>
          <w:rFonts w:asciiTheme="minorHAnsi" w:hAnsiTheme="minorHAnsi"/>
          <w:sz w:val="16"/>
          <w:szCs w:val="16"/>
        </w:rPr>
        <w:t>, tablic szlaku drogowego, tablic objazdów itp.) umieszczanych na dwóch słupach lub podporach - odległość między tymi słupami lub podporami, mierzona prostopadle do przewidywanego kierunku najechania przez pojazd, nie może być mniejsza od 1,75 m. Przy stosowaniu większej liczby słupów niż dwa - odległość między nimi może być mniejsza.</w:t>
      </w:r>
    </w:p>
    <w:p w14:paraId="5E9889D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5.5.5.</w:t>
      </w:r>
      <w:r w:rsidRPr="007D03F5">
        <w:rPr>
          <w:rFonts w:asciiTheme="minorHAnsi" w:hAnsiTheme="minorHAnsi"/>
          <w:sz w:val="16"/>
          <w:szCs w:val="16"/>
        </w:rPr>
        <w:t xml:space="preserve"> Poziom górnej powierzchni fundamentu</w:t>
      </w:r>
    </w:p>
    <w:p w14:paraId="1CEC10D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Przy zamocowaniu konstrukcji wsporczej znaku w fundamencie betonowym lub innym podobnym - pożądane jest, by górna część fundamentu pokrywała się z powierzchnią pobocza, pasa dzielącego itp. lub była nad tę powierzchnię wyniesiona nie więcej niż  0,03 m. W przypadku konstrukcji wsporczych, znajdujących się poza koroną drogi, górna część fundamentu powinna być wyniesiona nad powierzchnię terenu nie więcej niż 0,15 m.</w:t>
      </w:r>
    </w:p>
    <w:p w14:paraId="274EA98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5.5.6.</w:t>
      </w:r>
      <w:r w:rsidRPr="007D03F5">
        <w:rPr>
          <w:rFonts w:asciiTheme="minorHAnsi" w:hAnsiTheme="minorHAnsi"/>
          <w:sz w:val="16"/>
          <w:szCs w:val="16"/>
        </w:rPr>
        <w:t xml:space="preserve"> Barwa konstrukcji wsporczej</w:t>
      </w:r>
    </w:p>
    <w:p w14:paraId="0FCA53F9"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60042636"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5.6. Połączenie tarczy znaku z konstrukcją wsporczą</w:t>
      </w:r>
    </w:p>
    <w:p w14:paraId="1A3ACCA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Tarcza znaku musi być zamocowana do konstrukcji wsporczej w sposób uniemożliwiający jej przesunięcie lub obrót.</w:t>
      </w:r>
    </w:p>
    <w:p w14:paraId="5CC9A66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lastRenderedPageBreak/>
        <w:tab/>
        <w:t>Materiał i sposób wykonania połączenia tarczy znaku z konstrukcją wsporczą musi umożliwiać, przy użyciu odpowiednich narzędzi, odłączenie tarczy znaku od tej konstrukcji przez cały okres użytkowania znaku.</w:t>
      </w:r>
    </w:p>
    <w:p w14:paraId="3F020D7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Na drogach i obszarach, na których występują częste przypadki dewastacji znaków, zaleca się stosowanie elementów złącznych o konstrukcji uniemożliwiającej lub znacznie utrudniającej ich rozłączenie przez osoby niepowołane.</w:t>
      </w:r>
    </w:p>
    <w:p w14:paraId="4CCC849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Nie dopuszcza się zamocowania znaku do konstrukcji wsporczej w sposób wymagający bezpośredniego przeprowadzenia śrub mocujących przez lico znaku.</w:t>
      </w:r>
    </w:p>
    <w:p w14:paraId="5D06C129"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5.7. Oznakowanie znaku</w:t>
      </w:r>
    </w:p>
    <w:p w14:paraId="672D1FD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Każdy wykonany znak drogowy musi mieć naklejoną na rewersie naklejkę zawierającą następujące informacje:</w:t>
      </w:r>
    </w:p>
    <w:p w14:paraId="492BE5D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numer i datę normy tj. PN-EN 12899-1:2005 [16],</w:t>
      </w:r>
    </w:p>
    <w:p w14:paraId="341DDF79"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klasy istotnych właściwości wyrobu,</w:t>
      </w:r>
    </w:p>
    <w:p w14:paraId="7912E16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miesiąc i dwie ostatnie cyfry roku produkcji</w:t>
      </w:r>
    </w:p>
    <w:p w14:paraId="645EDC7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nazwę, znak handlowy i inne oznaczenia identyfikujące producenta lub dostawcę jeśli nie jest producentem,</w:t>
      </w:r>
    </w:p>
    <w:p w14:paraId="263D120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znak budowlany „B”,</w:t>
      </w:r>
    </w:p>
    <w:p w14:paraId="0FEA85D8"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numer aprobaty technicznej </w:t>
      </w:r>
      <w:proofErr w:type="spellStart"/>
      <w:r w:rsidRPr="007D03F5">
        <w:rPr>
          <w:rFonts w:asciiTheme="minorHAnsi" w:hAnsiTheme="minorHAnsi"/>
          <w:sz w:val="16"/>
          <w:szCs w:val="16"/>
        </w:rPr>
        <w:t>IBDiM</w:t>
      </w:r>
      <w:proofErr w:type="spellEnd"/>
      <w:r w:rsidRPr="007D03F5">
        <w:rPr>
          <w:rFonts w:asciiTheme="minorHAnsi" w:hAnsiTheme="minorHAnsi"/>
          <w:sz w:val="16"/>
          <w:szCs w:val="16"/>
        </w:rPr>
        <w:t>,</w:t>
      </w:r>
    </w:p>
    <w:p w14:paraId="331D726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numer certyfikatu zgodności i numer jednostki certyfikującej.</w:t>
      </w:r>
    </w:p>
    <w:p w14:paraId="0BB9D4F3"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Oznakowania powinny być wykonane w sposób trwały i wyraźny, czytelny z normalnej odległości widzenia, a całkowita powierzchnia naklejki nie była większa niż 30 cm2 . Czytelność i trwałość cechy na tylnej stronie tarczy znaku nie powinna być niższa od wymaganej trwałości znaku. Naklejkę należy wykonać z folii </w:t>
      </w:r>
      <w:proofErr w:type="spellStart"/>
      <w:r w:rsidRPr="007D03F5">
        <w:rPr>
          <w:rFonts w:asciiTheme="minorHAnsi" w:hAnsiTheme="minorHAnsi"/>
          <w:sz w:val="16"/>
          <w:szCs w:val="16"/>
        </w:rPr>
        <w:t>nieodblaskowej</w:t>
      </w:r>
      <w:proofErr w:type="spellEnd"/>
      <w:r w:rsidRPr="007D03F5">
        <w:rPr>
          <w:rFonts w:asciiTheme="minorHAnsi" w:hAnsiTheme="minorHAnsi"/>
          <w:sz w:val="16"/>
          <w:szCs w:val="16"/>
        </w:rPr>
        <w:t>.</w:t>
      </w:r>
    </w:p>
    <w:p w14:paraId="732B1C5B" w14:textId="77777777" w:rsidR="00FC4BA0" w:rsidRPr="007D03F5" w:rsidRDefault="00FC4BA0" w:rsidP="00FC4BA0">
      <w:pPr>
        <w:pStyle w:val="Pro-Inwest"/>
        <w:jc w:val="both"/>
        <w:rPr>
          <w:rFonts w:asciiTheme="minorHAnsi" w:hAnsiTheme="minorHAnsi"/>
          <w:b/>
          <w:sz w:val="16"/>
          <w:szCs w:val="16"/>
        </w:rPr>
      </w:pPr>
    </w:p>
    <w:p w14:paraId="57EBC418"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6. KONTROLA JAKOŚCI ROBÓT</w:t>
      </w:r>
    </w:p>
    <w:p w14:paraId="0ACEC26F"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6.1. Ogólne zasady kontroli jakości robót</w:t>
      </w:r>
    </w:p>
    <w:p w14:paraId="3905DD83"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Ogólne zasady kontroli jakości robót podano w  STWiORB-DM-00.00.00 „Wymagania ogólne” pkt 6.</w:t>
      </w:r>
    </w:p>
    <w:p w14:paraId="310FC57B"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6.2. Badania materiałów do wykonania fundamentów betonowych</w:t>
      </w:r>
    </w:p>
    <w:p w14:paraId="4517BFD2"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3B26C7B6"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6.3. Badania w czasie wykonywania robót</w:t>
      </w:r>
    </w:p>
    <w:p w14:paraId="59C8649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6.3.1.</w:t>
      </w:r>
      <w:r w:rsidRPr="007D03F5">
        <w:rPr>
          <w:rFonts w:asciiTheme="minorHAnsi" w:hAnsiTheme="minorHAnsi"/>
          <w:sz w:val="16"/>
          <w:szCs w:val="16"/>
        </w:rPr>
        <w:t xml:space="preserve"> Badania materiałów w czasie wykonywania robót</w:t>
      </w:r>
    </w:p>
    <w:p w14:paraId="77C7B5AA"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Wszystkie materiały dostarczone na budowę powinny być sprawdzone w zakresie powierzchni wyrobu i jego wymiarów.</w:t>
      </w:r>
    </w:p>
    <w:p w14:paraId="43913F88"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Częstotliwość badań i ocena ich wyników powinna być zgodna z ustaleniami zawartymi w tablicy 7.</w:t>
      </w:r>
    </w:p>
    <w:p w14:paraId="363F192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Tablica 7. Częstotliwość badań przy sprawdzeniu powierzchni i wymiarów wyrobów dostarczonych przez producentów</w:t>
      </w:r>
    </w:p>
    <w:tbl>
      <w:tblPr>
        <w:tblW w:w="0" w:type="auto"/>
        <w:tblInd w:w="3" w:type="dxa"/>
        <w:tblLayout w:type="fixed"/>
        <w:tblCellMar>
          <w:left w:w="70" w:type="dxa"/>
          <w:right w:w="70" w:type="dxa"/>
        </w:tblCellMar>
        <w:tblLook w:val="04A0" w:firstRow="1" w:lastRow="0" w:firstColumn="1" w:lastColumn="0" w:noHBand="0" w:noVBand="1"/>
      </w:tblPr>
      <w:tblGrid>
        <w:gridCol w:w="424"/>
        <w:gridCol w:w="1411"/>
        <w:gridCol w:w="1518"/>
        <w:gridCol w:w="2735"/>
        <w:gridCol w:w="1567"/>
      </w:tblGrid>
      <w:tr w:rsidR="007D03F5" w:rsidRPr="007D03F5" w14:paraId="79C821E4" w14:textId="77777777" w:rsidTr="00475945">
        <w:tc>
          <w:tcPr>
            <w:tcW w:w="424" w:type="dxa"/>
            <w:tcBorders>
              <w:top w:val="single" w:sz="4" w:space="0" w:color="000000"/>
              <w:left w:val="single" w:sz="4" w:space="0" w:color="000000"/>
              <w:bottom w:val="double" w:sz="2" w:space="0" w:color="000000"/>
              <w:right w:val="nil"/>
            </w:tcBorders>
            <w:hideMark/>
          </w:tcPr>
          <w:p w14:paraId="2DB4B15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Lp.</w:t>
            </w:r>
          </w:p>
        </w:tc>
        <w:tc>
          <w:tcPr>
            <w:tcW w:w="1411" w:type="dxa"/>
            <w:tcBorders>
              <w:top w:val="single" w:sz="4" w:space="0" w:color="000000"/>
              <w:left w:val="single" w:sz="4" w:space="0" w:color="000000"/>
              <w:bottom w:val="double" w:sz="2" w:space="0" w:color="000000"/>
              <w:right w:val="nil"/>
            </w:tcBorders>
            <w:hideMark/>
          </w:tcPr>
          <w:p w14:paraId="0804AEC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Rodzaj badania</w:t>
            </w:r>
          </w:p>
        </w:tc>
        <w:tc>
          <w:tcPr>
            <w:tcW w:w="1518" w:type="dxa"/>
            <w:tcBorders>
              <w:top w:val="single" w:sz="4" w:space="0" w:color="000000"/>
              <w:left w:val="single" w:sz="4" w:space="0" w:color="000000"/>
              <w:bottom w:val="double" w:sz="2" w:space="0" w:color="000000"/>
              <w:right w:val="nil"/>
            </w:tcBorders>
            <w:hideMark/>
          </w:tcPr>
          <w:p w14:paraId="36B1BD0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Liczba badań</w:t>
            </w:r>
          </w:p>
        </w:tc>
        <w:tc>
          <w:tcPr>
            <w:tcW w:w="2735" w:type="dxa"/>
            <w:tcBorders>
              <w:top w:val="single" w:sz="4" w:space="0" w:color="000000"/>
              <w:left w:val="single" w:sz="4" w:space="0" w:color="000000"/>
              <w:bottom w:val="double" w:sz="2" w:space="0" w:color="000000"/>
              <w:right w:val="nil"/>
            </w:tcBorders>
            <w:hideMark/>
          </w:tcPr>
          <w:p w14:paraId="5BAE240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Opis badań</w:t>
            </w:r>
          </w:p>
        </w:tc>
        <w:tc>
          <w:tcPr>
            <w:tcW w:w="1567" w:type="dxa"/>
            <w:tcBorders>
              <w:top w:val="single" w:sz="4" w:space="0" w:color="000000"/>
              <w:left w:val="single" w:sz="4" w:space="0" w:color="000000"/>
              <w:bottom w:val="double" w:sz="2" w:space="0" w:color="000000"/>
              <w:right w:val="single" w:sz="4" w:space="0" w:color="000000"/>
            </w:tcBorders>
            <w:hideMark/>
          </w:tcPr>
          <w:p w14:paraId="42A973B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Ocena wyników badań</w:t>
            </w:r>
          </w:p>
        </w:tc>
      </w:tr>
      <w:tr w:rsidR="007D03F5" w:rsidRPr="007D03F5" w14:paraId="41509AF5" w14:textId="77777777" w:rsidTr="00475945">
        <w:trPr>
          <w:cantSplit/>
        </w:trPr>
        <w:tc>
          <w:tcPr>
            <w:tcW w:w="424" w:type="dxa"/>
            <w:tcBorders>
              <w:top w:val="double" w:sz="2" w:space="0" w:color="000000"/>
              <w:left w:val="single" w:sz="4" w:space="0" w:color="000000"/>
              <w:bottom w:val="single" w:sz="4" w:space="0" w:color="000000"/>
              <w:right w:val="nil"/>
            </w:tcBorders>
            <w:hideMark/>
          </w:tcPr>
          <w:p w14:paraId="0DC92AC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w:t>
            </w:r>
          </w:p>
        </w:tc>
        <w:tc>
          <w:tcPr>
            <w:tcW w:w="1411" w:type="dxa"/>
            <w:tcBorders>
              <w:top w:val="double" w:sz="2" w:space="0" w:color="000000"/>
              <w:left w:val="single" w:sz="4" w:space="0" w:color="000000"/>
              <w:bottom w:val="single" w:sz="4" w:space="0" w:color="000000"/>
              <w:right w:val="nil"/>
            </w:tcBorders>
            <w:hideMark/>
          </w:tcPr>
          <w:p w14:paraId="797BE7C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Sprawdzenie powierzchni</w:t>
            </w:r>
          </w:p>
        </w:tc>
        <w:tc>
          <w:tcPr>
            <w:tcW w:w="1518" w:type="dxa"/>
            <w:vMerge w:val="restart"/>
            <w:tcBorders>
              <w:top w:val="double" w:sz="2" w:space="0" w:color="000000"/>
              <w:left w:val="single" w:sz="4" w:space="0" w:color="000000"/>
              <w:bottom w:val="single" w:sz="4" w:space="0" w:color="000000"/>
              <w:right w:val="nil"/>
            </w:tcBorders>
            <w:hideMark/>
          </w:tcPr>
          <w:p w14:paraId="2178311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od 5 do 10 badań z </w:t>
            </w:r>
            <w:proofErr w:type="spellStart"/>
            <w:r w:rsidRPr="007D03F5">
              <w:rPr>
                <w:rFonts w:asciiTheme="minorHAnsi" w:hAnsiTheme="minorHAnsi"/>
                <w:sz w:val="16"/>
                <w:szCs w:val="16"/>
              </w:rPr>
              <w:t>wybra</w:t>
            </w:r>
            <w:proofErr w:type="spellEnd"/>
            <w:r w:rsidRPr="007D03F5">
              <w:rPr>
                <w:rFonts w:asciiTheme="minorHAnsi" w:hAnsiTheme="minorHAnsi"/>
                <w:sz w:val="16"/>
                <w:szCs w:val="16"/>
              </w:rPr>
              <w:t xml:space="preserve">-  </w:t>
            </w:r>
            <w:proofErr w:type="spellStart"/>
            <w:r w:rsidRPr="007D03F5">
              <w:rPr>
                <w:rFonts w:asciiTheme="minorHAnsi" w:hAnsiTheme="minorHAnsi"/>
                <w:sz w:val="16"/>
                <w:szCs w:val="16"/>
              </w:rPr>
              <w:t>nych</w:t>
            </w:r>
            <w:proofErr w:type="spellEnd"/>
            <w:r w:rsidRPr="007D03F5">
              <w:rPr>
                <w:rFonts w:asciiTheme="minorHAnsi" w:hAnsiTheme="minorHAnsi"/>
                <w:sz w:val="16"/>
                <w:szCs w:val="16"/>
              </w:rPr>
              <w:t xml:space="preserve"> losowo elementów w każdej </w:t>
            </w:r>
            <w:proofErr w:type="spellStart"/>
            <w:r w:rsidRPr="007D03F5">
              <w:rPr>
                <w:rFonts w:asciiTheme="minorHAnsi" w:hAnsiTheme="minorHAnsi"/>
                <w:sz w:val="16"/>
                <w:szCs w:val="16"/>
              </w:rPr>
              <w:t>dostar</w:t>
            </w:r>
            <w:proofErr w:type="spellEnd"/>
            <w:r w:rsidRPr="007D03F5">
              <w:rPr>
                <w:rFonts w:asciiTheme="minorHAnsi" w:hAnsiTheme="minorHAnsi"/>
                <w:sz w:val="16"/>
                <w:szCs w:val="16"/>
              </w:rPr>
              <w:t xml:space="preserve">-  </w:t>
            </w:r>
            <w:proofErr w:type="spellStart"/>
            <w:r w:rsidRPr="007D03F5">
              <w:rPr>
                <w:rFonts w:asciiTheme="minorHAnsi" w:hAnsiTheme="minorHAnsi"/>
                <w:sz w:val="16"/>
                <w:szCs w:val="16"/>
              </w:rPr>
              <w:t>czonej</w:t>
            </w:r>
            <w:proofErr w:type="spellEnd"/>
            <w:r w:rsidRPr="007D03F5">
              <w:rPr>
                <w:rFonts w:asciiTheme="minorHAnsi" w:hAnsiTheme="minorHAnsi"/>
                <w:sz w:val="16"/>
                <w:szCs w:val="16"/>
              </w:rPr>
              <w:t xml:space="preserve"> partii wyrobów liczą-</w:t>
            </w:r>
            <w:proofErr w:type="spellStart"/>
            <w:r w:rsidRPr="007D03F5">
              <w:rPr>
                <w:rFonts w:asciiTheme="minorHAnsi" w:hAnsiTheme="minorHAnsi"/>
                <w:sz w:val="16"/>
                <w:szCs w:val="16"/>
              </w:rPr>
              <w:t>cej</w:t>
            </w:r>
            <w:proofErr w:type="spellEnd"/>
            <w:r w:rsidRPr="007D03F5">
              <w:rPr>
                <w:rFonts w:asciiTheme="minorHAnsi" w:hAnsiTheme="minorHAnsi"/>
                <w:sz w:val="16"/>
                <w:szCs w:val="16"/>
              </w:rPr>
              <w:t xml:space="preserve"> do 1000 elementów</w:t>
            </w:r>
          </w:p>
        </w:tc>
        <w:tc>
          <w:tcPr>
            <w:tcW w:w="2735" w:type="dxa"/>
            <w:tcBorders>
              <w:top w:val="double" w:sz="2" w:space="0" w:color="000000"/>
              <w:left w:val="single" w:sz="4" w:space="0" w:color="000000"/>
              <w:bottom w:val="single" w:sz="4" w:space="0" w:color="000000"/>
              <w:right w:val="nil"/>
            </w:tcBorders>
            <w:hideMark/>
          </w:tcPr>
          <w:p w14:paraId="1B00DB6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Powierzchnię zbadać nieuzbrojonym okiem. Do ew. sprawdzenia głębokości wad użyć dostępnych narzędzi (np. liniałów z czujnikiem, suwmiarek, mikrometrów itp.</w:t>
            </w:r>
          </w:p>
        </w:tc>
        <w:tc>
          <w:tcPr>
            <w:tcW w:w="1567" w:type="dxa"/>
            <w:vMerge w:val="restart"/>
            <w:tcBorders>
              <w:top w:val="double" w:sz="2" w:space="0" w:color="000000"/>
              <w:left w:val="single" w:sz="4" w:space="0" w:color="000000"/>
              <w:bottom w:val="single" w:sz="4" w:space="0" w:color="000000"/>
              <w:right w:val="single" w:sz="4" w:space="0" w:color="000000"/>
            </w:tcBorders>
          </w:tcPr>
          <w:p w14:paraId="0AEE15A0" w14:textId="77777777" w:rsidR="00FC4BA0" w:rsidRPr="007D03F5" w:rsidRDefault="00FC4BA0" w:rsidP="00475945">
            <w:pPr>
              <w:pStyle w:val="Pro-Inwest"/>
              <w:jc w:val="both"/>
              <w:rPr>
                <w:rFonts w:asciiTheme="minorHAnsi" w:hAnsiTheme="minorHAnsi"/>
                <w:sz w:val="16"/>
                <w:szCs w:val="16"/>
              </w:rPr>
            </w:pPr>
          </w:p>
          <w:p w14:paraId="6AC063BA" w14:textId="77777777" w:rsidR="00FC4BA0" w:rsidRPr="007D03F5" w:rsidRDefault="00FC4BA0" w:rsidP="00475945">
            <w:pPr>
              <w:pStyle w:val="Pro-Inwest"/>
              <w:jc w:val="both"/>
              <w:rPr>
                <w:rFonts w:asciiTheme="minorHAnsi" w:hAnsiTheme="minorHAnsi"/>
                <w:sz w:val="16"/>
                <w:szCs w:val="16"/>
              </w:rPr>
            </w:pPr>
          </w:p>
          <w:p w14:paraId="71BED72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Wyniki badań powinny być zgodne z wymaganiami punktu 2</w:t>
            </w:r>
          </w:p>
        </w:tc>
      </w:tr>
      <w:tr w:rsidR="00181ACA" w:rsidRPr="007D03F5" w14:paraId="5975D8B2" w14:textId="77777777" w:rsidTr="00475945">
        <w:trPr>
          <w:cantSplit/>
        </w:trPr>
        <w:tc>
          <w:tcPr>
            <w:tcW w:w="424" w:type="dxa"/>
            <w:tcBorders>
              <w:top w:val="single" w:sz="4" w:space="0" w:color="000000"/>
              <w:left w:val="single" w:sz="4" w:space="0" w:color="000000"/>
              <w:bottom w:val="single" w:sz="4" w:space="0" w:color="000000"/>
              <w:right w:val="nil"/>
            </w:tcBorders>
          </w:tcPr>
          <w:p w14:paraId="4C556DDD" w14:textId="77777777" w:rsidR="00FC4BA0" w:rsidRPr="007D03F5" w:rsidRDefault="00FC4BA0" w:rsidP="00475945">
            <w:pPr>
              <w:pStyle w:val="Pro-Inwest"/>
              <w:jc w:val="both"/>
              <w:rPr>
                <w:rFonts w:asciiTheme="minorHAnsi" w:hAnsiTheme="minorHAnsi"/>
                <w:sz w:val="16"/>
                <w:szCs w:val="16"/>
              </w:rPr>
            </w:pPr>
          </w:p>
          <w:p w14:paraId="04648E5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2</w:t>
            </w:r>
          </w:p>
        </w:tc>
        <w:tc>
          <w:tcPr>
            <w:tcW w:w="1411" w:type="dxa"/>
            <w:tcBorders>
              <w:top w:val="single" w:sz="4" w:space="0" w:color="000000"/>
              <w:left w:val="single" w:sz="4" w:space="0" w:color="000000"/>
              <w:bottom w:val="single" w:sz="4" w:space="0" w:color="000000"/>
              <w:right w:val="nil"/>
            </w:tcBorders>
          </w:tcPr>
          <w:p w14:paraId="20B5EF16" w14:textId="77777777" w:rsidR="00FC4BA0" w:rsidRPr="007D03F5" w:rsidRDefault="00FC4BA0" w:rsidP="00475945">
            <w:pPr>
              <w:pStyle w:val="Pro-Inwest"/>
              <w:jc w:val="both"/>
              <w:rPr>
                <w:rFonts w:asciiTheme="minorHAnsi" w:hAnsiTheme="minorHAnsi"/>
                <w:sz w:val="16"/>
                <w:szCs w:val="16"/>
              </w:rPr>
            </w:pPr>
          </w:p>
          <w:p w14:paraId="7EA1D10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Sprawdzenie wymiarów</w:t>
            </w:r>
          </w:p>
        </w:tc>
        <w:tc>
          <w:tcPr>
            <w:tcW w:w="1518" w:type="dxa"/>
            <w:vMerge/>
            <w:tcBorders>
              <w:top w:val="double" w:sz="2" w:space="0" w:color="000000"/>
              <w:left w:val="single" w:sz="4" w:space="0" w:color="000000"/>
              <w:bottom w:val="single" w:sz="4" w:space="0" w:color="000000"/>
              <w:right w:val="nil"/>
            </w:tcBorders>
            <w:vAlign w:val="center"/>
            <w:hideMark/>
          </w:tcPr>
          <w:p w14:paraId="20DD79BA" w14:textId="77777777" w:rsidR="00FC4BA0" w:rsidRPr="007D03F5" w:rsidRDefault="00FC4BA0" w:rsidP="00475945">
            <w:pPr>
              <w:pStyle w:val="Pro-Inwest"/>
              <w:jc w:val="both"/>
              <w:rPr>
                <w:rFonts w:asciiTheme="minorHAnsi" w:hAnsiTheme="minorHAnsi"/>
                <w:sz w:val="16"/>
                <w:szCs w:val="16"/>
              </w:rPr>
            </w:pPr>
          </w:p>
        </w:tc>
        <w:tc>
          <w:tcPr>
            <w:tcW w:w="2735" w:type="dxa"/>
            <w:tcBorders>
              <w:top w:val="single" w:sz="4" w:space="0" w:color="000000"/>
              <w:left w:val="single" w:sz="4" w:space="0" w:color="000000"/>
              <w:bottom w:val="single" w:sz="4" w:space="0" w:color="000000"/>
              <w:right w:val="nil"/>
            </w:tcBorders>
            <w:hideMark/>
          </w:tcPr>
          <w:p w14:paraId="6B93893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Przeprowadzić uniwersalnymi przyrządami pomiarowymi lub sprawdzianami (np. liniałami, przymiarami itp.)</w:t>
            </w:r>
          </w:p>
        </w:tc>
        <w:tc>
          <w:tcPr>
            <w:tcW w:w="1567" w:type="dxa"/>
            <w:vMerge/>
            <w:tcBorders>
              <w:top w:val="double" w:sz="2" w:space="0" w:color="000000"/>
              <w:left w:val="single" w:sz="4" w:space="0" w:color="000000"/>
              <w:bottom w:val="single" w:sz="4" w:space="0" w:color="000000"/>
              <w:right w:val="single" w:sz="4" w:space="0" w:color="000000"/>
            </w:tcBorders>
            <w:vAlign w:val="center"/>
            <w:hideMark/>
          </w:tcPr>
          <w:p w14:paraId="160503F7" w14:textId="77777777" w:rsidR="00FC4BA0" w:rsidRPr="007D03F5" w:rsidRDefault="00FC4BA0" w:rsidP="00475945">
            <w:pPr>
              <w:pStyle w:val="Pro-Inwest"/>
              <w:jc w:val="both"/>
              <w:rPr>
                <w:rFonts w:asciiTheme="minorHAnsi" w:hAnsiTheme="minorHAnsi"/>
                <w:sz w:val="16"/>
                <w:szCs w:val="16"/>
              </w:rPr>
            </w:pPr>
          </w:p>
        </w:tc>
      </w:tr>
    </w:tbl>
    <w:p w14:paraId="190706D3" w14:textId="77777777" w:rsidR="00FC4BA0" w:rsidRPr="007D03F5" w:rsidRDefault="00FC4BA0" w:rsidP="00FC4BA0">
      <w:pPr>
        <w:pStyle w:val="Pro-Inwest"/>
        <w:jc w:val="both"/>
        <w:rPr>
          <w:rFonts w:asciiTheme="minorHAnsi" w:hAnsiTheme="minorHAnsi"/>
          <w:sz w:val="16"/>
          <w:szCs w:val="16"/>
        </w:rPr>
      </w:pPr>
    </w:p>
    <w:p w14:paraId="3D9D7E2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W przypadkach budzących wątpliwości można zlecić uprawnionej jednostce zbadanie właściwości dostarczonych wyrobów i materiałów w zakresie wymagań podanych w punkcie 2.  </w:t>
      </w:r>
    </w:p>
    <w:p w14:paraId="5DFE870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b/>
          <w:sz w:val="16"/>
          <w:szCs w:val="16"/>
        </w:rPr>
        <w:t>6.3.2.</w:t>
      </w:r>
      <w:r w:rsidRPr="007D03F5">
        <w:rPr>
          <w:rFonts w:asciiTheme="minorHAnsi" w:hAnsiTheme="minorHAnsi"/>
          <w:sz w:val="16"/>
          <w:szCs w:val="16"/>
        </w:rPr>
        <w:t xml:space="preserve"> Kontrola w czasie wykonywania robót</w:t>
      </w:r>
    </w:p>
    <w:p w14:paraId="088EC2A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W czasie wykonywania robót należy sprawdzać:</w:t>
      </w:r>
    </w:p>
    <w:p w14:paraId="67CD5EF8"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zgodność wykonania znaków pionowych z dokumentacją projektową (lokalizacja, wymiary znaków, wysokość zamocowania znaków),</w:t>
      </w:r>
    </w:p>
    <w:p w14:paraId="4CC1510B"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zachowanie dopuszczalnych odchyłek wymiarów, zgodnie z punktem 2 i 5,</w:t>
      </w:r>
    </w:p>
    <w:p w14:paraId="2F4F03F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prawidłowość wykonania wykopów pod konstrukcje wsporcze, zgodnie z punktem 5.3,</w:t>
      </w:r>
    </w:p>
    <w:p w14:paraId="0558D77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poprawność wykonania fundamentów pod słupki zgodnie z punktem 5.3,</w:t>
      </w:r>
    </w:p>
    <w:p w14:paraId="3C4E4F1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poprawność ustawienia słupków i konstrukcji wsporczych, zgodnie z punktem 5.4 i 5.5,</w:t>
      </w:r>
    </w:p>
    <w:p w14:paraId="233DDA7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zgodność rodzaju i grubości blachy ze specyfikacją.</w:t>
      </w:r>
    </w:p>
    <w:p w14:paraId="16F1B86E" w14:textId="77777777" w:rsidR="00FC4BA0" w:rsidRPr="007D03F5" w:rsidRDefault="00FC4BA0" w:rsidP="00FC4BA0">
      <w:pPr>
        <w:pStyle w:val="Pro-Inwest"/>
        <w:jc w:val="both"/>
        <w:rPr>
          <w:rFonts w:asciiTheme="minorHAnsi" w:hAnsiTheme="minorHAnsi"/>
          <w:b/>
          <w:sz w:val="16"/>
          <w:szCs w:val="16"/>
        </w:rPr>
      </w:pPr>
    </w:p>
    <w:p w14:paraId="523D2136"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7. OBMIAR ROBÓT</w:t>
      </w:r>
    </w:p>
    <w:p w14:paraId="0E2FF8E0"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7.1. Ogólne zasady obmiaru robót</w:t>
      </w:r>
    </w:p>
    <w:p w14:paraId="616B5E33"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Ogólne zasady obmiaru robót podano w STWiORB-DM-00.00.00  „Wymagania ogólne” pkt 7.</w:t>
      </w:r>
    </w:p>
    <w:p w14:paraId="6F09A689"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7.2. Jednostka obmiarowa</w:t>
      </w:r>
    </w:p>
    <w:p w14:paraId="6046D81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Jednostkami obmiarowymi są:</w:t>
      </w:r>
    </w:p>
    <w:p w14:paraId="18DBFF96" w14:textId="77777777" w:rsidR="00FC4BA0" w:rsidRPr="007D03F5" w:rsidRDefault="00FC4BA0" w:rsidP="00CF52A1">
      <w:pPr>
        <w:pStyle w:val="Pro-Inwest"/>
        <w:numPr>
          <w:ilvl w:val="0"/>
          <w:numId w:val="99"/>
        </w:numPr>
        <w:jc w:val="both"/>
        <w:rPr>
          <w:rFonts w:asciiTheme="minorHAnsi" w:hAnsiTheme="minorHAnsi"/>
          <w:sz w:val="16"/>
          <w:szCs w:val="16"/>
        </w:rPr>
      </w:pPr>
      <w:r w:rsidRPr="007D03F5">
        <w:rPr>
          <w:rFonts w:asciiTheme="minorHAnsi" w:hAnsiTheme="minorHAnsi"/>
          <w:sz w:val="16"/>
          <w:szCs w:val="16"/>
        </w:rPr>
        <w:t>szt. (sztuka), dla znaków drogowych konwencjonalnych oraz konstrukcji wsporczych,</w:t>
      </w:r>
    </w:p>
    <w:p w14:paraId="4AE8D730" w14:textId="77777777" w:rsidR="00FC4BA0" w:rsidRPr="007D03F5" w:rsidRDefault="00FC4BA0" w:rsidP="00CF52A1">
      <w:pPr>
        <w:pStyle w:val="Pro-Inwest"/>
        <w:numPr>
          <w:ilvl w:val="0"/>
          <w:numId w:val="99"/>
        </w:numPr>
        <w:jc w:val="both"/>
        <w:rPr>
          <w:rFonts w:asciiTheme="minorHAnsi" w:hAnsiTheme="minorHAnsi"/>
          <w:sz w:val="16"/>
          <w:szCs w:val="16"/>
        </w:rPr>
      </w:pPr>
      <w:r w:rsidRPr="007D03F5">
        <w:rPr>
          <w:rFonts w:asciiTheme="minorHAnsi" w:hAnsiTheme="minorHAnsi"/>
          <w:sz w:val="16"/>
          <w:szCs w:val="16"/>
        </w:rPr>
        <w:t>m2 (metr kwadratowy) powierzchni tablic dla znaków pozostałych.</w:t>
      </w:r>
    </w:p>
    <w:p w14:paraId="61942108" w14:textId="77777777" w:rsidR="00FC4BA0" w:rsidRPr="007D03F5" w:rsidRDefault="00FC4BA0" w:rsidP="00FC4BA0">
      <w:pPr>
        <w:pStyle w:val="Pro-Inwest"/>
        <w:jc w:val="both"/>
        <w:rPr>
          <w:rFonts w:asciiTheme="minorHAnsi" w:hAnsiTheme="minorHAnsi"/>
          <w:b/>
          <w:sz w:val="16"/>
          <w:szCs w:val="16"/>
        </w:rPr>
      </w:pPr>
    </w:p>
    <w:p w14:paraId="0AC40C85" w14:textId="77777777" w:rsidR="00FC4BA0" w:rsidRPr="007D03F5" w:rsidRDefault="00FC4BA0" w:rsidP="00FC4BA0">
      <w:pPr>
        <w:pStyle w:val="Pro-Inwest"/>
        <w:jc w:val="both"/>
        <w:rPr>
          <w:rFonts w:asciiTheme="minorHAnsi" w:hAnsiTheme="minorHAnsi"/>
          <w:b/>
          <w:sz w:val="16"/>
          <w:szCs w:val="16"/>
        </w:rPr>
      </w:pPr>
    </w:p>
    <w:p w14:paraId="1E211147"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lastRenderedPageBreak/>
        <w:t>8. ODBIÓR ROBÓT</w:t>
      </w:r>
    </w:p>
    <w:p w14:paraId="75A084CA"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8.1. Ogólne zasady odbioru robót</w:t>
      </w:r>
    </w:p>
    <w:p w14:paraId="2A133BD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Ogólne zasady odbioru robót podano w STWiORB-DM-00.00.00  „Wymagania ogólne” pkt 8.</w:t>
      </w:r>
    </w:p>
    <w:p w14:paraId="3EEB3D5C"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 xml:space="preserve">Roboty uznaje się za wykonane zgodnie z dokumentacją projektową,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i wymaganiami Inżyniera, jeżeli wszystkie pomiary i badania z zachowaniem tolerancji wg pkt 6, dały wyniki pozytywne.</w:t>
      </w:r>
    </w:p>
    <w:p w14:paraId="619DCA3C"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8.2. Odbiór ostateczny</w:t>
      </w:r>
    </w:p>
    <w:p w14:paraId="7D645B80"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Odbiór robót oznakowania pionowego dokonywany jest na zasadzie odbioru ostatecznego.</w:t>
      </w:r>
    </w:p>
    <w:p w14:paraId="0E17396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Odbiór ostateczny powinien być dokonany po całkowitym zakończeniu robót, na podstawie wyników pomiarów i badań jakościowych określonych w punktach 2 i 5.</w:t>
      </w:r>
    </w:p>
    <w:p w14:paraId="2C031B96"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8.3. Odbiór pogwarancyjny</w:t>
      </w:r>
    </w:p>
    <w:p w14:paraId="0E460F2E"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Przed upływem okresu gwarancyjnego należy wykonać przegląd znaków i wybraną grupę poddać badaniom fotometrycznym lica. Pozytywne wyniki przeglądu i badań mogą być podstawą odbioru pogwarancyjnego.</w:t>
      </w:r>
    </w:p>
    <w:p w14:paraId="30C1085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Odbiór pogwarancyjny należy przeprowadzić w ciągu 1 miesiąca po upływie okresu gwarancyjnego.</w:t>
      </w:r>
    </w:p>
    <w:p w14:paraId="7869C705" w14:textId="77777777" w:rsidR="00FC4BA0" w:rsidRPr="007D03F5" w:rsidRDefault="00FC4BA0" w:rsidP="00FC4BA0">
      <w:pPr>
        <w:pStyle w:val="Pro-Inwest"/>
        <w:jc w:val="both"/>
        <w:rPr>
          <w:rFonts w:asciiTheme="minorHAnsi" w:hAnsiTheme="minorHAnsi"/>
          <w:b/>
          <w:sz w:val="16"/>
          <w:szCs w:val="16"/>
        </w:rPr>
      </w:pPr>
    </w:p>
    <w:p w14:paraId="0D050DB8"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9. PODSTAWA PŁATNOŚCI</w:t>
      </w:r>
    </w:p>
    <w:p w14:paraId="15EC0BE9"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9.1. Ogólne ustalenia dotyczące podstawy płatności</w:t>
      </w:r>
    </w:p>
    <w:p w14:paraId="1B91A8B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Ogólne ustalenia dotyczące podstawy płatności podano w STWiORB-DM-00.00.00  „Wymagania ogólne” pkt 9.</w:t>
      </w:r>
    </w:p>
    <w:p w14:paraId="3E030BE3"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9.2. Cena jednostki obmiarowej</w:t>
      </w:r>
    </w:p>
    <w:p w14:paraId="15EBEA45"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ab/>
        <w:t>Cena wykonania jednostki obmiarowej oznakowania pionowego obejmuje:</w:t>
      </w:r>
    </w:p>
    <w:p w14:paraId="168714A3" w14:textId="77777777" w:rsidR="00FC4BA0" w:rsidRPr="007D03F5" w:rsidRDefault="00FC4BA0" w:rsidP="00CF52A1">
      <w:pPr>
        <w:pStyle w:val="Pro-Inwest"/>
        <w:numPr>
          <w:ilvl w:val="0"/>
          <w:numId w:val="100"/>
        </w:numPr>
        <w:jc w:val="both"/>
        <w:rPr>
          <w:rFonts w:asciiTheme="minorHAnsi" w:hAnsiTheme="minorHAnsi"/>
          <w:sz w:val="16"/>
          <w:szCs w:val="16"/>
        </w:rPr>
      </w:pPr>
      <w:r w:rsidRPr="007D03F5">
        <w:rPr>
          <w:rFonts w:asciiTheme="minorHAnsi" w:hAnsiTheme="minorHAnsi"/>
          <w:sz w:val="16"/>
          <w:szCs w:val="16"/>
        </w:rPr>
        <w:t>prace pomiarowe i roboty przygotowawcze,</w:t>
      </w:r>
    </w:p>
    <w:p w14:paraId="572F7433" w14:textId="77777777" w:rsidR="00FC4BA0" w:rsidRPr="007D03F5" w:rsidRDefault="00FC4BA0" w:rsidP="00CF52A1">
      <w:pPr>
        <w:pStyle w:val="Pro-Inwest"/>
        <w:numPr>
          <w:ilvl w:val="0"/>
          <w:numId w:val="100"/>
        </w:numPr>
        <w:jc w:val="both"/>
        <w:rPr>
          <w:rFonts w:asciiTheme="minorHAnsi" w:hAnsiTheme="minorHAnsi"/>
          <w:sz w:val="16"/>
          <w:szCs w:val="16"/>
        </w:rPr>
      </w:pPr>
      <w:r w:rsidRPr="007D03F5">
        <w:rPr>
          <w:rFonts w:asciiTheme="minorHAnsi" w:hAnsiTheme="minorHAnsi"/>
          <w:sz w:val="16"/>
          <w:szCs w:val="16"/>
        </w:rPr>
        <w:t>zakup, dostarczenie i składowanie materiałów,</w:t>
      </w:r>
    </w:p>
    <w:p w14:paraId="5289B134" w14:textId="77777777" w:rsidR="00FC4BA0" w:rsidRPr="007D03F5" w:rsidRDefault="00FC4BA0" w:rsidP="00CF52A1">
      <w:pPr>
        <w:pStyle w:val="Pro-Inwest"/>
        <w:numPr>
          <w:ilvl w:val="0"/>
          <w:numId w:val="100"/>
        </w:numPr>
        <w:jc w:val="both"/>
        <w:rPr>
          <w:rFonts w:asciiTheme="minorHAnsi" w:hAnsiTheme="minorHAnsi"/>
          <w:sz w:val="16"/>
          <w:szCs w:val="16"/>
        </w:rPr>
      </w:pPr>
      <w:r w:rsidRPr="007D03F5">
        <w:rPr>
          <w:rFonts w:asciiTheme="minorHAnsi" w:hAnsiTheme="minorHAnsi"/>
          <w:sz w:val="16"/>
          <w:szCs w:val="16"/>
        </w:rPr>
        <w:t xml:space="preserve">koszt zapewnienia niezbędnych czynników produkcji, </w:t>
      </w:r>
    </w:p>
    <w:p w14:paraId="075FE838" w14:textId="77777777" w:rsidR="00FC4BA0" w:rsidRPr="007D03F5" w:rsidRDefault="00FC4BA0" w:rsidP="00CF52A1">
      <w:pPr>
        <w:pStyle w:val="Pro-Inwest"/>
        <w:numPr>
          <w:ilvl w:val="0"/>
          <w:numId w:val="100"/>
        </w:numPr>
        <w:jc w:val="both"/>
        <w:rPr>
          <w:rFonts w:asciiTheme="minorHAnsi" w:hAnsiTheme="minorHAnsi"/>
          <w:sz w:val="16"/>
          <w:szCs w:val="16"/>
        </w:rPr>
      </w:pPr>
      <w:r w:rsidRPr="007D03F5">
        <w:rPr>
          <w:rFonts w:asciiTheme="minorHAnsi" w:hAnsiTheme="minorHAnsi"/>
          <w:sz w:val="16"/>
          <w:szCs w:val="16"/>
        </w:rPr>
        <w:t>wykonanie fundamentów,</w:t>
      </w:r>
    </w:p>
    <w:p w14:paraId="055C5509" w14:textId="77777777" w:rsidR="00FC4BA0" w:rsidRPr="007D03F5" w:rsidRDefault="00FC4BA0" w:rsidP="00CF52A1">
      <w:pPr>
        <w:pStyle w:val="Pro-Inwest"/>
        <w:numPr>
          <w:ilvl w:val="0"/>
          <w:numId w:val="100"/>
        </w:numPr>
        <w:jc w:val="both"/>
        <w:rPr>
          <w:rFonts w:asciiTheme="minorHAnsi" w:hAnsiTheme="minorHAnsi"/>
          <w:sz w:val="16"/>
          <w:szCs w:val="16"/>
        </w:rPr>
      </w:pPr>
      <w:r w:rsidRPr="007D03F5">
        <w:rPr>
          <w:rFonts w:asciiTheme="minorHAnsi" w:hAnsiTheme="minorHAnsi"/>
          <w:sz w:val="16"/>
          <w:szCs w:val="16"/>
        </w:rPr>
        <w:t>dostarczenie i ustawienie konstrukcji wsporczych,</w:t>
      </w:r>
    </w:p>
    <w:p w14:paraId="4236DF96" w14:textId="77777777" w:rsidR="00FC4BA0" w:rsidRPr="007D03F5" w:rsidRDefault="00FC4BA0" w:rsidP="00CF52A1">
      <w:pPr>
        <w:pStyle w:val="Pro-Inwest"/>
        <w:numPr>
          <w:ilvl w:val="0"/>
          <w:numId w:val="100"/>
        </w:numPr>
        <w:jc w:val="both"/>
        <w:rPr>
          <w:rFonts w:asciiTheme="minorHAnsi" w:hAnsiTheme="minorHAnsi"/>
          <w:sz w:val="16"/>
          <w:szCs w:val="16"/>
        </w:rPr>
      </w:pPr>
      <w:r w:rsidRPr="007D03F5">
        <w:rPr>
          <w:rFonts w:asciiTheme="minorHAnsi" w:hAnsiTheme="minorHAnsi"/>
          <w:sz w:val="16"/>
          <w:szCs w:val="16"/>
        </w:rPr>
        <w:t>zamocowanie tarcz znaków drogowych,</w:t>
      </w:r>
    </w:p>
    <w:p w14:paraId="4E2C4280" w14:textId="77777777" w:rsidR="00FC4BA0" w:rsidRPr="007D03F5" w:rsidRDefault="00FC4BA0" w:rsidP="00CF52A1">
      <w:pPr>
        <w:pStyle w:val="Pro-Inwest"/>
        <w:numPr>
          <w:ilvl w:val="0"/>
          <w:numId w:val="100"/>
        </w:numPr>
        <w:jc w:val="both"/>
        <w:rPr>
          <w:rFonts w:asciiTheme="minorHAnsi" w:hAnsiTheme="minorHAnsi"/>
          <w:sz w:val="16"/>
          <w:szCs w:val="16"/>
        </w:rPr>
      </w:pPr>
      <w:r w:rsidRPr="007D03F5">
        <w:rPr>
          <w:rFonts w:asciiTheme="minorHAnsi" w:hAnsiTheme="minorHAnsi"/>
          <w:sz w:val="16"/>
          <w:szCs w:val="16"/>
        </w:rPr>
        <w:t xml:space="preserve">przeprowadzenie pomiarów i badań wymaganych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w:t>
      </w:r>
    </w:p>
    <w:p w14:paraId="13000D82" w14:textId="77777777" w:rsidR="00FC4BA0" w:rsidRPr="007D03F5" w:rsidRDefault="00FC4BA0" w:rsidP="00FC4BA0">
      <w:pPr>
        <w:pStyle w:val="Pro-Inwest"/>
        <w:jc w:val="both"/>
        <w:rPr>
          <w:rFonts w:asciiTheme="minorHAnsi" w:hAnsiTheme="minorHAnsi"/>
          <w:b/>
          <w:sz w:val="16"/>
          <w:szCs w:val="16"/>
        </w:rPr>
      </w:pPr>
    </w:p>
    <w:p w14:paraId="0412E203"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10. NORMY I przepisy związane</w:t>
      </w:r>
    </w:p>
    <w:p w14:paraId="63753FE4"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10.1. Normy</w:t>
      </w:r>
    </w:p>
    <w:tbl>
      <w:tblPr>
        <w:tblW w:w="0" w:type="auto"/>
        <w:tblLayout w:type="fixed"/>
        <w:tblCellMar>
          <w:left w:w="70" w:type="dxa"/>
          <w:right w:w="70" w:type="dxa"/>
        </w:tblCellMar>
        <w:tblLook w:val="04A0" w:firstRow="1" w:lastRow="0" w:firstColumn="1" w:lastColumn="0" w:noHBand="0" w:noVBand="1"/>
      </w:tblPr>
      <w:tblGrid>
        <w:gridCol w:w="496"/>
        <w:gridCol w:w="2268"/>
        <w:gridCol w:w="4745"/>
      </w:tblGrid>
      <w:tr w:rsidR="007D03F5" w:rsidRPr="007D03F5" w14:paraId="3700C9C2" w14:textId="77777777" w:rsidTr="00475945">
        <w:tc>
          <w:tcPr>
            <w:tcW w:w="496" w:type="dxa"/>
            <w:hideMark/>
          </w:tcPr>
          <w:p w14:paraId="2420ED8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1.</w:t>
            </w:r>
          </w:p>
        </w:tc>
        <w:tc>
          <w:tcPr>
            <w:tcW w:w="2268" w:type="dxa"/>
            <w:hideMark/>
          </w:tcPr>
          <w:p w14:paraId="1E4492B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PN-76/C-81521</w:t>
            </w:r>
          </w:p>
        </w:tc>
        <w:tc>
          <w:tcPr>
            <w:tcW w:w="4745" w:type="dxa"/>
            <w:hideMark/>
          </w:tcPr>
          <w:p w14:paraId="47BCF49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Wyroby lakierowane - badanie odporności powłoki lakierowanej na działanie wody oraz oznaczanie nasiąkliwości </w:t>
            </w:r>
          </w:p>
        </w:tc>
      </w:tr>
      <w:tr w:rsidR="007D03F5" w:rsidRPr="007D03F5" w14:paraId="0F67A370" w14:textId="77777777" w:rsidTr="00475945">
        <w:tc>
          <w:tcPr>
            <w:tcW w:w="496" w:type="dxa"/>
            <w:hideMark/>
          </w:tcPr>
          <w:p w14:paraId="3448DD1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2.</w:t>
            </w:r>
          </w:p>
        </w:tc>
        <w:tc>
          <w:tcPr>
            <w:tcW w:w="2268" w:type="dxa"/>
            <w:hideMark/>
          </w:tcPr>
          <w:p w14:paraId="6A56650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PN-83/B-03010</w:t>
            </w:r>
          </w:p>
        </w:tc>
        <w:tc>
          <w:tcPr>
            <w:tcW w:w="4745" w:type="dxa"/>
            <w:hideMark/>
          </w:tcPr>
          <w:p w14:paraId="0F6E23F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Ściany oporowe - Obliczenia statyczne i projektowanie</w:t>
            </w:r>
          </w:p>
        </w:tc>
      </w:tr>
      <w:tr w:rsidR="007D03F5" w:rsidRPr="007D03F5" w14:paraId="1D5B96D1" w14:textId="77777777" w:rsidTr="00475945">
        <w:tc>
          <w:tcPr>
            <w:tcW w:w="496" w:type="dxa"/>
            <w:hideMark/>
          </w:tcPr>
          <w:p w14:paraId="15F5C33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3.</w:t>
            </w:r>
          </w:p>
        </w:tc>
        <w:tc>
          <w:tcPr>
            <w:tcW w:w="2268" w:type="dxa"/>
            <w:hideMark/>
          </w:tcPr>
          <w:p w14:paraId="104E484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PN-84/H-74220</w:t>
            </w:r>
          </w:p>
        </w:tc>
        <w:tc>
          <w:tcPr>
            <w:tcW w:w="4745" w:type="dxa"/>
            <w:hideMark/>
          </w:tcPr>
          <w:p w14:paraId="2636BF7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Rury stalowe bez szwu ciągnione i walcowane na zimno ogólnego zastosowania</w:t>
            </w:r>
          </w:p>
        </w:tc>
      </w:tr>
      <w:tr w:rsidR="007D03F5" w:rsidRPr="007D03F5" w14:paraId="077C6366" w14:textId="77777777" w:rsidTr="00475945">
        <w:tc>
          <w:tcPr>
            <w:tcW w:w="496" w:type="dxa"/>
            <w:hideMark/>
          </w:tcPr>
          <w:p w14:paraId="5DB582F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4.</w:t>
            </w:r>
          </w:p>
        </w:tc>
        <w:tc>
          <w:tcPr>
            <w:tcW w:w="2268" w:type="dxa"/>
            <w:hideMark/>
          </w:tcPr>
          <w:p w14:paraId="176D98D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PN-88/C-81523</w:t>
            </w:r>
          </w:p>
        </w:tc>
        <w:tc>
          <w:tcPr>
            <w:tcW w:w="4745" w:type="dxa"/>
            <w:hideMark/>
          </w:tcPr>
          <w:p w14:paraId="628E486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Wyroby lakierowane  - Oznaczanie odporności powłoki na działanie mgły solnej</w:t>
            </w:r>
          </w:p>
        </w:tc>
      </w:tr>
      <w:tr w:rsidR="007D03F5" w:rsidRPr="007D03F5" w14:paraId="7D82B050" w14:textId="77777777" w:rsidTr="00475945">
        <w:tc>
          <w:tcPr>
            <w:tcW w:w="496" w:type="dxa"/>
            <w:hideMark/>
          </w:tcPr>
          <w:p w14:paraId="49FDFA9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5.</w:t>
            </w:r>
          </w:p>
        </w:tc>
        <w:tc>
          <w:tcPr>
            <w:tcW w:w="2268" w:type="dxa"/>
            <w:hideMark/>
          </w:tcPr>
          <w:p w14:paraId="2F82ADE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PN-89/H-84023.07</w:t>
            </w:r>
          </w:p>
        </w:tc>
        <w:tc>
          <w:tcPr>
            <w:tcW w:w="4745" w:type="dxa"/>
            <w:hideMark/>
          </w:tcPr>
          <w:p w14:paraId="43570C6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Stal określonego zastosowania. Stal na rury. Gatunki</w:t>
            </w:r>
          </w:p>
        </w:tc>
      </w:tr>
      <w:tr w:rsidR="007D03F5" w:rsidRPr="007D03F5" w14:paraId="53F4083A" w14:textId="77777777" w:rsidTr="00475945">
        <w:tc>
          <w:tcPr>
            <w:tcW w:w="496" w:type="dxa"/>
            <w:hideMark/>
          </w:tcPr>
          <w:p w14:paraId="19B2ED6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6.</w:t>
            </w:r>
          </w:p>
        </w:tc>
        <w:tc>
          <w:tcPr>
            <w:tcW w:w="2268" w:type="dxa"/>
            <w:hideMark/>
          </w:tcPr>
          <w:p w14:paraId="004ADB3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PN-B-03215:1998</w:t>
            </w:r>
          </w:p>
        </w:tc>
        <w:tc>
          <w:tcPr>
            <w:tcW w:w="4745" w:type="dxa"/>
            <w:hideMark/>
          </w:tcPr>
          <w:p w14:paraId="52C7BEE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Konstrukcje stalowe - Połączenia z fundamentami - Projektowanie i wykonanie</w:t>
            </w:r>
          </w:p>
        </w:tc>
      </w:tr>
      <w:tr w:rsidR="007D03F5" w:rsidRPr="007D03F5" w14:paraId="3D45E0EB" w14:textId="77777777" w:rsidTr="00475945">
        <w:tc>
          <w:tcPr>
            <w:tcW w:w="496" w:type="dxa"/>
            <w:hideMark/>
          </w:tcPr>
          <w:p w14:paraId="53EC6C8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7.</w:t>
            </w:r>
          </w:p>
        </w:tc>
        <w:tc>
          <w:tcPr>
            <w:tcW w:w="2268" w:type="dxa"/>
            <w:hideMark/>
          </w:tcPr>
          <w:p w14:paraId="300CD14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PN-B-03264:2002</w:t>
            </w:r>
          </w:p>
        </w:tc>
        <w:tc>
          <w:tcPr>
            <w:tcW w:w="4745" w:type="dxa"/>
            <w:hideMark/>
          </w:tcPr>
          <w:p w14:paraId="76C6A21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Konstrukcje betonowe, żelbetowe i sprężone - Obliczenia statyczne i projektowanie</w:t>
            </w:r>
          </w:p>
        </w:tc>
      </w:tr>
      <w:tr w:rsidR="007D03F5" w:rsidRPr="007D03F5" w14:paraId="10636756" w14:textId="77777777" w:rsidTr="00475945">
        <w:tc>
          <w:tcPr>
            <w:tcW w:w="496" w:type="dxa"/>
            <w:hideMark/>
          </w:tcPr>
          <w:p w14:paraId="3CD25BA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8.</w:t>
            </w:r>
          </w:p>
        </w:tc>
        <w:tc>
          <w:tcPr>
            <w:tcW w:w="2268" w:type="dxa"/>
            <w:hideMark/>
          </w:tcPr>
          <w:p w14:paraId="6D121B8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PN-EN 40-5:2004</w:t>
            </w:r>
          </w:p>
        </w:tc>
        <w:tc>
          <w:tcPr>
            <w:tcW w:w="4745" w:type="dxa"/>
            <w:hideMark/>
          </w:tcPr>
          <w:p w14:paraId="6AB72DC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Słupy oświetleniowe. Część 5. Słupy oświetleniowe stalowe. Wymagania.</w:t>
            </w:r>
          </w:p>
        </w:tc>
      </w:tr>
      <w:tr w:rsidR="00181ACA" w:rsidRPr="007D03F5" w14:paraId="1E216E5A" w14:textId="77777777" w:rsidTr="00475945">
        <w:tc>
          <w:tcPr>
            <w:tcW w:w="496" w:type="dxa"/>
            <w:hideMark/>
          </w:tcPr>
          <w:p w14:paraId="50800B6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  9. </w:t>
            </w:r>
          </w:p>
        </w:tc>
        <w:tc>
          <w:tcPr>
            <w:tcW w:w="2268" w:type="dxa"/>
            <w:hideMark/>
          </w:tcPr>
          <w:p w14:paraId="5B4190D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PN-EN 206-1:2003</w:t>
            </w:r>
          </w:p>
        </w:tc>
        <w:tc>
          <w:tcPr>
            <w:tcW w:w="4745" w:type="dxa"/>
            <w:hideMark/>
          </w:tcPr>
          <w:p w14:paraId="7D5E1A3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Beton Część 1: Wymagania, właściwości, produkcja i zgodność</w:t>
            </w:r>
          </w:p>
        </w:tc>
      </w:tr>
    </w:tbl>
    <w:p w14:paraId="03934499" w14:textId="77777777" w:rsidR="00FC4BA0" w:rsidRPr="007D03F5" w:rsidRDefault="00FC4BA0" w:rsidP="00FC4BA0">
      <w:pPr>
        <w:pStyle w:val="Pro-Inwest"/>
        <w:jc w:val="both"/>
        <w:rPr>
          <w:rFonts w:asciiTheme="minorHAnsi" w:hAnsiTheme="minorHAnsi"/>
          <w:sz w:val="16"/>
          <w:szCs w:val="16"/>
        </w:rPr>
      </w:pPr>
    </w:p>
    <w:tbl>
      <w:tblPr>
        <w:tblW w:w="0" w:type="auto"/>
        <w:tblLayout w:type="fixed"/>
        <w:tblCellMar>
          <w:left w:w="70" w:type="dxa"/>
          <w:right w:w="70" w:type="dxa"/>
        </w:tblCellMar>
        <w:tblLook w:val="04A0" w:firstRow="1" w:lastRow="0" w:firstColumn="1" w:lastColumn="0" w:noHBand="0" w:noVBand="1"/>
      </w:tblPr>
      <w:tblGrid>
        <w:gridCol w:w="496"/>
        <w:gridCol w:w="2268"/>
        <w:gridCol w:w="4745"/>
      </w:tblGrid>
      <w:tr w:rsidR="007D03F5" w:rsidRPr="007D03F5" w14:paraId="3E67BC6F" w14:textId="77777777" w:rsidTr="00475945">
        <w:tc>
          <w:tcPr>
            <w:tcW w:w="496" w:type="dxa"/>
            <w:hideMark/>
          </w:tcPr>
          <w:p w14:paraId="43BB432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10.</w:t>
            </w:r>
          </w:p>
        </w:tc>
        <w:tc>
          <w:tcPr>
            <w:tcW w:w="2268" w:type="dxa"/>
            <w:hideMark/>
          </w:tcPr>
          <w:p w14:paraId="020BF10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PN-EN 485-4:1997</w:t>
            </w:r>
          </w:p>
        </w:tc>
        <w:tc>
          <w:tcPr>
            <w:tcW w:w="4745" w:type="dxa"/>
            <w:hideMark/>
          </w:tcPr>
          <w:p w14:paraId="1F2A8CC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Aluminium i stopy aluminium - Blachy, taśmy i płyty - Tolerancje kształtu i wymiarów wyrobów walcowanych na zimno</w:t>
            </w:r>
          </w:p>
        </w:tc>
      </w:tr>
      <w:tr w:rsidR="007D03F5" w:rsidRPr="007D03F5" w14:paraId="06EF8645" w14:textId="77777777" w:rsidTr="00475945">
        <w:tc>
          <w:tcPr>
            <w:tcW w:w="496" w:type="dxa"/>
            <w:hideMark/>
          </w:tcPr>
          <w:p w14:paraId="2CB4CEC2"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11.</w:t>
            </w:r>
          </w:p>
        </w:tc>
        <w:tc>
          <w:tcPr>
            <w:tcW w:w="2268" w:type="dxa"/>
            <w:hideMark/>
          </w:tcPr>
          <w:p w14:paraId="2F6CB98D" w14:textId="77777777" w:rsidR="00FC4BA0" w:rsidRPr="007D03F5" w:rsidRDefault="00FC4BA0" w:rsidP="00475945">
            <w:pPr>
              <w:pStyle w:val="Pro-Inwest"/>
              <w:jc w:val="both"/>
              <w:rPr>
                <w:rFonts w:asciiTheme="minorHAnsi" w:hAnsiTheme="minorHAnsi"/>
                <w:sz w:val="16"/>
                <w:szCs w:val="16"/>
                <w:lang w:val="de-DE"/>
              </w:rPr>
            </w:pPr>
            <w:r w:rsidRPr="007D03F5">
              <w:rPr>
                <w:rFonts w:asciiTheme="minorHAnsi" w:hAnsiTheme="minorHAnsi"/>
                <w:sz w:val="16"/>
                <w:szCs w:val="16"/>
              </w:rPr>
              <w:t>PN-EN ISO 1461:2000</w:t>
            </w:r>
          </w:p>
        </w:tc>
        <w:tc>
          <w:tcPr>
            <w:tcW w:w="4745" w:type="dxa"/>
            <w:hideMark/>
          </w:tcPr>
          <w:p w14:paraId="79171E3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Powłoki cynkowe nanoszone na stal metodą zanurzeniową (cynkowanie jednostkowe) – Wymaganie i badanie </w:t>
            </w:r>
          </w:p>
        </w:tc>
      </w:tr>
      <w:tr w:rsidR="007D03F5" w:rsidRPr="007D03F5" w14:paraId="6AED0015" w14:textId="77777777" w:rsidTr="00475945">
        <w:tc>
          <w:tcPr>
            <w:tcW w:w="496" w:type="dxa"/>
            <w:hideMark/>
          </w:tcPr>
          <w:p w14:paraId="2DFEA77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12.</w:t>
            </w:r>
          </w:p>
        </w:tc>
        <w:tc>
          <w:tcPr>
            <w:tcW w:w="2268" w:type="dxa"/>
            <w:hideMark/>
          </w:tcPr>
          <w:p w14:paraId="1D6B1BA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PN-EN 10240:2001</w:t>
            </w:r>
          </w:p>
        </w:tc>
        <w:tc>
          <w:tcPr>
            <w:tcW w:w="4745" w:type="dxa"/>
            <w:hideMark/>
          </w:tcPr>
          <w:p w14:paraId="3110C1F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Wewnętrzne i/lub zewnętrzne powłoki ochronne rur stalowych. Wymagania dotyczące powłok wykonanych przez cynkowanie ogniowe w ocynkowniach zautomatyzowanych</w:t>
            </w:r>
          </w:p>
        </w:tc>
      </w:tr>
      <w:tr w:rsidR="007D03F5" w:rsidRPr="007D03F5" w14:paraId="57989D3B" w14:textId="77777777" w:rsidTr="00475945">
        <w:tc>
          <w:tcPr>
            <w:tcW w:w="496" w:type="dxa"/>
            <w:hideMark/>
          </w:tcPr>
          <w:p w14:paraId="2129150D"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13.</w:t>
            </w:r>
          </w:p>
        </w:tc>
        <w:tc>
          <w:tcPr>
            <w:tcW w:w="2268" w:type="dxa"/>
            <w:hideMark/>
          </w:tcPr>
          <w:p w14:paraId="40194B1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PN-EN 10292:2003/ A1:2004/A1:2005(U)</w:t>
            </w:r>
          </w:p>
        </w:tc>
        <w:tc>
          <w:tcPr>
            <w:tcW w:w="4745" w:type="dxa"/>
            <w:hideMark/>
          </w:tcPr>
          <w:p w14:paraId="2562BA7A"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Taśmy i blachy ze stali o podwyższonej granicy plastyczności powlekane ogniowo w sposób ciągły do obróbki plastycznej na zimno. Warunki techniczne dostawy</w:t>
            </w:r>
          </w:p>
        </w:tc>
      </w:tr>
      <w:tr w:rsidR="007D03F5" w:rsidRPr="007D03F5" w14:paraId="19DA7443" w14:textId="77777777" w:rsidTr="00475945">
        <w:tc>
          <w:tcPr>
            <w:tcW w:w="496" w:type="dxa"/>
            <w:hideMark/>
          </w:tcPr>
          <w:p w14:paraId="14D4C22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14.</w:t>
            </w:r>
          </w:p>
        </w:tc>
        <w:tc>
          <w:tcPr>
            <w:tcW w:w="2268" w:type="dxa"/>
            <w:hideMark/>
          </w:tcPr>
          <w:p w14:paraId="4128B386" w14:textId="77777777" w:rsidR="00FC4BA0" w:rsidRPr="007D03F5" w:rsidRDefault="00FC4BA0" w:rsidP="00475945">
            <w:pPr>
              <w:pStyle w:val="Pro-Inwest"/>
              <w:jc w:val="both"/>
              <w:rPr>
                <w:rFonts w:asciiTheme="minorHAnsi" w:hAnsiTheme="minorHAnsi"/>
                <w:sz w:val="16"/>
                <w:szCs w:val="16"/>
                <w:lang w:val="de-DE"/>
              </w:rPr>
            </w:pPr>
            <w:r w:rsidRPr="007D03F5">
              <w:rPr>
                <w:rFonts w:asciiTheme="minorHAnsi" w:hAnsiTheme="minorHAnsi"/>
                <w:sz w:val="16"/>
                <w:szCs w:val="16"/>
              </w:rPr>
              <w:t>PN-EN 10327:2005(U)</w:t>
            </w:r>
          </w:p>
        </w:tc>
        <w:tc>
          <w:tcPr>
            <w:tcW w:w="4745" w:type="dxa"/>
            <w:hideMark/>
          </w:tcPr>
          <w:p w14:paraId="517BEA5B"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Taśmy i blachy ze stali niskowęglowych powlekane ogniowo w sposób ciągły do obróbki plastycznej na zimno. Warunki techniczne dostawy</w:t>
            </w:r>
          </w:p>
        </w:tc>
      </w:tr>
      <w:tr w:rsidR="007D03F5" w:rsidRPr="007D03F5" w14:paraId="574FDC05" w14:textId="77777777" w:rsidTr="00475945">
        <w:tc>
          <w:tcPr>
            <w:tcW w:w="496" w:type="dxa"/>
            <w:hideMark/>
          </w:tcPr>
          <w:p w14:paraId="6CAAE19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15.</w:t>
            </w:r>
          </w:p>
        </w:tc>
        <w:tc>
          <w:tcPr>
            <w:tcW w:w="2268" w:type="dxa"/>
            <w:hideMark/>
          </w:tcPr>
          <w:p w14:paraId="729D40F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PN-EN 12767:2003</w:t>
            </w:r>
          </w:p>
        </w:tc>
        <w:tc>
          <w:tcPr>
            <w:tcW w:w="4745" w:type="dxa"/>
            <w:hideMark/>
          </w:tcPr>
          <w:p w14:paraId="15D2E96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Bierne bezpieczeństwo konstrukcji wsporczych dla urządzeń drogowych.  Wymagania i metody badań</w:t>
            </w:r>
          </w:p>
        </w:tc>
      </w:tr>
      <w:tr w:rsidR="007D03F5" w:rsidRPr="007D03F5" w14:paraId="4EFC460E" w14:textId="77777777" w:rsidTr="00475945">
        <w:tc>
          <w:tcPr>
            <w:tcW w:w="496" w:type="dxa"/>
            <w:hideMark/>
          </w:tcPr>
          <w:p w14:paraId="2DB884FC"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16.</w:t>
            </w:r>
          </w:p>
        </w:tc>
        <w:tc>
          <w:tcPr>
            <w:tcW w:w="2268" w:type="dxa"/>
            <w:hideMark/>
          </w:tcPr>
          <w:p w14:paraId="1AD270DF"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PN-EN 12899-1:2005</w:t>
            </w:r>
          </w:p>
        </w:tc>
        <w:tc>
          <w:tcPr>
            <w:tcW w:w="4745" w:type="dxa"/>
            <w:hideMark/>
          </w:tcPr>
          <w:p w14:paraId="1640CCC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Stałe, pionowe znaki drogowe - Część 1: Znaki stałe </w:t>
            </w:r>
          </w:p>
        </w:tc>
      </w:tr>
      <w:tr w:rsidR="007D03F5" w:rsidRPr="007D03F5" w14:paraId="23C4E7E2" w14:textId="77777777" w:rsidTr="00475945">
        <w:tc>
          <w:tcPr>
            <w:tcW w:w="496" w:type="dxa"/>
            <w:hideMark/>
          </w:tcPr>
          <w:p w14:paraId="3F187289"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17.</w:t>
            </w:r>
          </w:p>
        </w:tc>
        <w:tc>
          <w:tcPr>
            <w:tcW w:w="2268" w:type="dxa"/>
            <w:hideMark/>
          </w:tcPr>
          <w:p w14:paraId="27EEB761" w14:textId="77777777" w:rsidR="00FC4BA0" w:rsidRPr="007D03F5" w:rsidRDefault="00FC4BA0" w:rsidP="00475945">
            <w:pPr>
              <w:pStyle w:val="Pro-Inwest"/>
              <w:jc w:val="both"/>
              <w:rPr>
                <w:rFonts w:asciiTheme="minorHAnsi" w:hAnsiTheme="minorHAnsi"/>
                <w:sz w:val="16"/>
                <w:szCs w:val="16"/>
              </w:rPr>
            </w:pPr>
            <w:proofErr w:type="spellStart"/>
            <w:r w:rsidRPr="007D03F5">
              <w:rPr>
                <w:rFonts w:asciiTheme="minorHAnsi" w:hAnsiTheme="minorHAnsi"/>
                <w:sz w:val="16"/>
                <w:szCs w:val="16"/>
              </w:rPr>
              <w:t>prEN</w:t>
            </w:r>
            <w:proofErr w:type="spellEnd"/>
            <w:r w:rsidRPr="007D03F5">
              <w:rPr>
                <w:rFonts w:asciiTheme="minorHAnsi" w:hAnsiTheme="minorHAnsi"/>
                <w:sz w:val="16"/>
                <w:szCs w:val="16"/>
              </w:rPr>
              <w:t xml:space="preserve"> 12899-5</w:t>
            </w:r>
          </w:p>
        </w:tc>
        <w:tc>
          <w:tcPr>
            <w:tcW w:w="4745" w:type="dxa"/>
            <w:hideMark/>
          </w:tcPr>
          <w:p w14:paraId="0BFDD44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Stałe, pionowe znaki drogowe - Część 5 Badanie wstępne typu</w:t>
            </w:r>
          </w:p>
        </w:tc>
      </w:tr>
      <w:tr w:rsidR="007D03F5" w:rsidRPr="007D03F5" w14:paraId="5FBD00C6" w14:textId="77777777" w:rsidTr="00475945">
        <w:tc>
          <w:tcPr>
            <w:tcW w:w="496" w:type="dxa"/>
            <w:hideMark/>
          </w:tcPr>
          <w:p w14:paraId="54007EE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18.</w:t>
            </w:r>
          </w:p>
        </w:tc>
        <w:tc>
          <w:tcPr>
            <w:tcW w:w="2268" w:type="dxa"/>
            <w:hideMark/>
          </w:tcPr>
          <w:p w14:paraId="3211276E"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PN-EN 60529:2003</w:t>
            </w:r>
          </w:p>
        </w:tc>
        <w:tc>
          <w:tcPr>
            <w:tcW w:w="4745" w:type="dxa"/>
            <w:hideMark/>
          </w:tcPr>
          <w:p w14:paraId="572273B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Stopnie ochrony zapewnianej przez obudowy (Kod IP)</w:t>
            </w:r>
          </w:p>
        </w:tc>
      </w:tr>
      <w:tr w:rsidR="007D03F5" w:rsidRPr="007D03F5" w14:paraId="7954E208" w14:textId="77777777" w:rsidTr="00475945">
        <w:tc>
          <w:tcPr>
            <w:tcW w:w="496" w:type="dxa"/>
            <w:hideMark/>
          </w:tcPr>
          <w:p w14:paraId="70D3A3F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19.</w:t>
            </w:r>
          </w:p>
        </w:tc>
        <w:tc>
          <w:tcPr>
            <w:tcW w:w="2268" w:type="dxa"/>
            <w:hideMark/>
          </w:tcPr>
          <w:p w14:paraId="0246142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PN-EN 60598-1: 1990</w:t>
            </w:r>
          </w:p>
        </w:tc>
        <w:tc>
          <w:tcPr>
            <w:tcW w:w="4745" w:type="dxa"/>
            <w:hideMark/>
          </w:tcPr>
          <w:p w14:paraId="557EB79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Oprawy oświetleniowe. Wymagania ogólne i badania</w:t>
            </w:r>
          </w:p>
        </w:tc>
      </w:tr>
      <w:tr w:rsidR="007D03F5" w:rsidRPr="007D03F5" w14:paraId="14366E84" w14:textId="77777777" w:rsidTr="00475945">
        <w:tc>
          <w:tcPr>
            <w:tcW w:w="496" w:type="dxa"/>
            <w:hideMark/>
          </w:tcPr>
          <w:p w14:paraId="4870522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lastRenderedPageBreak/>
              <w:t>20.</w:t>
            </w:r>
          </w:p>
        </w:tc>
        <w:tc>
          <w:tcPr>
            <w:tcW w:w="2268" w:type="dxa"/>
            <w:hideMark/>
          </w:tcPr>
          <w:p w14:paraId="180B9455" w14:textId="77777777" w:rsidR="00FC4BA0" w:rsidRPr="007D03F5" w:rsidRDefault="00FC4BA0" w:rsidP="00475945">
            <w:pPr>
              <w:pStyle w:val="Pro-Inwest"/>
              <w:jc w:val="both"/>
              <w:rPr>
                <w:rFonts w:asciiTheme="minorHAnsi" w:hAnsiTheme="minorHAnsi"/>
                <w:sz w:val="16"/>
                <w:szCs w:val="16"/>
                <w:lang w:val="de-DE"/>
              </w:rPr>
            </w:pPr>
            <w:r w:rsidRPr="007D03F5">
              <w:rPr>
                <w:rFonts w:asciiTheme="minorHAnsi" w:hAnsiTheme="minorHAnsi"/>
                <w:sz w:val="16"/>
                <w:szCs w:val="16"/>
              </w:rPr>
              <w:t>PN-EN 60598-2:2003(U)</w:t>
            </w:r>
          </w:p>
        </w:tc>
        <w:tc>
          <w:tcPr>
            <w:tcW w:w="4745" w:type="dxa"/>
            <w:hideMark/>
          </w:tcPr>
          <w:p w14:paraId="0F463A47"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Oprawy oświetleniowe - Wymagania szczegółowe - Oprawy oświetleniowe drogowe</w:t>
            </w:r>
          </w:p>
        </w:tc>
      </w:tr>
      <w:tr w:rsidR="007D03F5" w:rsidRPr="007D03F5" w14:paraId="1835E703" w14:textId="77777777" w:rsidTr="00475945">
        <w:tc>
          <w:tcPr>
            <w:tcW w:w="496" w:type="dxa"/>
            <w:hideMark/>
          </w:tcPr>
          <w:p w14:paraId="073A84B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21.</w:t>
            </w:r>
          </w:p>
        </w:tc>
        <w:tc>
          <w:tcPr>
            <w:tcW w:w="2268" w:type="dxa"/>
            <w:hideMark/>
          </w:tcPr>
          <w:p w14:paraId="6B011965" w14:textId="77777777" w:rsidR="00FC4BA0" w:rsidRPr="007D03F5" w:rsidRDefault="00FC4BA0" w:rsidP="00475945">
            <w:pPr>
              <w:pStyle w:val="Pro-Inwest"/>
              <w:jc w:val="both"/>
              <w:rPr>
                <w:rFonts w:asciiTheme="minorHAnsi" w:hAnsiTheme="minorHAnsi"/>
                <w:sz w:val="16"/>
                <w:szCs w:val="16"/>
                <w:lang w:val="de-DE"/>
              </w:rPr>
            </w:pPr>
            <w:r w:rsidRPr="007D03F5">
              <w:rPr>
                <w:rFonts w:asciiTheme="minorHAnsi" w:hAnsiTheme="minorHAnsi"/>
                <w:sz w:val="16"/>
                <w:szCs w:val="16"/>
              </w:rPr>
              <w:t>PN-H-74200:1998</w:t>
            </w:r>
          </w:p>
        </w:tc>
        <w:tc>
          <w:tcPr>
            <w:tcW w:w="4745" w:type="dxa"/>
            <w:hideMark/>
          </w:tcPr>
          <w:p w14:paraId="24382025"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 xml:space="preserve">Rury stalowe ze szwem, gwintowane </w:t>
            </w:r>
          </w:p>
        </w:tc>
      </w:tr>
      <w:tr w:rsidR="007D03F5" w:rsidRPr="007D03F5" w14:paraId="37BAB568" w14:textId="77777777" w:rsidTr="00475945">
        <w:tc>
          <w:tcPr>
            <w:tcW w:w="496" w:type="dxa"/>
            <w:hideMark/>
          </w:tcPr>
          <w:p w14:paraId="66EC211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22.</w:t>
            </w:r>
          </w:p>
        </w:tc>
        <w:tc>
          <w:tcPr>
            <w:tcW w:w="2268" w:type="dxa"/>
            <w:hideMark/>
          </w:tcPr>
          <w:p w14:paraId="0BBDBE95" w14:textId="77777777" w:rsidR="00FC4BA0" w:rsidRPr="007D03F5" w:rsidRDefault="00FC4BA0" w:rsidP="00475945">
            <w:pPr>
              <w:pStyle w:val="Pro-Inwest"/>
              <w:jc w:val="both"/>
              <w:rPr>
                <w:rFonts w:asciiTheme="minorHAnsi" w:hAnsiTheme="minorHAnsi"/>
                <w:sz w:val="16"/>
                <w:szCs w:val="16"/>
                <w:lang w:val="de-DE"/>
              </w:rPr>
            </w:pPr>
            <w:r w:rsidRPr="007D03F5">
              <w:rPr>
                <w:rFonts w:asciiTheme="minorHAnsi" w:hAnsiTheme="minorHAnsi"/>
                <w:sz w:val="16"/>
                <w:szCs w:val="16"/>
              </w:rPr>
              <w:t>PN-EN ISO 2808:2000</w:t>
            </w:r>
          </w:p>
        </w:tc>
        <w:tc>
          <w:tcPr>
            <w:tcW w:w="4745" w:type="dxa"/>
            <w:hideMark/>
          </w:tcPr>
          <w:p w14:paraId="09450418"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Farby i lakiery - oznaczanie grubości powłoki</w:t>
            </w:r>
          </w:p>
        </w:tc>
      </w:tr>
      <w:tr w:rsidR="007D03F5" w:rsidRPr="007D03F5" w14:paraId="57E63062" w14:textId="77777777" w:rsidTr="00475945">
        <w:tc>
          <w:tcPr>
            <w:tcW w:w="496" w:type="dxa"/>
            <w:hideMark/>
          </w:tcPr>
          <w:p w14:paraId="10CE2276"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23.</w:t>
            </w:r>
          </w:p>
        </w:tc>
        <w:tc>
          <w:tcPr>
            <w:tcW w:w="2268" w:type="dxa"/>
            <w:hideMark/>
          </w:tcPr>
          <w:p w14:paraId="4F0CCDE0"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PN-91/H-93010</w:t>
            </w:r>
          </w:p>
        </w:tc>
        <w:tc>
          <w:tcPr>
            <w:tcW w:w="4745" w:type="dxa"/>
            <w:hideMark/>
          </w:tcPr>
          <w:p w14:paraId="3942EF61"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Stal. Kształtowniki walcowane na gorąco</w:t>
            </w:r>
          </w:p>
        </w:tc>
      </w:tr>
      <w:tr w:rsidR="00181ACA" w:rsidRPr="007D03F5" w14:paraId="37C890FC" w14:textId="77777777" w:rsidTr="00475945">
        <w:tc>
          <w:tcPr>
            <w:tcW w:w="496" w:type="dxa"/>
            <w:hideMark/>
          </w:tcPr>
          <w:p w14:paraId="34DAF8C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24.</w:t>
            </w:r>
          </w:p>
        </w:tc>
        <w:tc>
          <w:tcPr>
            <w:tcW w:w="2268" w:type="dxa"/>
            <w:hideMark/>
          </w:tcPr>
          <w:p w14:paraId="4F8656E3"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PN-S-02205:1998</w:t>
            </w:r>
          </w:p>
        </w:tc>
        <w:tc>
          <w:tcPr>
            <w:tcW w:w="4745" w:type="dxa"/>
            <w:hideMark/>
          </w:tcPr>
          <w:p w14:paraId="6FC01A94" w14:textId="77777777" w:rsidR="00FC4BA0" w:rsidRPr="007D03F5" w:rsidRDefault="00FC4BA0" w:rsidP="00475945">
            <w:pPr>
              <w:pStyle w:val="Pro-Inwest"/>
              <w:jc w:val="both"/>
              <w:rPr>
                <w:rFonts w:asciiTheme="minorHAnsi" w:hAnsiTheme="minorHAnsi"/>
                <w:sz w:val="16"/>
                <w:szCs w:val="16"/>
              </w:rPr>
            </w:pPr>
            <w:r w:rsidRPr="007D03F5">
              <w:rPr>
                <w:rFonts w:asciiTheme="minorHAnsi" w:hAnsiTheme="minorHAnsi"/>
                <w:sz w:val="16"/>
                <w:szCs w:val="16"/>
              </w:rPr>
              <w:t>Drogi samochodowe. Roboty ziemne. Wymagania i badania</w:t>
            </w:r>
          </w:p>
        </w:tc>
      </w:tr>
    </w:tbl>
    <w:p w14:paraId="246ED8B5" w14:textId="77777777" w:rsidR="00FC4BA0" w:rsidRPr="007D03F5" w:rsidRDefault="00FC4BA0" w:rsidP="00FC4BA0">
      <w:pPr>
        <w:pStyle w:val="Pro-Inwest"/>
        <w:jc w:val="both"/>
        <w:rPr>
          <w:rFonts w:asciiTheme="minorHAnsi" w:hAnsiTheme="minorHAnsi"/>
          <w:sz w:val="16"/>
          <w:szCs w:val="16"/>
        </w:rPr>
      </w:pPr>
    </w:p>
    <w:p w14:paraId="4B7C6455" w14:textId="77777777" w:rsidR="00FC4BA0" w:rsidRPr="007D03F5" w:rsidRDefault="00FC4BA0" w:rsidP="00FC4BA0">
      <w:pPr>
        <w:pStyle w:val="Pro-Inwest"/>
        <w:jc w:val="both"/>
        <w:rPr>
          <w:rFonts w:asciiTheme="minorHAnsi" w:hAnsiTheme="minorHAnsi"/>
          <w:b/>
          <w:sz w:val="16"/>
          <w:szCs w:val="16"/>
        </w:rPr>
      </w:pPr>
      <w:r w:rsidRPr="007D03F5">
        <w:rPr>
          <w:rFonts w:asciiTheme="minorHAnsi" w:hAnsiTheme="minorHAnsi"/>
          <w:b/>
          <w:sz w:val="16"/>
          <w:szCs w:val="16"/>
        </w:rPr>
        <w:t>10.2  Przepisy związane</w:t>
      </w:r>
    </w:p>
    <w:p w14:paraId="7E21DCC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14:paraId="741FBE91"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Rozporządzenie Ministra Infrastruktury z dn. 11 sierpnia 2004 r. w sprawie sposobów deklarowania zgodności wyrobów budowlanych oraz sposobu znakowania ich znakiem budowlanym (Dz. U. nr 198, poz. 2041)</w:t>
      </w:r>
    </w:p>
    <w:p w14:paraId="00DEBFA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Rozporządzenie Ministra Infrastruktury z dn. 08 listopada 2004 r. w sprawie aprobat technicznych oraz jednostek organizacyjnych upoważnionych do ich wydawania (Dz. U. nr 249, poz. 2497)</w:t>
      </w:r>
    </w:p>
    <w:p w14:paraId="7C6C4B8D"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CIE No. 39.2 1983 </w:t>
      </w:r>
      <w:proofErr w:type="spellStart"/>
      <w:r w:rsidRPr="007D03F5">
        <w:rPr>
          <w:rFonts w:asciiTheme="minorHAnsi" w:hAnsiTheme="minorHAnsi"/>
          <w:sz w:val="16"/>
          <w:szCs w:val="16"/>
        </w:rPr>
        <w:t>Recommendations</w:t>
      </w:r>
      <w:proofErr w:type="spellEnd"/>
      <w:r w:rsidRPr="007D03F5">
        <w:rPr>
          <w:rFonts w:asciiTheme="minorHAnsi" w:hAnsiTheme="minorHAnsi"/>
          <w:sz w:val="16"/>
          <w:szCs w:val="16"/>
        </w:rPr>
        <w:t xml:space="preserve"> for </w:t>
      </w:r>
      <w:proofErr w:type="spellStart"/>
      <w:r w:rsidRPr="007D03F5">
        <w:rPr>
          <w:rFonts w:asciiTheme="minorHAnsi" w:hAnsiTheme="minorHAnsi"/>
          <w:sz w:val="16"/>
          <w:szCs w:val="16"/>
        </w:rPr>
        <w:t>surface</w:t>
      </w:r>
      <w:proofErr w:type="spellEnd"/>
      <w:r w:rsidRPr="007D03F5">
        <w:rPr>
          <w:rFonts w:asciiTheme="minorHAnsi" w:hAnsiTheme="minorHAnsi"/>
          <w:sz w:val="16"/>
          <w:szCs w:val="16"/>
        </w:rPr>
        <w:t xml:space="preserve"> </w:t>
      </w:r>
      <w:proofErr w:type="spellStart"/>
      <w:r w:rsidRPr="007D03F5">
        <w:rPr>
          <w:rFonts w:asciiTheme="minorHAnsi" w:hAnsiTheme="minorHAnsi"/>
          <w:sz w:val="16"/>
          <w:szCs w:val="16"/>
        </w:rPr>
        <w:t>colours</w:t>
      </w:r>
      <w:proofErr w:type="spellEnd"/>
      <w:r w:rsidRPr="007D03F5">
        <w:rPr>
          <w:rFonts w:asciiTheme="minorHAnsi" w:hAnsiTheme="minorHAnsi"/>
          <w:sz w:val="16"/>
          <w:szCs w:val="16"/>
        </w:rPr>
        <w:t xml:space="preserve"> for </w:t>
      </w:r>
      <w:proofErr w:type="spellStart"/>
      <w:r w:rsidRPr="007D03F5">
        <w:rPr>
          <w:rFonts w:asciiTheme="minorHAnsi" w:hAnsiTheme="minorHAnsi"/>
          <w:sz w:val="16"/>
          <w:szCs w:val="16"/>
        </w:rPr>
        <w:t>visual</w:t>
      </w:r>
      <w:proofErr w:type="spellEnd"/>
      <w:r w:rsidRPr="007D03F5">
        <w:rPr>
          <w:rFonts w:asciiTheme="minorHAnsi" w:hAnsiTheme="minorHAnsi"/>
          <w:sz w:val="16"/>
          <w:szCs w:val="16"/>
        </w:rPr>
        <w:t xml:space="preserve"> </w:t>
      </w:r>
      <w:proofErr w:type="spellStart"/>
      <w:r w:rsidRPr="007D03F5">
        <w:rPr>
          <w:rFonts w:asciiTheme="minorHAnsi" w:hAnsiTheme="minorHAnsi"/>
          <w:sz w:val="16"/>
          <w:szCs w:val="16"/>
        </w:rPr>
        <w:t>signalling</w:t>
      </w:r>
      <w:proofErr w:type="spellEnd"/>
      <w:r w:rsidRPr="007D03F5">
        <w:rPr>
          <w:rFonts w:asciiTheme="minorHAnsi" w:hAnsiTheme="minorHAnsi"/>
          <w:sz w:val="16"/>
          <w:szCs w:val="16"/>
        </w:rPr>
        <w:t xml:space="preserve"> (Zalecenia dla barw powierzchniowych sygnalizacji wizualnej)</w:t>
      </w:r>
    </w:p>
    <w:p w14:paraId="619B5C27"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CIE No. 54 </w:t>
      </w:r>
      <w:proofErr w:type="spellStart"/>
      <w:r w:rsidRPr="007D03F5">
        <w:rPr>
          <w:rFonts w:asciiTheme="minorHAnsi" w:hAnsiTheme="minorHAnsi"/>
          <w:sz w:val="16"/>
          <w:szCs w:val="16"/>
        </w:rPr>
        <w:t>Retroreflection</w:t>
      </w:r>
      <w:proofErr w:type="spellEnd"/>
      <w:r w:rsidRPr="007D03F5">
        <w:rPr>
          <w:rFonts w:asciiTheme="minorHAnsi" w:hAnsiTheme="minorHAnsi"/>
          <w:sz w:val="16"/>
          <w:szCs w:val="16"/>
        </w:rPr>
        <w:t xml:space="preserve"> </w:t>
      </w:r>
      <w:proofErr w:type="spellStart"/>
      <w:r w:rsidRPr="007D03F5">
        <w:rPr>
          <w:rFonts w:asciiTheme="minorHAnsi" w:hAnsiTheme="minorHAnsi"/>
          <w:sz w:val="16"/>
          <w:szCs w:val="16"/>
        </w:rPr>
        <w:t>definition</w:t>
      </w:r>
      <w:proofErr w:type="spellEnd"/>
      <w:r w:rsidRPr="007D03F5">
        <w:rPr>
          <w:rFonts w:asciiTheme="minorHAnsi" w:hAnsiTheme="minorHAnsi"/>
          <w:sz w:val="16"/>
          <w:szCs w:val="16"/>
        </w:rPr>
        <w:t xml:space="preserve"> and </w:t>
      </w:r>
      <w:proofErr w:type="spellStart"/>
      <w:r w:rsidRPr="007D03F5">
        <w:rPr>
          <w:rFonts w:asciiTheme="minorHAnsi" w:hAnsiTheme="minorHAnsi"/>
          <w:sz w:val="16"/>
          <w:szCs w:val="16"/>
        </w:rPr>
        <w:t>measurement</w:t>
      </w:r>
      <w:proofErr w:type="spellEnd"/>
      <w:r w:rsidRPr="007D03F5">
        <w:rPr>
          <w:rFonts w:asciiTheme="minorHAnsi" w:hAnsiTheme="minorHAnsi"/>
          <w:sz w:val="16"/>
          <w:szCs w:val="16"/>
        </w:rPr>
        <w:t xml:space="preserve"> (Powierzchniowy współczynnik odblasku definicja i pomiary)</w:t>
      </w:r>
    </w:p>
    <w:p w14:paraId="202B3A2F"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Ustawa z dnia 16 kwietnia 2004 r. o wyrobach budowlanych ( Dz. U. nr 92, poz. 881)</w:t>
      </w:r>
    </w:p>
    <w:p w14:paraId="3563D3C6" w14:textId="77777777" w:rsidR="00FC4BA0" w:rsidRPr="007D03F5" w:rsidRDefault="00FC4BA0" w:rsidP="00FC4BA0">
      <w:pPr>
        <w:pStyle w:val="Pro-Inwest"/>
        <w:jc w:val="both"/>
        <w:rPr>
          <w:rFonts w:asciiTheme="minorHAnsi" w:hAnsiTheme="minorHAnsi"/>
          <w:sz w:val="16"/>
          <w:szCs w:val="16"/>
        </w:rPr>
      </w:pPr>
      <w:r w:rsidRPr="007D03F5">
        <w:rPr>
          <w:rFonts w:asciiTheme="minorHAnsi" w:hAnsiTheme="minorHAnsi"/>
          <w:sz w:val="16"/>
          <w:szCs w:val="16"/>
        </w:rPr>
        <w:t xml:space="preserve">Stałe odblaskowe znaki drogowe i urządzenia bezpieczeństwa ruchu drogowego. Zalecenia </w:t>
      </w:r>
      <w:proofErr w:type="spellStart"/>
      <w:r w:rsidRPr="007D03F5">
        <w:rPr>
          <w:rFonts w:asciiTheme="minorHAnsi" w:hAnsiTheme="minorHAnsi"/>
          <w:sz w:val="16"/>
          <w:szCs w:val="16"/>
        </w:rPr>
        <w:t>IBDiM</w:t>
      </w:r>
      <w:proofErr w:type="spellEnd"/>
      <w:r w:rsidRPr="007D03F5">
        <w:rPr>
          <w:rFonts w:asciiTheme="minorHAnsi" w:hAnsiTheme="minorHAnsi"/>
          <w:sz w:val="16"/>
          <w:szCs w:val="16"/>
        </w:rPr>
        <w:t xml:space="preserve"> do udzielania aprobat technicznych nr Z/2005-03-009</w:t>
      </w:r>
    </w:p>
    <w:p w14:paraId="51C01D55" w14:textId="77777777" w:rsidR="00FC4BA0" w:rsidRPr="007D03F5" w:rsidRDefault="00FC4BA0" w:rsidP="00FC4BA0">
      <w:pPr>
        <w:pStyle w:val="Pro-Inwest"/>
        <w:jc w:val="both"/>
        <w:rPr>
          <w:sz w:val="16"/>
          <w:szCs w:val="16"/>
          <w:lang w:eastAsia="pl-PL"/>
        </w:rPr>
      </w:pPr>
      <w:r w:rsidRPr="007D03F5">
        <w:rPr>
          <w:sz w:val="16"/>
          <w:szCs w:val="16"/>
          <w:lang w:eastAsia="pl-PL"/>
        </w:rPr>
        <w:t>               </w:t>
      </w:r>
    </w:p>
    <w:p w14:paraId="52322DE1" w14:textId="77777777" w:rsidR="00FC4BA0" w:rsidRPr="007D03F5" w:rsidRDefault="00FC4BA0" w:rsidP="00FC4BA0">
      <w:pPr>
        <w:pStyle w:val="Pro-Inwest"/>
        <w:spacing w:line="240" w:lineRule="auto"/>
        <w:jc w:val="both"/>
        <w:rPr>
          <w:b/>
          <w:sz w:val="16"/>
          <w:szCs w:val="16"/>
        </w:rPr>
      </w:pPr>
    </w:p>
    <w:p w14:paraId="6A16EF12" w14:textId="77777777" w:rsidR="00830BB8" w:rsidRPr="007D03F5" w:rsidRDefault="00830BB8" w:rsidP="0089162B">
      <w:pPr>
        <w:pStyle w:val="Pro-Inwest"/>
        <w:spacing w:line="240" w:lineRule="auto"/>
        <w:jc w:val="both"/>
        <w:rPr>
          <w:rFonts w:asciiTheme="minorHAnsi" w:hAnsiTheme="minorHAnsi"/>
          <w:b/>
          <w:sz w:val="16"/>
          <w:szCs w:val="16"/>
        </w:rPr>
      </w:pPr>
    </w:p>
    <w:p w14:paraId="0CDE79AE" w14:textId="77777777" w:rsidR="00830BB8" w:rsidRPr="007D03F5" w:rsidRDefault="00830BB8" w:rsidP="0089162B">
      <w:pPr>
        <w:pStyle w:val="Pro-Inwest"/>
        <w:spacing w:line="240" w:lineRule="auto"/>
        <w:jc w:val="both"/>
        <w:rPr>
          <w:rFonts w:asciiTheme="minorHAnsi" w:hAnsiTheme="minorHAnsi"/>
          <w:b/>
          <w:sz w:val="16"/>
          <w:szCs w:val="16"/>
        </w:rPr>
      </w:pPr>
    </w:p>
    <w:p w14:paraId="4DEED084" w14:textId="77777777" w:rsidR="005C229F" w:rsidRPr="007D03F5" w:rsidRDefault="005C229F" w:rsidP="0089162B">
      <w:pPr>
        <w:pStyle w:val="Pro-Inwest"/>
        <w:spacing w:line="240" w:lineRule="auto"/>
        <w:jc w:val="both"/>
        <w:rPr>
          <w:rFonts w:asciiTheme="minorHAnsi" w:hAnsiTheme="minorHAnsi"/>
          <w:b/>
          <w:sz w:val="16"/>
          <w:szCs w:val="16"/>
        </w:rPr>
      </w:pPr>
    </w:p>
    <w:p w14:paraId="5DC23CA8" w14:textId="77777777" w:rsidR="005C229F" w:rsidRPr="007D03F5" w:rsidRDefault="005C229F" w:rsidP="0089162B">
      <w:pPr>
        <w:pStyle w:val="Pro-Inwest"/>
        <w:spacing w:line="240" w:lineRule="auto"/>
        <w:jc w:val="both"/>
        <w:rPr>
          <w:rFonts w:asciiTheme="minorHAnsi" w:hAnsiTheme="minorHAnsi"/>
          <w:b/>
          <w:sz w:val="16"/>
          <w:szCs w:val="16"/>
        </w:rPr>
      </w:pPr>
    </w:p>
    <w:p w14:paraId="7F9DD7AA" w14:textId="77777777" w:rsidR="005C229F" w:rsidRPr="007D03F5" w:rsidRDefault="005C229F" w:rsidP="0089162B">
      <w:pPr>
        <w:pStyle w:val="Pro-Inwest"/>
        <w:spacing w:line="240" w:lineRule="auto"/>
        <w:jc w:val="both"/>
        <w:rPr>
          <w:rFonts w:asciiTheme="minorHAnsi" w:hAnsiTheme="minorHAnsi"/>
          <w:b/>
          <w:sz w:val="16"/>
          <w:szCs w:val="16"/>
        </w:rPr>
      </w:pPr>
    </w:p>
    <w:p w14:paraId="65677E68" w14:textId="77777777" w:rsidR="005C229F" w:rsidRPr="007D03F5" w:rsidRDefault="005C229F" w:rsidP="0089162B">
      <w:pPr>
        <w:pStyle w:val="Pro-Inwest"/>
        <w:spacing w:line="240" w:lineRule="auto"/>
        <w:jc w:val="both"/>
        <w:rPr>
          <w:rFonts w:asciiTheme="minorHAnsi" w:hAnsiTheme="minorHAnsi"/>
          <w:b/>
          <w:sz w:val="16"/>
          <w:szCs w:val="16"/>
        </w:rPr>
      </w:pPr>
    </w:p>
    <w:p w14:paraId="4E693A1E" w14:textId="77777777" w:rsidR="005C229F" w:rsidRPr="007D03F5" w:rsidRDefault="005C229F" w:rsidP="0089162B">
      <w:pPr>
        <w:pStyle w:val="Pro-Inwest"/>
        <w:spacing w:line="240" w:lineRule="auto"/>
        <w:jc w:val="both"/>
        <w:rPr>
          <w:rFonts w:asciiTheme="minorHAnsi" w:hAnsiTheme="minorHAnsi"/>
          <w:b/>
          <w:sz w:val="16"/>
          <w:szCs w:val="16"/>
        </w:rPr>
      </w:pPr>
    </w:p>
    <w:p w14:paraId="35E75EAD" w14:textId="77777777" w:rsidR="005C229F" w:rsidRPr="007D03F5" w:rsidRDefault="005C229F" w:rsidP="0089162B">
      <w:pPr>
        <w:pStyle w:val="Pro-Inwest"/>
        <w:spacing w:line="240" w:lineRule="auto"/>
        <w:jc w:val="both"/>
        <w:rPr>
          <w:rFonts w:asciiTheme="minorHAnsi" w:hAnsiTheme="minorHAnsi"/>
          <w:b/>
          <w:sz w:val="16"/>
          <w:szCs w:val="16"/>
        </w:rPr>
      </w:pPr>
    </w:p>
    <w:p w14:paraId="0827DB28" w14:textId="77777777" w:rsidR="005C229F" w:rsidRPr="007D03F5" w:rsidRDefault="005C229F" w:rsidP="0089162B">
      <w:pPr>
        <w:pStyle w:val="Pro-Inwest"/>
        <w:spacing w:line="240" w:lineRule="auto"/>
        <w:jc w:val="both"/>
        <w:rPr>
          <w:rFonts w:asciiTheme="minorHAnsi" w:hAnsiTheme="minorHAnsi"/>
          <w:b/>
          <w:sz w:val="16"/>
          <w:szCs w:val="16"/>
        </w:rPr>
      </w:pPr>
    </w:p>
    <w:p w14:paraId="7C0F4BDE"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71DE88A5"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012D0BAB"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38255DFD"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0C93759A"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101346DA"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4E91CB9F"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4A3D75F7"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32E37174"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5A84381F"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1D69D3F5"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7FF5178C"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789542E0"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113396AB"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0327EB60"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2D7D7FC4"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429B5D65"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5D5AB857"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7C5EDAD6"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5DFE3FE6"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7DE633A4"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035819A9"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65DD1E44"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6EDF078B"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7D314E76"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679C0584"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678C9482"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172A2D39"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4815B00F"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03100CD0"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19C8477B"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336AEAD7"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27C00A95"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0D62ACC1"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1D8A2B8D"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58B585FB"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46E1CC25"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5F6178BD" w14:textId="77777777" w:rsidR="005C229F" w:rsidRPr="00021789" w:rsidRDefault="005C229F" w:rsidP="0089162B">
      <w:pPr>
        <w:pStyle w:val="Pro-Inwest"/>
        <w:spacing w:line="240" w:lineRule="auto"/>
        <w:jc w:val="both"/>
        <w:rPr>
          <w:rFonts w:asciiTheme="minorHAnsi" w:hAnsiTheme="minorHAnsi"/>
          <w:b/>
          <w:color w:val="FF0000"/>
          <w:sz w:val="16"/>
          <w:szCs w:val="16"/>
        </w:rPr>
      </w:pPr>
    </w:p>
    <w:p w14:paraId="3961C792" w14:textId="77777777" w:rsidR="00830BB8" w:rsidRPr="00021789" w:rsidRDefault="00830BB8" w:rsidP="0089162B">
      <w:pPr>
        <w:pStyle w:val="Pro-Inwest"/>
        <w:spacing w:line="240" w:lineRule="auto"/>
        <w:jc w:val="both"/>
        <w:rPr>
          <w:rFonts w:asciiTheme="minorHAnsi" w:hAnsiTheme="minorHAnsi"/>
          <w:b/>
          <w:color w:val="FF0000"/>
          <w:sz w:val="16"/>
          <w:szCs w:val="16"/>
        </w:rPr>
      </w:pPr>
    </w:p>
    <w:p w14:paraId="77320EDE" w14:textId="77777777" w:rsidR="00CD0E13" w:rsidRPr="007D03F5" w:rsidRDefault="005838C6" w:rsidP="00CD0E13">
      <w:pPr>
        <w:pStyle w:val="Pro-Inwest"/>
        <w:jc w:val="both"/>
        <w:rPr>
          <w:rFonts w:asciiTheme="minorHAnsi" w:hAnsiTheme="minorHAnsi"/>
          <w:b/>
          <w:sz w:val="18"/>
          <w:szCs w:val="18"/>
          <w:lang w:eastAsia="pl-PL"/>
        </w:rPr>
      </w:pPr>
      <w:r w:rsidRPr="007D03F5">
        <w:rPr>
          <w:rStyle w:val="Nagwek1Znak"/>
          <w:rFonts w:asciiTheme="minorHAnsi" w:hAnsiTheme="minorHAnsi"/>
          <w:sz w:val="18"/>
          <w:szCs w:val="18"/>
        </w:rPr>
        <w:lastRenderedPageBreak/>
        <w:t>D.08.00.00</w:t>
      </w:r>
      <w:r w:rsidR="00CD0E13" w:rsidRPr="007D03F5">
        <w:rPr>
          <w:rFonts w:asciiTheme="minorHAnsi" w:hAnsiTheme="minorHAnsi"/>
          <w:b/>
          <w:sz w:val="18"/>
          <w:szCs w:val="18"/>
          <w:lang w:eastAsia="pl-PL"/>
        </w:rPr>
        <w:t> </w:t>
      </w:r>
      <w:r w:rsidRPr="007D03F5">
        <w:rPr>
          <w:rFonts w:asciiTheme="minorHAnsi" w:hAnsiTheme="minorHAnsi"/>
          <w:b/>
          <w:sz w:val="18"/>
          <w:szCs w:val="18"/>
        </w:rPr>
        <w:t>ELEMENTY ULIC</w:t>
      </w:r>
    </w:p>
    <w:p w14:paraId="43BDA770" w14:textId="77777777" w:rsidR="00AC7A84" w:rsidRPr="007D03F5" w:rsidRDefault="00AC7A84" w:rsidP="00AC7A84">
      <w:pPr>
        <w:pStyle w:val="Pro-Inwest"/>
        <w:jc w:val="both"/>
        <w:rPr>
          <w:rFonts w:asciiTheme="minorHAnsi" w:hAnsiTheme="minorHAnsi"/>
          <w:b/>
          <w:sz w:val="16"/>
          <w:szCs w:val="16"/>
          <w:lang w:eastAsia="pl-PL"/>
        </w:rPr>
      </w:pPr>
      <w:r w:rsidRPr="007D03F5">
        <w:rPr>
          <w:rFonts w:asciiTheme="minorHAnsi" w:hAnsiTheme="minorHAnsi"/>
          <w:b/>
          <w:bCs/>
          <w:sz w:val="16"/>
          <w:szCs w:val="16"/>
          <w:lang w:eastAsia="pl-PL"/>
        </w:rPr>
        <w:t>D.08.01.02</w:t>
      </w:r>
      <w:r w:rsidRPr="007D03F5">
        <w:rPr>
          <w:rFonts w:asciiTheme="minorHAnsi" w:hAnsiTheme="minorHAnsi"/>
          <w:b/>
          <w:sz w:val="16"/>
          <w:szCs w:val="16"/>
          <w:lang w:eastAsia="pl-PL"/>
        </w:rPr>
        <w:t xml:space="preserve"> KRAWĘŻNIKI I OPORNIKI GRANITOWE</w:t>
      </w:r>
    </w:p>
    <w:p w14:paraId="5DCD4AC1"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1. Wstęp</w:t>
      </w:r>
    </w:p>
    <w:p w14:paraId="27B9AA80"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 xml:space="preserve">1.1. Przedmiot </w:t>
      </w:r>
      <w:proofErr w:type="spellStart"/>
      <w:r w:rsidRPr="007D03F5">
        <w:rPr>
          <w:rFonts w:asciiTheme="minorHAnsi" w:eastAsiaTheme="minorHAnsi" w:hAnsiTheme="minorHAnsi" w:cstheme="minorBidi"/>
          <w:b/>
          <w:bCs/>
          <w:sz w:val="16"/>
          <w:szCs w:val="16"/>
        </w:rPr>
        <w:t>STWiORB</w:t>
      </w:r>
      <w:proofErr w:type="spellEnd"/>
    </w:p>
    <w:p w14:paraId="18CEC8EB" w14:textId="54DC0EF3" w:rsidR="00AC7A84" w:rsidRPr="007D03F5" w:rsidRDefault="00AC7A84" w:rsidP="00AC7A84">
      <w:pPr>
        <w:pStyle w:val="western"/>
        <w:spacing w:before="0" w:beforeAutospacing="0"/>
        <w:jc w:val="both"/>
        <w:rPr>
          <w:rFonts w:asciiTheme="minorHAnsi" w:eastAsiaTheme="minorHAnsi" w:hAnsiTheme="minorHAnsi" w:cstheme="minorHAnsi"/>
          <w:sz w:val="16"/>
          <w:szCs w:val="16"/>
        </w:rPr>
      </w:pPr>
      <w:r w:rsidRPr="007D03F5">
        <w:rPr>
          <w:rFonts w:asciiTheme="minorHAnsi" w:eastAsiaTheme="minorHAnsi" w:hAnsiTheme="minorHAnsi" w:cstheme="minorBidi"/>
          <w:sz w:val="16"/>
          <w:szCs w:val="16"/>
        </w:rPr>
        <w:t xml:space="preserve">Przedmiotem niniejszej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są wymagania ogólne dotyczące wykonania krawężników i oporników granitowych przy realizacji robót </w:t>
      </w:r>
      <w:r w:rsidRPr="007D03F5">
        <w:rPr>
          <w:rFonts w:asciiTheme="minorHAnsi" w:eastAsiaTheme="minorHAnsi" w:hAnsiTheme="minorHAnsi" w:cstheme="minorHAnsi"/>
          <w:sz w:val="16"/>
          <w:szCs w:val="16"/>
        </w:rPr>
        <w:t xml:space="preserve">drogowych </w:t>
      </w:r>
      <w:r w:rsidRPr="007D03F5">
        <w:rPr>
          <w:rFonts w:asciiTheme="minorHAnsi" w:hAnsiTheme="minorHAnsi" w:cstheme="minorHAnsi"/>
          <w:sz w:val="16"/>
          <w:szCs w:val="16"/>
        </w:rPr>
        <w:t>dla opracowania dokumentacji projektowej dla zadania o nazwie „</w:t>
      </w:r>
      <w:r w:rsidR="00962978" w:rsidRPr="007D03F5">
        <w:rPr>
          <w:rFonts w:asciiTheme="minorHAnsi" w:hAnsiTheme="minorHAnsi" w:cstheme="minorHAnsi"/>
          <w:sz w:val="16"/>
          <w:szCs w:val="16"/>
        </w:rPr>
        <w:t>Przebudowa, rozbudowa i remont budynku Uniwersytetu Łódzkiego przy ul. Sienkiewicza 21 w Łodzi, wraz ze zmianą jego sposobu użytkowania z funkcji dydaktycznej  na budynek usługowy</w:t>
      </w:r>
      <w:r w:rsidR="00962978" w:rsidRPr="007D03F5">
        <w:rPr>
          <w:rFonts w:asciiTheme="minorHAnsi" w:hAnsiTheme="minorHAnsi" w:cstheme="minorHAnsi"/>
          <w:sz w:val="16"/>
          <w:szCs w:val="16"/>
        </w:rPr>
        <w:br/>
        <w:t>o funkcji nauki i kultury z częścią o funkcji zamieszkania zbiorowego(centrum kultury z pokojami gościnnymi) rozbiórką balkonów i schodów zewnętrznych wraz z zadaszeniem, oraz wykonaniem ocieplenia elewacji północnej oraz zachodniej, budową szklanego świetlika nad dziedzińcem wewnętrznym oraz realizacją niezbędnej infrastruktury technicznej i zagospodarowania terenu”. Inwestorem przedsięwzięcia jest Uniwersytet Łódzki, ul. Narutowicza 68 , 90-136 Łódź.</w:t>
      </w:r>
    </w:p>
    <w:p w14:paraId="4FFE9FBC" w14:textId="77777777" w:rsidR="00AC7A84" w:rsidRPr="007D03F5" w:rsidRDefault="00AC7A84" w:rsidP="00AC7A84">
      <w:pPr>
        <w:pStyle w:val="western"/>
        <w:spacing w:before="0" w:beforeAutospacing="0"/>
        <w:jc w:val="both"/>
        <w:rPr>
          <w:rFonts w:asciiTheme="minorHAnsi" w:eastAsiaTheme="minorHAnsi" w:hAnsiTheme="minorHAnsi" w:cstheme="minorHAnsi"/>
          <w:b/>
          <w:bCs/>
          <w:sz w:val="16"/>
          <w:szCs w:val="16"/>
        </w:rPr>
      </w:pPr>
      <w:r w:rsidRPr="007D03F5">
        <w:rPr>
          <w:rFonts w:asciiTheme="minorHAnsi" w:eastAsiaTheme="minorHAnsi" w:hAnsiTheme="minorHAnsi" w:cstheme="minorHAnsi"/>
          <w:b/>
          <w:bCs/>
          <w:sz w:val="16"/>
          <w:szCs w:val="16"/>
        </w:rPr>
        <w:t xml:space="preserve">1.2. Zakres stosowania </w:t>
      </w:r>
      <w:proofErr w:type="spellStart"/>
      <w:r w:rsidRPr="007D03F5">
        <w:rPr>
          <w:rFonts w:asciiTheme="minorHAnsi" w:eastAsiaTheme="minorHAnsi" w:hAnsiTheme="minorHAnsi" w:cstheme="minorHAnsi"/>
          <w:b/>
          <w:bCs/>
          <w:sz w:val="16"/>
          <w:szCs w:val="16"/>
        </w:rPr>
        <w:t>STWiORB</w:t>
      </w:r>
      <w:proofErr w:type="spellEnd"/>
    </w:p>
    <w:p w14:paraId="7642CA42"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STWIORB jest stosowana jako Dokument Przetargowy i Kontraktowy przy zlecaniu i realizacji Robót wymienionych w punkcie 1.1.</w:t>
      </w:r>
    </w:p>
    <w:p w14:paraId="7B563372"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 xml:space="preserve">1.3. Zakres Robót objętych </w:t>
      </w:r>
      <w:proofErr w:type="spellStart"/>
      <w:r w:rsidRPr="007D03F5">
        <w:rPr>
          <w:rFonts w:asciiTheme="minorHAnsi" w:eastAsiaTheme="minorHAnsi" w:hAnsiTheme="minorHAnsi" w:cstheme="minorBidi"/>
          <w:b/>
          <w:bCs/>
          <w:sz w:val="16"/>
          <w:szCs w:val="16"/>
        </w:rPr>
        <w:t>STWiORB</w:t>
      </w:r>
      <w:proofErr w:type="spellEnd"/>
      <w:r w:rsidRPr="007D03F5">
        <w:rPr>
          <w:rFonts w:asciiTheme="minorHAnsi" w:eastAsiaTheme="minorHAnsi" w:hAnsiTheme="minorHAnsi" w:cstheme="minorBidi"/>
          <w:b/>
          <w:bCs/>
          <w:sz w:val="16"/>
          <w:szCs w:val="16"/>
        </w:rPr>
        <w:t xml:space="preserve"> </w:t>
      </w:r>
    </w:p>
    <w:p w14:paraId="350084CA" w14:textId="26ABC74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Roboty, których dotyczy specyfikacja obejmują wszystkie czynności umożliwiające i mające na celu wykonanie, kontrolę i odbiór </w:t>
      </w:r>
      <w:r w:rsidR="00962978" w:rsidRPr="007D03F5">
        <w:rPr>
          <w:rFonts w:asciiTheme="minorHAnsi" w:eastAsiaTheme="minorHAnsi" w:hAnsiTheme="minorHAnsi" w:cstheme="minorBidi"/>
          <w:sz w:val="16"/>
          <w:szCs w:val="16"/>
        </w:rPr>
        <w:t>oporników</w:t>
      </w:r>
      <w:r w:rsidRPr="007D03F5">
        <w:rPr>
          <w:rFonts w:asciiTheme="minorHAnsi" w:eastAsiaTheme="minorHAnsi" w:hAnsiTheme="minorHAnsi" w:cstheme="minorBidi"/>
          <w:sz w:val="16"/>
          <w:szCs w:val="16"/>
        </w:rPr>
        <w:t xml:space="preserve"> granitowych 15x30cm na ławie betonowej z oporem z betonu C12/15</w:t>
      </w:r>
    </w:p>
    <w:p w14:paraId="6FF31445"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Roboty towarzyszące:</w:t>
      </w:r>
    </w:p>
    <w:p w14:paraId="5B5D8191"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oznakowanie robót</w:t>
      </w:r>
    </w:p>
    <w:p w14:paraId="2D408419"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1.4. Określenia podstawowe</w:t>
      </w:r>
    </w:p>
    <w:p w14:paraId="1F18868E"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1.4.1. Krawężnik- element długości większej od 300mm,powszechnie stosowany jako obramowanie drogi lub ścieżki.</w:t>
      </w:r>
    </w:p>
    <w:p w14:paraId="0AEEB667"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1.4.2. Krawężnik wklęsły- krawężnik łukowy , z łukiem wklęsłym</w:t>
      </w:r>
    </w:p>
    <w:p w14:paraId="02D84578"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1.4.3. Krawężnik wypukły -krawężnik łukowy , z łukiem wypukłym.</w:t>
      </w:r>
    </w:p>
    <w:p w14:paraId="3DEDBAFA"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1.4.4. Krawężnik z powierzchnią obrabianą -krawężnik o zmodyfikowanej wyglądzie uzyskanym w wyniku jednokrotnej lub wielokrotnej obróbki mechanicznej lub termicznej</w:t>
      </w:r>
    </w:p>
    <w:p w14:paraId="642ACD01"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1.4.5. Powierzchnia z grubą fakturą –powierzchnia po obróbce ,pozwalającej na uzyskanie różnicy pomiędzy wypukłościami i wklęsłościami większymi od 2mm (na przykład przez groszkowanie, obrabianie mechaniczne, śrutowanie lub obróbkę płomieniową)</w:t>
      </w:r>
    </w:p>
    <w:p w14:paraId="59079B71"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1.5. Ogólne wymagania dotyczące Robót</w:t>
      </w:r>
    </w:p>
    <w:p w14:paraId="13E33677"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Ogólne wymagania dotyczące Robót podano w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DM.00.00.00. „Wymagania ogólne” p.1.5.</w:t>
      </w:r>
    </w:p>
    <w:p w14:paraId="0EAD22BD"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231A6648"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2. MATERIAŁY</w:t>
      </w:r>
    </w:p>
    <w:p w14:paraId="46D2A5C8"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2.1. Ogólne wymagania dotyczące materiałów</w:t>
      </w:r>
    </w:p>
    <w:p w14:paraId="1A2ECA64"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Ogólne wymagania dotyczące materiałów, ich pozyskiwania i składowania, podano w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DM.00.00.00 „Wymagania ogólne” p.2</w:t>
      </w:r>
    </w:p>
    <w:p w14:paraId="101724EA"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2.2 Stosowane materiały</w:t>
      </w:r>
    </w:p>
    <w:p w14:paraId="62EFDC87"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Do ustawienia krawężników i oporników na ławie betonowej przewiduje się:</w:t>
      </w:r>
    </w:p>
    <w:p w14:paraId="26EC17BD" w14:textId="035C3CFC"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t>
      </w:r>
      <w:r w:rsidR="00962978" w:rsidRPr="007D03F5">
        <w:rPr>
          <w:rFonts w:asciiTheme="minorHAnsi" w:eastAsiaTheme="minorHAnsi" w:hAnsiTheme="minorHAnsi" w:cstheme="minorBidi"/>
          <w:sz w:val="16"/>
          <w:szCs w:val="16"/>
        </w:rPr>
        <w:t>oporniki</w:t>
      </w:r>
      <w:r w:rsidRPr="007D03F5">
        <w:rPr>
          <w:rFonts w:asciiTheme="minorHAnsi" w:eastAsiaTheme="minorHAnsi" w:hAnsiTheme="minorHAnsi" w:cstheme="minorBidi"/>
          <w:sz w:val="16"/>
          <w:szCs w:val="16"/>
        </w:rPr>
        <w:t xml:space="preserve"> granitowe 15x30x100 zgodnie z normą PN-EN 1343:2013-05,</w:t>
      </w:r>
    </w:p>
    <w:p w14:paraId="4A576854"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−mieszanka betonowa C12/15 na ławę betonową,</w:t>
      </w:r>
    </w:p>
    <w:p w14:paraId="164A40F9"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−woda. </w:t>
      </w:r>
    </w:p>
    <w:p w14:paraId="39AB5DDC"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2.2.1 Krawężniki i oporniki z kamienia naturalnego</w:t>
      </w:r>
    </w:p>
    <w:p w14:paraId="7E3C8CBF"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Wymagania</w:t>
      </w:r>
    </w:p>
    <w:p w14:paraId="73F074B1"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Kamień z którego będą wykonane krawężniki i oporniki powinien spełnić wymagania normy wg PN-EN 1343:2013-05</w:t>
      </w:r>
    </w:p>
    <w:p w14:paraId="6AB9AD7F"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Surowcem do wyrobu krawężnika i opornika powinna być skała granitowa.</w:t>
      </w:r>
    </w:p>
    <w:p w14:paraId="7041E36F"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Wymagane cechy fizyczne i wytrzymałościowe przedstawia tablica poniżej</w:t>
      </w:r>
    </w:p>
    <w:p w14:paraId="2ABF14A8"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tbl>
      <w:tblPr>
        <w:tblStyle w:val="Tabela-Siatka"/>
        <w:tblW w:w="0" w:type="auto"/>
        <w:tblLook w:val="04A0" w:firstRow="1" w:lastRow="0" w:firstColumn="1" w:lastColumn="0" w:noHBand="0" w:noVBand="1"/>
      </w:tblPr>
      <w:tblGrid>
        <w:gridCol w:w="408"/>
        <w:gridCol w:w="4205"/>
        <w:gridCol w:w="2303"/>
        <w:gridCol w:w="2303"/>
      </w:tblGrid>
      <w:tr w:rsidR="007D03F5" w:rsidRPr="007D03F5" w14:paraId="6F9F4095" w14:textId="77777777" w:rsidTr="00CF35EE">
        <w:tc>
          <w:tcPr>
            <w:tcW w:w="401" w:type="dxa"/>
          </w:tcPr>
          <w:p w14:paraId="7F884A44"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Lp.</w:t>
            </w:r>
          </w:p>
        </w:tc>
        <w:tc>
          <w:tcPr>
            <w:tcW w:w="4205" w:type="dxa"/>
          </w:tcPr>
          <w:p w14:paraId="2A961FB8"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Cechy fizyczne i wytrzymałościowe</w:t>
            </w:r>
          </w:p>
        </w:tc>
        <w:tc>
          <w:tcPr>
            <w:tcW w:w="2303" w:type="dxa"/>
          </w:tcPr>
          <w:p w14:paraId="5C4BA9FD"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Wymagania</w:t>
            </w:r>
          </w:p>
        </w:tc>
        <w:tc>
          <w:tcPr>
            <w:tcW w:w="2303" w:type="dxa"/>
          </w:tcPr>
          <w:p w14:paraId="5DC52813"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Badania według</w:t>
            </w:r>
          </w:p>
        </w:tc>
      </w:tr>
      <w:tr w:rsidR="007D03F5" w:rsidRPr="007D03F5" w14:paraId="50E750FE" w14:textId="77777777" w:rsidTr="00CF35EE">
        <w:tc>
          <w:tcPr>
            <w:tcW w:w="401" w:type="dxa"/>
          </w:tcPr>
          <w:p w14:paraId="4B7D929C"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w:t>
            </w:r>
          </w:p>
        </w:tc>
        <w:tc>
          <w:tcPr>
            <w:tcW w:w="4205" w:type="dxa"/>
          </w:tcPr>
          <w:p w14:paraId="2B6E3587"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Wytrzymałość na zginanie (</w:t>
            </w:r>
            <w:proofErr w:type="spellStart"/>
            <w:r w:rsidRPr="007D03F5">
              <w:rPr>
                <w:rFonts w:asciiTheme="minorHAnsi" w:eastAsiaTheme="minorHAnsi" w:hAnsiTheme="minorHAnsi" w:cstheme="minorBidi"/>
                <w:sz w:val="16"/>
                <w:szCs w:val="16"/>
              </w:rPr>
              <w:t>MPa</w:t>
            </w:r>
            <w:proofErr w:type="spellEnd"/>
            <w:r w:rsidRPr="007D03F5">
              <w:rPr>
                <w:rFonts w:asciiTheme="minorHAnsi" w:eastAsiaTheme="minorHAnsi" w:hAnsiTheme="minorHAnsi" w:cstheme="minorBidi"/>
                <w:sz w:val="16"/>
                <w:szCs w:val="16"/>
              </w:rPr>
              <w:t>)</w:t>
            </w:r>
          </w:p>
          <w:p w14:paraId="3E084121"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Obciążenie niszczące 25kN</w:t>
            </w:r>
          </w:p>
        </w:tc>
        <w:tc>
          <w:tcPr>
            <w:tcW w:w="2303" w:type="dxa"/>
          </w:tcPr>
          <w:p w14:paraId="5DB75498"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Wartość</w:t>
            </w:r>
          </w:p>
          <w:p w14:paraId="5D35419B"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deklarowana</w:t>
            </w:r>
          </w:p>
        </w:tc>
        <w:tc>
          <w:tcPr>
            <w:tcW w:w="2303" w:type="dxa"/>
          </w:tcPr>
          <w:p w14:paraId="5F22B0D9"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PN-EN 12372:2010</w:t>
            </w:r>
          </w:p>
        </w:tc>
      </w:tr>
      <w:tr w:rsidR="007D03F5" w:rsidRPr="007D03F5" w14:paraId="593A7B92" w14:textId="77777777" w:rsidTr="00CF35EE">
        <w:tc>
          <w:tcPr>
            <w:tcW w:w="401" w:type="dxa"/>
          </w:tcPr>
          <w:p w14:paraId="551B0A25"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2.</w:t>
            </w:r>
          </w:p>
        </w:tc>
        <w:tc>
          <w:tcPr>
            <w:tcW w:w="4205" w:type="dxa"/>
          </w:tcPr>
          <w:p w14:paraId="09612089"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Nasiąkliwość w %</w:t>
            </w:r>
          </w:p>
        </w:tc>
        <w:tc>
          <w:tcPr>
            <w:tcW w:w="2303" w:type="dxa"/>
          </w:tcPr>
          <w:p w14:paraId="6E29DB3E"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Wartość</w:t>
            </w:r>
          </w:p>
          <w:p w14:paraId="56CCD18F"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Deklarowana</w:t>
            </w:r>
          </w:p>
        </w:tc>
        <w:tc>
          <w:tcPr>
            <w:tcW w:w="2303" w:type="dxa"/>
          </w:tcPr>
          <w:p w14:paraId="0A90347E"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PN-EN 13755:2008</w:t>
            </w:r>
          </w:p>
        </w:tc>
      </w:tr>
      <w:tr w:rsidR="00962978" w:rsidRPr="007D03F5" w14:paraId="4AD02449" w14:textId="77777777" w:rsidTr="00CF35EE">
        <w:tc>
          <w:tcPr>
            <w:tcW w:w="401" w:type="dxa"/>
          </w:tcPr>
          <w:p w14:paraId="33A379EA"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3.</w:t>
            </w:r>
          </w:p>
        </w:tc>
        <w:tc>
          <w:tcPr>
            <w:tcW w:w="4205" w:type="dxa"/>
          </w:tcPr>
          <w:p w14:paraId="2188D2BD"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Odporność na zamrażanie/ rozmrażanie</w:t>
            </w:r>
          </w:p>
        </w:tc>
        <w:tc>
          <w:tcPr>
            <w:tcW w:w="2303" w:type="dxa"/>
          </w:tcPr>
          <w:p w14:paraId="19095023"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Klasa</w:t>
            </w:r>
          </w:p>
          <w:p w14:paraId="15542064"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F1, odporne (≤20% zmiany w wytrzymałości na ściskanie)</w:t>
            </w:r>
          </w:p>
        </w:tc>
        <w:tc>
          <w:tcPr>
            <w:tcW w:w="2303" w:type="dxa"/>
          </w:tcPr>
          <w:p w14:paraId="576B4F5A"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PN-EN 12371:2010</w:t>
            </w:r>
          </w:p>
        </w:tc>
      </w:tr>
    </w:tbl>
    <w:p w14:paraId="2E0CD046"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3C9ED968"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2.2.2 Dopuszczalne odchyłki</w:t>
      </w:r>
    </w:p>
    <w:p w14:paraId="35074BAA"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Odchyłki od nominalnej całkowitej szerokości i wysokości</w:t>
      </w:r>
    </w:p>
    <w:tbl>
      <w:tblPr>
        <w:tblStyle w:val="Tabela-Siatka"/>
        <w:tblW w:w="0" w:type="auto"/>
        <w:tblLook w:val="04A0" w:firstRow="1" w:lastRow="0" w:firstColumn="1" w:lastColumn="0" w:noHBand="0" w:noVBand="1"/>
      </w:tblPr>
      <w:tblGrid>
        <w:gridCol w:w="3070"/>
        <w:gridCol w:w="3071"/>
        <w:gridCol w:w="3071"/>
      </w:tblGrid>
      <w:tr w:rsidR="007D03F5" w:rsidRPr="007D03F5" w14:paraId="12514211" w14:textId="77777777" w:rsidTr="00CF35EE">
        <w:tc>
          <w:tcPr>
            <w:tcW w:w="3070" w:type="dxa"/>
          </w:tcPr>
          <w:p w14:paraId="73EE8D46"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Położenie</w:t>
            </w:r>
          </w:p>
        </w:tc>
        <w:tc>
          <w:tcPr>
            <w:tcW w:w="3071" w:type="dxa"/>
          </w:tcPr>
          <w:p w14:paraId="21AEB270"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Szerokość</w:t>
            </w:r>
          </w:p>
        </w:tc>
        <w:tc>
          <w:tcPr>
            <w:tcW w:w="3071" w:type="dxa"/>
          </w:tcPr>
          <w:p w14:paraId="46003DD7"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Wysokość</w:t>
            </w:r>
          </w:p>
        </w:tc>
      </w:tr>
      <w:tr w:rsidR="007D03F5" w:rsidRPr="007D03F5" w14:paraId="404CB853" w14:textId="77777777" w:rsidTr="00CF35EE">
        <w:tc>
          <w:tcPr>
            <w:tcW w:w="3070" w:type="dxa"/>
          </w:tcPr>
          <w:p w14:paraId="52603B4D"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p>
        </w:tc>
        <w:tc>
          <w:tcPr>
            <w:tcW w:w="3071" w:type="dxa"/>
          </w:tcPr>
          <w:p w14:paraId="50CFCA7E"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p>
        </w:tc>
        <w:tc>
          <w:tcPr>
            <w:tcW w:w="3071" w:type="dxa"/>
          </w:tcPr>
          <w:p w14:paraId="4E983597"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Klasa I</w:t>
            </w:r>
          </w:p>
        </w:tc>
      </w:tr>
      <w:tr w:rsidR="007D03F5" w:rsidRPr="007D03F5" w14:paraId="53784D6A" w14:textId="77777777" w:rsidTr="00CF35EE">
        <w:tc>
          <w:tcPr>
            <w:tcW w:w="3070" w:type="dxa"/>
          </w:tcPr>
          <w:p w14:paraId="5A481327"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Oznaczenie znakiem</w:t>
            </w:r>
          </w:p>
        </w:tc>
        <w:tc>
          <w:tcPr>
            <w:tcW w:w="3071" w:type="dxa"/>
          </w:tcPr>
          <w:p w14:paraId="1A13B88E"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p>
        </w:tc>
        <w:tc>
          <w:tcPr>
            <w:tcW w:w="3071" w:type="dxa"/>
          </w:tcPr>
          <w:p w14:paraId="019BDCF5"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H1</w:t>
            </w:r>
          </w:p>
        </w:tc>
      </w:tr>
      <w:tr w:rsidR="007D03F5" w:rsidRPr="007D03F5" w14:paraId="0B4DE3BE" w14:textId="77777777" w:rsidTr="00CF35EE">
        <w:tc>
          <w:tcPr>
            <w:tcW w:w="3070" w:type="dxa"/>
          </w:tcPr>
          <w:p w14:paraId="493EAE01"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Pomiędzy dwoma powierzchniami ciosanymi</w:t>
            </w:r>
          </w:p>
        </w:tc>
        <w:tc>
          <w:tcPr>
            <w:tcW w:w="3071" w:type="dxa"/>
          </w:tcPr>
          <w:p w14:paraId="04A64125"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±10mm</w:t>
            </w:r>
          </w:p>
        </w:tc>
        <w:tc>
          <w:tcPr>
            <w:tcW w:w="3071" w:type="dxa"/>
          </w:tcPr>
          <w:p w14:paraId="791DE7AD"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±30mm</w:t>
            </w:r>
          </w:p>
        </w:tc>
      </w:tr>
      <w:tr w:rsidR="007D03F5" w:rsidRPr="007D03F5" w14:paraId="7A3E7A13" w14:textId="77777777" w:rsidTr="00CF35EE">
        <w:tc>
          <w:tcPr>
            <w:tcW w:w="3070" w:type="dxa"/>
          </w:tcPr>
          <w:p w14:paraId="4626A84B"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Pomiędzy powierzchniami obrabianą i ciosaną</w:t>
            </w:r>
          </w:p>
        </w:tc>
        <w:tc>
          <w:tcPr>
            <w:tcW w:w="3071" w:type="dxa"/>
          </w:tcPr>
          <w:p w14:paraId="54132EE5"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±5mm</w:t>
            </w:r>
          </w:p>
        </w:tc>
        <w:tc>
          <w:tcPr>
            <w:tcW w:w="3071" w:type="dxa"/>
          </w:tcPr>
          <w:p w14:paraId="7EFAE55F"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±30mm</w:t>
            </w:r>
          </w:p>
        </w:tc>
      </w:tr>
      <w:tr w:rsidR="00962978" w:rsidRPr="007D03F5" w14:paraId="79C1BBDF" w14:textId="77777777" w:rsidTr="00CF35EE">
        <w:tc>
          <w:tcPr>
            <w:tcW w:w="3070" w:type="dxa"/>
          </w:tcPr>
          <w:p w14:paraId="49DE21D0"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Pomiędzy dwoma powierzchniami obrabianymi</w:t>
            </w:r>
          </w:p>
        </w:tc>
        <w:tc>
          <w:tcPr>
            <w:tcW w:w="3071" w:type="dxa"/>
          </w:tcPr>
          <w:p w14:paraId="69C40C97"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±3mm</w:t>
            </w:r>
          </w:p>
        </w:tc>
        <w:tc>
          <w:tcPr>
            <w:tcW w:w="3071" w:type="dxa"/>
          </w:tcPr>
          <w:p w14:paraId="2123E981"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±10mm</w:t>
            </w:r>
          </w:p>
        </w:tc>
      </w:tr>
    </w:tbl>
    <w:p w14:paraId="18515B31"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04241FFA"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Przykłady typowych przekrojów krawężników</w:t>
      </w:r>
    </w:p>
    <w:tbl>
      <w:tblPr>
        <w:tblStyle w:val="Tabela-Siatka"/>
        <w:tblW w:w="0" w:type="auto"/>
        <w:tblLook w:val="04A0" w:firstRow="1" w:lastRow="0" w:firstColumn="1" w:lastColumn="0" w:noHBand="0" w:noVBand="1"/>
      </w:tblPr>
      <w:tblGrid>
        <w:gridCol w:w="4606"/>
        <w:gridCol w:w="4606"/>
      </w:tblGrid>
      <w:tr w:rsidR="007D03F5" w:rsidRPr="007D03F5" w14:paraId="1696067A" w14:textId="77777777" w:rsidTr="00CF35EE">
        <w:tc>
          <w:tcPr>
            <w:tcW w:w="4606" w:type="dxa"/>
          </w:tcPr>
          <w:p w14:paraId="78EB5DA2"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p>
        </w:tc>
        <w:tc>
          <w:tcPr>
            <w:tcW w:w="4606" w:type="dxa"/>
          </w:tcPr>
          <w:p w14:paraId="7874094F"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Klasa I</w:t>
            </w:r>
          </w:p>
        </w:tc>
      </w:tr>
      <w:tr w:rsidR="007D03F5" w:rsidRPr="007D03F5" w14:paraId="1F520F03" w14:textId="77777777" w:rsidTr="00CF35EE">
        <w:tc>
          <w:tcPr>
            <w:tcW w:w="4606" w:type="dxa"/>
          </w:tcPr>
          <w:p w14:paraId="148323A8"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Oznaczenie znakiem</w:t>
            </w:r>
          </w:p>
        </w:tc>
        <w:tc>
          <w:tcPr>
            <w:tcW w:w="4606" w:type="dxa"/>
          </w:tcPr>
          <w:p w14:paraId="05FB9364"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D1</w:t>
            </w:r>
          </w:p>
        </w:tc>
      </w:tr>
      <w:tr w:rsidR="007D03F5" w:rsidRPr="007D03F5" w14:paraId="31620889" w14:textId="77777777" w:rsidTr="00CF35EE">
        <w:tc>
          <w:tcPr>
            <w:tcW w:w="4606" w:type="dxa"/>
          </w:tcPr>
          <w:p w14:paraId="2A16BBF6"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Powierzchnie piłowane</w:t>
            </w:r>
          </w:p>
        </w:tc>
        <w:tc>
          <w:tcPr>
            <w:tcW w:w="4606" w:type="dxa"/>
          </w:tcPr>
          <w:p w14:paraId="453585FD"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±5mm</w:t>
            </w:r>
          </w:p>
        </w:tc>
      </w:tr>
      <w:tr w:rsidR="007D03F5" w:rsidRPr="007D03F5" w14:paraId="6DF6924C" w14:textId="77777777" w:rsidTr="00CF35EE">
        <w:tc>
          <w:tcPr>
            <w:tcW w:w="4606" w:type="dxa"/>
          </w:tcPr>
          <w:p w14:paraId="18EE5081"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Powierzchnie ciosane</w:t>
            </w:r>
          </w:p>
        </w:tc>
        <w:tc>
          <w:tcPr>
            <w:tcW w:w="4606" w:type="dxa"/>
          </w:tcPr>
          <w:p w14:paraId="09932B73"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±15mm</w:t>
            </w:r>
          </w:p>
        </w:tc>
      </w:tr>
      <w:tr w:rsidR="00962978" w:rsidRPr="007D03F5" w14:paraId="18CCB5D2" w14:textId="77777777" w:rsidTr="00CF35EE">
        <w:tc>
          <w:tcPr>
            <w:tcW w:w="4606" w:type="dxa"/>
          </w:tcPr>
          <w:p w14:paraId="27575E4E"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Powierzchnie obrabiane</w:t>
            </w:r>
          </w:p>
        </w:tc>
        <w:tc>
          <w:tcPr>
            <w:tcW w:w="4606" w:type="dxa"/>
          </w:tcPr>
          <w:p w14:paraId="5DC99101"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±5mm</w:t>
            </w:r>
          </w:p>
        </w:tc>
      </w:tr>
    </w:tbl>
    <w:p w14:paraId="006806B2"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53DE6FF9"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lastRenderedPageBreak/>
        <w:t>Odchyłki powierzchni czołowych dla krawężników i oporników prostych</w:t>
      </w:r>
    </w:p>
    <w:tbl>
      <w:tblPr>
        <w:tblStyle w:val="Tabela-Siatka"/>
        <w:tblW w:w="0" w:type="auto"/>
        <w:tblLook w:val="04A0" w:firstRow="1" w:lastRow="0" w:firstColumn="1" w:lastColumn="0" w:noHBand="0" w:noVBand="1"/>
      </w:tblPr>
      <w:tblGrid>
        <w:gridCol w:w="3070"/>
        <w:gridCol w:w="3071"/>
        <w:gridCol w:w="3071"/>
      </w:tblGrid>
      <w:tr w:rsidR="007D03F5" w:rsidRPr="007D03F5" w14:paraId="265853BA" w14:textId="77777777" w:rsidTr="00CF35EE">
        <w:tc>
          <w:tcPr>
            <w:tcW w:w="3070" w:type="dxa"/>
          </w:tcPr>
          <w:p w14:paraId="177A738F"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p>
        </w:tc>
        <w:tc>
          <w:tcPr>
            <w:tcW w:w="3071" w:type="dxa"/>
          </w:tcPr>
          <w:p w14:paraId="4FAFEF18"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Ciosane</w:t>
            </w:r>
          </w:p>
        </w:tc>
        <w:tc>
          <w:tcPr>
            <w:tcW w:w="3071" w:type="dxa"/>
          </w:tcPr>
          <w:p w14:paraId="2B7443C3"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Obrabiane</w:t>
            </w:r>
          </w:p>
        </w:tc>
      </w:tr>
      <w:tr w:rsidR="007D03F5" w:rsidRPr="007D03F5" w14:paraId="47B118A3" w14:textId="77777777" w:rsidTr="00CF35EE">
        <w:tc>
          <w:tcPr>
            <w:tcW w:w="3070" w:type="dxa"/>
          </w:tcPr>
          <w:p w14:paraId="2590CFC7"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Prostolinijność krawędzi równoległych do powierzchni górnej</w:t>
            </w:r>
          </w:p>
        </w:tc>
        <w:tc>
          <w:tcPr>
            <w:tcW w:w="3071" w:type="dxa"/>
          </w:tcPr>
          <w:p w14:paraId="3F7FCA87"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±6mm</w:t>
            </w:r>
          </w:p>
        </w:tc>
        <w:tc>
          <w:tcPr>
            <w:tcW w:w="3071" w:type="dxa"/>
          </w:tcPr>
          <w:p w14:paraId="24897097"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±3mm</w:t>
            </w:r>
          </w:p>
        </w:tc>
      </w:tr>
      <w:tr w:rsidR="007D03F5" w:rsidRPr="007D03F5" w14:paraId="11FB082B" w14:textId="77777777" w:rsidTr="00CF35EE">
        <w:tc>
          <w:tcPr>
            <w:tcW w:w="3070" w:type="dxa"/>
          </w:tcPr>
          <w:p w14:paraId="700AFF80"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Prostolinijność krawędzi prostopadłych do powierzchni górnej</w:t>
            </w:r>
          </w:p>
        </w:tc>
        <w:tc>
          <w:tcPr>
            <w:tcW w:w="3071" w:type="dxa"/>
          </w:tcPr>
          <w:p w14:paraId="70F8CCFB"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±6mm</w:t>
            </w:r>
          </w:p>
        </w:tc>
        <w:tc>
          <w:tcPr>
            <w:tcW w:w="3071" w:type="dxa"/>
          </w:tcPr>
          <w:p w14:paraId="13DCA037"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±3mm</w:t>
            </w:r>
          </w:p>
        </w:tc>
      </w:tr>
      <w:tr w:rsidR="007D03F5" w:rsidRPr="007D03F5" w14:paraId="7D8B5075" w14:textId="77777777" w:rsidTr="00CF35EE">
        <w:tc>
          <w:tcPr>
            <w:tcW w:w="3070" w:type="dxa"/>
          </w:tcPr>
          <w:p w14:paraId="66751736"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Prostopadłość pomiędzy powierzchniami górną i czołową, gdy tworzą one kąt prosty</w:t>
            </w:r>
          </w:p>
        </w:tc>
        <w:tc>
          <w:tcPr>
            <w:tcW w:w="3071" w:type="dxa"/>
          </w:tcPr>
          <w:p w14:paraId="3508584C"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±10mm</w:t>
            </w:r>
          </w:p>
        </w:tc>
        <w:tc>
          <w:tcPr>
            <w:tcW w:w="3071" w:type="dxa"/>
          </w:tcPr>
          <w:p w14:paraId="1C3021BF"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±7mm</w:t>
            </w:r>
          </w:p>
        </w:tc>
      </w:tr>
      <w:tr w:rsidR="007D03F5" w:rsidRPr="007D03F5" w14:paraId="5FE5FBDB" w14:textId="77777777" w:rsidTr="00CF35EE">
        <w:tc>
          <w:tcPr>
            <w:tcW w:w="3070" w:type="dxa"/>
          </w:tcPr>
          <w:p w14:paraId="649AA1EC"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Nierówność górnej powierzchni</w:t>
            </w:r>
          </w:p>
        </w:tc>
        <w:tc>
          <w:tcPr>
            <w:tcW w:w="3071" w:type="dxa"/>
          </w:tcPr>
          <w:p w14:paraId="1B42B9AC"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±10mm</w:t>
            </w:r>
          </w:p>
        </w:tc>
        <w:tc>
          <w:tcPr>
            <w:tcW w:w="3071" w:type="dxa"/>
          </w:tcPr>
          <w:p w14:paraId="69D9B447"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±5mm</w:t>
            </w:r>
          </w:p>
        </w:tc>
      </w:tr>
      <w:tr w:rsidR="00962978" w:rsidRPr="007D03F5" w14:paraId="60CCDABB" w14:textId="77777777" w:rsidTr="00CF35EE">
        <w:tc>
          <w:tcPr>
            <w:tcW w:w="3070" w:type="dxa"/>
          </w:tcPr>
          <w:p w14:paraId="14FBE843"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Prostopadłość pomiędzy powierzchnią górną i powierzchnią tylną</w:t>
            </w:r>
          </w:p>
        </w:tc>
        <w:tc>
          <w:tcPr>
            <w:tcW w:w="6142" w:type="dxa"/>
            <w:gridSpan w:val="2"/>
          </w:tcPr>
          <w:p w14:paraId="1F0A14CE" w14:textId="77777777" w:rsidR="00AC7A84" w:rsidRPr="007D03F5" w:rsidRDefault="00AC7A84" w:rsidP="00CF35EE">
            <w:pPr>
              <w:pStyle w:val="western"/>
              <w:spacing w:before="0" w:beforeAutospacing="0"/>
              <w:jc w:val="center"/>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Wszystkie krawężniki ±5mm</w:t>
            </w:r>
          </w:p>
        </w:tc>
      </w:tr>
    </w:tbl>
    <w:p w14:paraId="2DF0251B"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70CC493C"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Odchyłki nierówności powierzchni czołowej</w:t>
      </w:r>
    </w:p>
    <w:tbl>
      <w:tblPr>
        <w:tblStyle w:val="Tabela-Siatka"/>
        <w:tblW w:w="0" w:type="auto"/>
        <w:tblLook w:val="04A0" w:firstRow="1" w:lastRow="0" w:firstColumn="1" w:lastColumn="0" w:noHBand="0" w:noVBand="1"/>
      </w:tblPr>
      <w:tblGrid>
        <w:gridCol w:w="4606"/>
        <w:gridCol w:w="4606"/>
      </w:tblGrid>
      <w:tr w:rsidR="007D03F5" w:rsidRPr="007D03F5" w14:paraId="1255686C" w14:textId="77777777" w:rsidTr="00CF35EE">
        <w:tc>
          <w:tcPr>
            <w:tcW w:w="4606" w:type="dxa"/>
          </w:tcPr>
          <w:p w14:paraId="68226720"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Powierzchnia ciosana</w:t>
            </w:r>
          </w:p>
        </w:tc>
        <w:tc>
          <w:tcPr>
            <w:tcW w:w="4606" w:type="dxa"/>
          </w:tcPr>
          <w:p w14:paraId="0ADB18DC"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+10mm, -15mm</w:t>
            </w:r>
          </w:p>
        </w:tc>
      </w:tr>
      <w:tr w:rsidR="007D03F5" w:rsidRPr="007D03F5" w14:paraId="798ADA2D" w14:textId="77777777" w:rsidTr="00CF35EE">
        <w:tc>
          <w:tcPr>
            <w:tcW w:w="4606" w:type="dxa"/>
          </w:tcPr>
          <w:p w14:paraId="7193A90F"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Powierzchnia z grubą fakturą</w:t>
            </w:r>
          </w:p>
        </w:tc>
        <w:tc>
          <w:tcPr>
            <w:tcW w:w="4606" w:type="dxa"/>
          </w:tcPr>
          <w:p w14:paraId="48C99CA2"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+5mm, -10mm</w:t>
            </w:r>
          </w:p>
        </w:tc>
      </w:tr>
      <w:tr w:rsidR="00962978" w:rsidRPr="007D03F5" w14:paraId="795EA74B" w14:textId="77777777" w:rsidTr="00CF35EE">
        <w:tc>
          <w:tcPr>
            <w:tcW w:w="4606" w:type="dxa"/>
          </w:tcPr>
          <w:p w14:paraId="5EE0DCB1"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Powierzchnia z drobną fakturą</w:t>
            </w:r>
          </w:p>
        </w:tc>
        <w:tc>
          <w:tcPr>
            <w:tcW w:w="4606" w:type="dxa"/>
          </w:tcPr>
          <w:p w14:paraId="737F6550" w14:textId="77777777" w:rsidR="00AC7A84" w:rsidRPr="007D03F5" w:rsidRDefault="00AC7A84" w:rsidP="00CF35EE">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+3mm, -3mm</w:t>
            </w:r>
          </w:p>
        </w:tc>
      </w:tr>
    </w:tbl>
    <w:p w14:paraId="3F44E48D"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5100DC40"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2.2.3 Materiały na ławy</w:t>
      </w:r>
    </w:p>
    <w:p w14:paraId="290E53BA"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Zastosować mieszankę betonową C12/15 wg , XF4 ,C11,0, Dmax.31.5 D2,2 i S2 normy PN-EN 206+A1:2016-12.</w:t>
      </w:r>
    </w:p>
    <w:p w14:paraId="25AEBD32"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2.2.4 Masa zalewowa</w:t>
      </w:r>
    </w:p>
    <w:p w14:paraId="3B9CEA9A"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Masa zalewowa do wypełnienia szczelin dylatacyjnych ław, powinna posiadać odpowiednie Aprobaty Technicznej zezwalające</w:t>
      </w:r>
      <w:r w:rsidRPr="007D03F5">
        <w:rPr>
          <w:rFonts w:asciiTheme="minorHAnsi" w:eastAsiaTheme="minorHAnsi" w:hAnsiTheme="minorHAnsi" w:cstheme="minorBidi"/>
          <w:sz w:val="16"/>
          <w:szCs w:val="16"/>
        </w:rPr>
        <w:br/>
        <w:t>na stosowanie w budownictwie drogowym do uszczelniania nawierzchni betonowych. Wybrane rozwiązania Wykonawca przedstawia</w:t>
      </w:r>
      <w:r w:rsidRPr="007D03F5">
        <w:rPr>
          <w:rFonts w:asciiTheme="minorHAnsi" w:eastAsiaTheme="minorHAnsi" w:hAnsiTheme="minorHAnsi" w:cstheme="minorBidi"/>
          <w:sz w:val="16"/>
          <w:szCs w:val="16"/>
        </w:rPr>
        <w:br/>
        <w:t>do zatwierdzenia Kierownikowi Projektu.</w:t>
      </w:r>
    </w:p>
    <w:p w14:paraId="0DE0DBB5"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0659665B"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3.SPRZĘT</w:t>
      </w:r>
    </w:p>
    <w:p w14:paraId="2EB85BFE"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3.1 Ogólne wymagania dotyczące sprzętu</w:t>
      </w:r>
    </w:p>
    <w:p w14:paraId="71ADFC2F"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Ogólne wymagania dotyczące sprzętu podano w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DM.00.00.00 „Wymagania ogólne” pkt 3. </w:t>
      </w:r>
    </w:p>
    <w:p w14:paraId="3AB079E8"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3.2 Sprzęt</w:t>
      </w:r>
    </w:p>
    <w:p w14:paraId="1F41833D"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Używany sprzęt powinien być zgodny z ofertą Wykonawcy, warunkami określonymi w niniejszej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oraz powinien zostać zatwierdzony przez Inżyniera / Kierownika Projektu.</w:t>
      </w:r>
    </w:p>
    <w:p w14:paraId="2F54795A"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Roboty związane z ułożeniem krawężników wykonuje się ręcznie, ewentualnie z pomocą dźwigów lub innego sprzętu. Do przygotowania betonu na ławy i podsypki cementowo-piaskowej stosuje się betoniarki. Do cięcia krawężników należy używać pił przystosowanych do cięcia betonu i kamienia.</w:t>
      </w:r>
    </w:p>
    <w:p w14:paraId="56C04264"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28BFE839"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4 TRANSPORT</w:t>
      </w:r>
    </w:p>
    <w:p w14:paraId="653C89C7"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4.1 Ogólne wymagania dotyczące transportu</w:t>
      </w:r>
    </w:p>
    <w:p w14:paraId="5E7E8489"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Ogólne wymagania dotyczące transportu podano w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DM.00.00.00 „Wymagania ogólne” p.4.</w:t>
      </w:r>
    </w:p>
    <w:p w14:paraId="36AF7587"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4.2 Transport krawężników</w:t>
      </w:r>
    </w:p>
    <w:p w14:paraId="043C9C41"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Do rozwiezienia materiału mogą być użyte dowolne środki transportowe zaakceptowane przez Inżyniera / Kierownika Projektu. Używane środki transportowe powinny uniemożliwiać przesuwanie się ładunku po skrzyni ładunkowej oraz mechaniczny załadunek</w:t>
      </w:r>
      <w:r w:rsidRPr="007D03F5">
        <w:rPr>
          <w:rFonts w:asciiTheme="minorHAnsi" w:eastAsiaTheme="minorHAnsi" w:hAnsiTheme="minorHAnsi" w:cstheme="minorBidi"/>
          <w:sz w:val="16"/>
          <w:szCs w:val="16"/>
        </w:rPr>
        <w:br/>
        <w:t>i wyładunek w sposób uniemożliwiający uszkodzenie.</w:t>
      </w:r>
    </w:p>
    <w:p w14:paraId="244325C8"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3F0D3E07"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5 WYKONANIE ROBÓT</w:t>
      </w:r>
    </w:p>
    <w:p w14:paraId="7A115A3F"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5.1 Ogólne zasady wykonania robót</w:t>
      </w:r>
    </w:p>
    <w:p w14:paraId="06C01C93"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Ogólne zasady wykonania robót podano w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DM-00.00.00 „Wymagania ogólne” p.5.</w:t>
      </w:r>
    </w:p>
    <w:p w14:paraId="1314E648"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Wykonawca przedstawi Kierownikowi Projektu/Inspektorowi Nadzoru do akceptacji Projekt Organizacji i Harmonogram Robót uwzględniające wszystkie warunki, w jakich będą wykonywane Roboty. </w:t>
      </w:r>
    </w:p>
    <w:p w14:paraId="23D31872"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5.2 Roboty przygotowawcze</w:t>
      </w:r>
    </w:p>
    <w:p w14:paraId="745DA168"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Przed ułożeniem krawężników należy dokonać wytyczenia </w:t>
      </w:r>
      <w:proofErr w:type="spellStart"/>
      <w:r w:rsidRPr="007D03F5">
        <w:rPr>
          <w:rFonts w:asciiTheme="minorHAnsi" w:eastAsiaTheme="minorHAnsi" w:hAnsiTheme="minorHAnsi" w:cstheme="minorBidi"/>
          <w:sz w:val="16"/>
          <w:szCs w:val="16"/>
        </w:rPr>
        <w:t>sytuacyjno</w:t>
      </w:r>
      <w:proofErr w:type="spellEnd"/>
      <w:r w:rsidRPr="007D03F5">
        <w:rPr>
          <w:rFonts w:asciiTheme="minorHAnsi" w:eastAsiaTheme="minorHAnsi" w:hAnsiTheme="minorHAnsi" w:cstheme="minorBidi"/>
          <w:sz w:val="16"/>
          <w:szCs w:val="16"/>
        </w:rPr>
        <w:t xml:space="preserve"> - wysokościowego zgodnie z Dokumentacją Projektową. Jeżeli wymaga tego grubość ławy lub jej umiejscowienie, należy wykonać rowek pod ławę, w formie wykopu </w:t>
      </w:r>
      <w:proofErr w:type="spellStart"/>
      <w:r w:rsidRPr="007D03F5">
        <w:rPr>
          <w:rFonts w:asciiTheme="minorHAnsi" w:eastAsiaTheme="minorHAnsi" w:hAnsiTheme="minorHAnsi" w:cstheme="minorBidi"/>
          <w:sz w:val="16"/>
          <w:szCs w:val="16"/>
        </w:rPr>
        <w:t>wąskoprzestrzennego</w:t>
      </w:r>
      <w:proofErr w:type="spellEnd"/>
      <w:r w:rsidRPr="007D03F5">
        <w:rPr>
          <w:rFonts w:asciiTheme="minorHAnsi" w:eastAsiaTheme="minorHAnsi" w:hAnsiTheme="minorHAnsi" w:cstheme="minorBidi"/>
          <w:sz w:val="16"/>
          <w:szCs w:val="16"/>
        </w:rPr>
        <w:br/>
        <w:t>o niezbędnej szerokości i głębokości zgodnej z Dokumentacją Projektową.</w:t>
      </w:r>
    </w:p>
    <w:p w14:paraId="4706045F"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5.3 Ławy betonowe</w:t>
      </w:r>
    </w:p>
    <w:p w14:paraId="4CE29870"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Ławy powinny być wykonywane w mieszanki betonowej C12/15 o konsystencji </w:t>
      </w:r>
      <w:proofErr w:type="spellStart"/>
      <w:r w:rsidRPr="007D03F5">
        <w:rPr>
          <w:rFonts w:asciiTheme="minorHAnsi" w:eastAsiaTheme="minorHAnsi" w:hAnsiTheme="minorHAnsi" w:cstheme="minorBidi"/>
          <w:sz w:val="16"/>
          <w:szCs w:val="16"/>
        </w:rPr>
        <w:t>gęstoplastycznej</w:t>
      </w:r>
      <w:proofErr w:type="spellEnd"/>
      <w:r w:rsidRPr="007D03F5">
        <w:rPr>
          <w:rFonts w:asciiTheme="minorHAnsi" w:eastAsiaTheme="minorHAnsi" w:hAnsiTheme="minorHAnsi" w:cstheme="minorBidi"/>
          <w:sz w:val="16"/>
          <w:szCs w:val="16"/>
        </w:rPr>
        <w:t xml:space="preserve"> lub plastycznej, układanej wyłącznie w deskowaniu. Nie dopuszcza się wykonywania ław bez </w:t>
      </w:r>
      <w:proofErr w:type="spellStart"/>
      <w:r w:rsidRPr="007D03F5">
        <w:rPr>
          <w:rFonts w:asciiTheme="minorHAnsi" w:eastAsiaTheme="minorHAnsi" w:hAnsiTheme="minorHAnsi" w:cstheme="minorBidi"/>
          <w:sz w:val="16"/>
          <w:szCs w:val="16"/>
        </w:rPr>
        <w:t>deskowań</w:t>
      </w:r>
      <w:proofErr w:type="spellEnd"/>
      <w:r w:rsidRPr="007D03F5">
        <w:rPr>
          <w:rFonts w:asciiTheme="minorHAnsi" w:eastAsiaTheme="minorHAnsi" w:hAnsiTheme="minorHAnsi" w:cstheme="minorBidi"/>
          <w:sz w:val="16"/>
          <w:szCs w:val="16"/>
        </w:rPr>
        <w:t>, z mieszanek o konsystencji wilgotnej.</w:t>
      </w:r>
    </w:p>
    <w:p w14:paraId="2BFED80E"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Gotową ławę należy poddać pielęgnacji przez okres 7 dni, z wykorzystaniem preparatów powłokowych lub innych metod dopuszczonych.</w:t>
      </w:r>
    </w:p>
    <w:p w14:paraId="6AB362FB"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5.4 Krawężniki i oporniki</w:t>
      </w:r>
    </w:p>
    <w:p w14:paraId="7EE92579"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Krawężniki i oporniki ustawia się na gotowej ławie na podsypce cementowo-piaskowej grubości 3cm. Wysokość krawężnika od strony jezdni powinna być zgodna z Dokumentacją Projektową. Niweleta podłużna powinna być zgodna z projektowaną niweletą jezdni.</w:t>
      </w:r>
    </w:p>
    <w:p w14:paraId="514FA18B"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Szerokość spoin pomiędzy krawężnikami nie powinna przekraczać 5mm. Spoin nie wypełniamy zaprawą cementową.</w:t>
      </w:r>
    </w:p>
    <w:p w14:paraId="76F544CF"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Do cięcia krawężników należy stosować metodę zatwierdzoną przez Kierownika Projektu/Inspektora Nadzoru Nie dopuszcza się do użycia krawężników połamanych lub ciętych inną metodą niż zatwierdzona.</w:t>
      </w:r>
    </w:p>
    <w:p w14:paraId="3A5DA7F2"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3600B460"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6 KONTROLA JAKOŚCI ROBÓT</w:t>
      </w:r>
    </w:p>
    <w:p w14:paraId="541488F6"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6.1 Ogólne zasady kontroli jakości robót</w:t>
      </w:r>
    </w:p>
    <w:p w14:paraId="32D72726"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Ogólne zasady kontroli jakości robót podano w </w:t>
      </w:r>
      <w:proofErr w:type="spellStart"/>
      <w:r w:rsidRPr="007D03F5">
        <w:rPr>
          <w:rFonts w:asciiTheme="minorHAnsi" w:eastAsiaTheme="minorHAnsi" w:hAnsiTheme="minorHAnsi" w:cstheme="minorBidi"/>
          <w:sz w:val="16"/>
          <w:szCs w:val="16"/>
        </w:rPr>
        <w:t>SWiORB</w:t>
      </w:r>
      <w:proofErr w:type="spellEnd"/>
      <w:r w:rsidRPr="007D03F5">
        <w:rPr>
          <w:rFonts w:asciiTheme="minorHAnsi" w:eastAsiaTheme="minorHAnsi" w:hAnsiTheme="minorHAnsi" w:cstheme="minorBidi"/>
          <w:sz w:val="16"/>
          <w:szCs w:val="16"/>
        </w:rPr>
        <w:t xml:space="preserve"> DM00.00.00 „Wymagania ogólne” pkt 6.</w:t>
      </w:r>
    </w:p>
    <w:p w14:paraId="0305B839"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6.2 Badania przed i w czasie robót</w:t>
      </w:r>
    </w:p>
    <w:p w14:paraId="0D7906E7"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Kontrola jakości Robót polega na sprawdzeniu:</w:t>
      </w:r>
    </w:p>
    <w:p w14:paraId="770A7521"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 −zgodności wbudowanych materiałów z wymaganiami zawartymi w p. 2 niniejszej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podstawie Deklaracji Zgodności , −prawidłowości wykonania ław betonowych,</w:t>
      </w:r>
    </w:p>
    <w:p w14:paraId="673C6015"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−właściwego wysokościowego ułożenia elementu na podstawie przedstawionej przez Wykonawcę niwelacji powykonawczej,</w:t>
      </w:r>
    </w:p>
    <w:p w14:paraId="123EF174"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−sprawdzeniu stopnia równości,</w:t>
      </w:r>
    </w:p>
    <w:p w14:paraId="13C1B13B"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lastRenderedPageBreak/>
        <w:t>−sprawdzeniu wypełnienia szczelin dylatacyjnych ław betonowych.</w:t>
      </w:r>
    </w:p>
    <w:p w14:paraId="08B8DFDB"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3770899C"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7. OBMIAR ROBÓT</w:t>
      </w:r>
    </w:p>
    <w:p w14:paraId="735BF039"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7.1 Ogólne zasady obmiaru robót</w:t>
      </w:r>
    </w:p>
    <w:p w14:paraId="291BB0A5"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Ogólne zasady obmiaru robót podano w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D.00.00.00 Wymagania ogólne.</w:t>
      </w:r>
    </w:p>
    <w:p w14:paraId="607ED227"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7.2 Jednostka obmiarowa</w:t>
      </w:r>
    </w:p>
    <w:p w14:paraId="7C5104C5"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 Jednostką obmiarową jest metr (m) ułożonego krawężnika granitowego 15x30/ opornika granitowego 12x25 na podsypce cementowo-piaskowej grubości 3cm i ławie betonowej z betonu C12/15</w:t>
      </w:r>
    </w:p>
    <w:p w14:paraId="4B30FB44"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312449BA"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8. ODBIÓR ROBÓT</w:t>
      </w:r>
    </w:p>
    <w:p w14:paraId="582D3F3B"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 xml:space="preserve">8.1 Ogólne zasady odbioru robót </w:t>
      </w:r>
    </w:p>
    <w:p w14:paraId="5ADFB264"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Ogólne ustalenia dotyczące odbioru robót podano w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D-M-00.00.00 „Wymagania ogólne” pkt 8.</w:t>
      </w:r>
    </w:p>
    <w:p w14:paraId="52CB9F1D"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8.2. Sposób odbioru robót</w:t>
      </w:r>
    </w:p>
    <w:p w14:paraId="68A3EDE1"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Odbioru robót należy dokonywać w oparciu o zasady określone w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Wymagania ogólne p. 8.2 . w odniesieniu do wymagań określonych w p 6 (niniejszej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w:t>
      </w:r>
    </w:p>
    <w:p w14:paraId="73E9C27A"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69D6B82E"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9. PODSTAWA PŁATNOŚCI</w:t>
      </w:r>
    </w:p>
    <w:p w14:paraId="6D64B245"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9.1. Ogólne ustalenia dotyczące podstawy płatności</w:t>
      </w:r>
    </w:p>
    <w:p w14:paraId="4B18010B" w14:textId="77777777" w:rsidR="00AC7A84" w:rsidRPr="007D03F5" w:rsidRDefault="00AC7A84" w:rsidP="00AC7A84">
      <w:pPr>
        <w:pStyle w:val="western"/>
        <w:spacing w:before="0" w:beforeAutospacing="0"/>
        <w:ind w:firstLine="708"/>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Ogólne ustalenia dotyczące podstawy płatności podano w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DM 00.00.00 „Wymagania ogólne” pkt 9.</w:t>
      </w:r>
    </w:p>
    <w:p w14:paraId="72ECE620"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9.2. Cena jednostki obmiarowej</w:t>
      </w:r>
    </w:p>
    <w:p w14:paraId="05453F62"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Cena jednostki obmiarowej wykonanego krawężnika/ opornika granitowego obejmuje:</w:t>
      </w:r>
    </w:p>
    <w:p w14:paraId="4C9D397D"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−zakup i transport wszystkich materiałów,</w:t>
      </w:r>
    </w:p>
    <w:p w14:paraId="46B354AA"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−ewentualne wykonanie rowków z profilowaniem i zagęszczeniem podłoża pod ławę betonową,</w:t>
      </w:r>
    </w:p>
    <w:p w14:paraId="68C3D8F2"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−wykonanie i demontaż deskowania ławy betonowej,</w:t>
      </w:r>
    </w:p>
    <w:p w14:paraId="3C6697ED"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−wykonanie ławy betonowej,</w:t>
      </w:r>
    </w:p>
    <w:p w14:paraId="46DF3B09"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−pielęgnacja ławy przez okres 7 dni,</w:t>
      </w:r>
    </w:p>
    <w:p w14:paraId="7CE89D3C"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−wykonanie podsypki cementowo-piaskowej</w:t>
      </w:r>
    </w:p>
    <w:p w14:paraId="02E50641"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−właściwe wysokościowe i liniowe ułożenie krawężnika/ opornika,</w:t>
      </w:r>
    </w:p>
    <w:p w14:paraId="272D9E0B"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−ułożenie krawężników łukowych w przypadkach opisanych w </w:t>
      </w:r>
      <w:proofErr w:type="spellStart"/>
      <w:r w:rsidRPr="007D03F5">
        <w:rPr>
          <w:rFonts w:asciiTheme="minorHAnsi" w:eastAsiaTheme="minorHAnsi" w:hAnsiTheme="minorHAnsi" w:cstheme="minorBidi"/>
          <w:sz w:val="16"/>
          <w:szCs w:val="16"/>
        </w:rPr>
        <w:t>STWiORB</w:t>
      </w:r>
      <w:proofErr w:type="spellEnd"/>
    </w:p>
    <w:p w14:paraId="1C14C8D8"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−docinanie krawężników/ oporników zatwierdzonym sprzętem,</w:t>
      </w:r>
    </w:p>
    <w:p w14:paraId="6469BD77"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−wykonanie i przedstawienie wszystkich niezbędnych badań, pomiarów, prób i sprawdzeń,</w:t>
      </w:r>
    </w:p>
    <w:p w14:paraId="47966482"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−oznakowanie i zabezpieczenie Robót i jego utrzymanie,</w:t>
      </w:r>
    </w:p>
    <w:p w14:paraId="6F9AA6BD"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 −wykonanie innych czynności niezbędnych do realizacji Robót objętych niniejszą </w:t>
      </w:r>
      <w:proofErr w:type="spellStart"/>
      <w:r w:rsidRPr="007D03F5">
        <w:rPr>
          <w:rFonts w:asciiTheme="minorHAnsi" w:eastAsiaTheme="minorHAnsi" w:hAnsiTheme="minorHAnsi" w:cstheme="minorBidi"/>
          <w:sz w:val="16"/>
          <w:szCs w:val="16"/>
        </w:rPr>
        <w:t>STWiORB</w:t>
      </w:r>
      <w:proofErr w:type="spellEnd"/>
      <w:r w:rsidRPr="007D03F5">
        <w:rPr>
          <w:rFonts w:asciiTheme="minorHAnsi" w:eastAsiaTheme="minorHAnsi" w:hAnsiTheme="minorHAnsi" w:cstheme="minorBidi"/>
          <w:sz w:val="16"/>
          <w:szCs w:val="16"/>
        </w:rPr>
        <w:t xml:space="preserve"> i Dokumentacją Projektową.</w:t>
      </w:r>
    </w:p>
    <w:p w14:paraId="1AFBA6DC"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p>
    <w:p w14:paraId="433D05B0" w14:textId="77777777" w:rsidR="00AC7A84" w:rsidRPr="007D03F5" w:rsidRDefault="00AC7A84" w:rsidP="00AC7A84">
      <w:pPr>
        <w:pStyle w:val="western"/>
        <w:spacing w:before="0" w:beforeAutospacing="0"/>
        <w:jc w:val="both"/>
        <w:rPr>
          <w:rFonts w:asciiTheme="minorHAnsi" w:eastAsiaTheme="minorHAnsi" w:hAnsiTheme="minorHAnsi" w:cstheme="minorBidi"/>
          <w:b/>
          <w:bCs/>
          <w:sz w:val="16"/>
          <w:szCs w:val="16"/>
        </w:rPr>
      </w:pPr>
      <w:r w:rsidRPr="007D03F5">
        <w:rPr>
          <w:rFonts w:asciiTheme="minorHAnsi" w:eastAsiaTheme="minorHAnsi" w:hAnsiTheme="minorHAnsi" w:cstheme="minorBidi"/>
          <w:b/>
          <w:bCs/>
          <w:sz w:val="16"/>
          <w:szCs w:val="16"/>
        </w:rPr>
        <w:t>10 PRZEPISY ZWIĄZANE</w:t>
      </w:r>
    </w:p>
    <w:p w14:paraId="170FFA85"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Normy</w:t>
      </w:r>
    </w:p>
    <w:p w14:paraId="5B0A8207"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1. PN-EN 1343:2003 Krawężniki z kamienia naturalnego do zewnętrznych nawierzchni drogowych .Wymagania i metody badań</w:t>
      </w:r>
    </w:p>
    <w:p w14:paraId="3D2B2BD9"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2. PN-EN 371:2002Metody badań kamienia naturalnego- Oznaczanie mrozoodporności</w:t>
      </w:r>
    </w:p>
    <w:p w14:paraId="3C3DED7D"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3. PN-EN 12372:2001 Metody badań kamienia naturalnego - Oznaczanie wytrzymałości na zginanie pod wpływem siły skupionej</w:t>
      </w:r>
    </w:p>
    <w:p w14:paraId="2ECC9D18"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4. PN-EN13755:2002 Metody badań kamienia naturalnego - Oznaczanie nasiąkliwości przy ciśnieniu atmosferycznym</w:t>
      </w:r>
    </w:p>
    <w:p w14:paraId="7AB35C89"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5. PN-EN13139:2003 Kruszywa do zapraw</w:t>
      </w:r>
    </w:p>
    <w:p w14:paraId="4DF1E429"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6. PN-EN 197-1 Cement - Część 1: Skład, wymagania i kryteria zgodności dotyczące cementów powszechnego użytku.</w:t>
      </w:r>
    </w:p>
    <w:p w14:paraId="53CAE46A"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7. PN-EN 1008 Woda zarobowa do betonu</w:t>
      </w:r>
    </w:p>
    <w:p w14:paraId="29A9A973"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8 BN-69/6731-08 Cement. Transport i przechowywanie</w:t>
      </w:r>
    </w:p>
    <w:p w14:paraId="6CD66CAD"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9 PN-EN13242:2004 Kruszywa do niezwiązanych i związanych hydraulicznie materiałów stosowanych w obiektach budowlanych i budownictwie drogowym</w:t>
      </w:r>
    </w:p>
    <w:p w14:paraId="7914291F" w14:textId="77777777" w:rsidR="00AC7A84" w:rsidRPr="007D03F5" w:rsidRDefault="00AC7A84" w:rsidP="00AC7A84">
      <w:pPr>
        <w:pStyle w:val="western"/>
        <w:spacing w:before="0" w:beforeAutospacing="0"/>
        <w:jc w:val="both"/>
        <w:rPr>
          <w:rFonts w:asciiTheme="minorHAnsi" w:eastAsiaTheme="minorHAnsi" w:hAnsiTheme="minorHAnsi" w:cstheme="minorBidi"/>
          <w:sz w:val="16"/>
          <w:szCs w:val="16"/>
        </w:rPr>
      </w:pPr>
      <w:r w:rsidRPr="007D03F5">
        <w:rPr>
          <w:rFonts w:asciiTheme="minorHAnsi" w:eastAsiaTheme="minorHAnsi" w:hAnsiTheme="minorHAnsi" w:cstheme="minorBidi"/>
          <w:sz w:val="16"/>
          <w:szCs w:val="16"/>
        </w:rPr>
        <w:t xml:space="preserve">10. BN-68/8931-04 Drogi samochodowe. Pomiar równości nawierzchni </w:t>
      </w:r>
      <w:proofErr w:type="spellStart"/>
      <w:r w:rsidRPr="007D03F5">
        <w:rPr>
          <w:rFonts w:asciiTheme="minorHAnsi" w:eastAsiaTheme="minorHAnsi" w:hAnsiTheme="minorHAnsi" w:cstheme="minorBidi"/>
          <w:sz w:val="16"/>
          <w:szCs w:val="16"/>
        </w:rPr>
        <w:t>planografem</w:t>
      </w:r>
      <w:proofErr w:type="spellEnd"/>
      <w:r w:rsidRPr="007D03F5">
        <w:rPr>
          <w:rFonts w:asciiTheme="minorHAnsi" w:eastAsiaTheme="minorHAnsi" w:hAnsiTheme="minorHAnsi" w:cstheme="minorBidi"/>
          <w:sz w:val="16"/>
          <w:szCs w:val="16"/>
        </w:rPr>
        <w:t xml:space="preserve"> i łatą.</w:t>
      </w:r>
    </w:p>
    <w:p w14:paraId="157A8945" w14:textId="77777777" w:rsidR="00AC7A84" w:rsidRPr="007D03F5" w:rsidRDefault="00AC7A84" w:rsidP="00AC7A84">
      <w:pPr>
        <w:pStyle w:val="western"/>
        <w:spacing w:before="0" w:beforeAutospacing="0"/>
        <w:jc w:val="both"/>
        <w:rPr>
          <w:rFonts w:asciiTheme="minorHAnsi" w:eastAsiaTheme="minorHAnsi" w:hAnsiTheme="minorHAnsi" w:cstheme="minorBidi"/>
          <w:b/>
          <w:sz w:val="16"/>
          <w:szCs w:val="16"/>
        </w:rPr>
      </w:pPr>
    </w:p>
    <w:p w14:paraId="18F0CB0D" w14:textId="77777777" w:rsidR="00AC7A84" w:rsidRPr="007D03F5" w:rsidRDefault="00AC7A84" w:rsidP="00AC7A84">
      <w:pPr>
        <w:pStyle w:val="Pro-Inwest"/>
        <w:spacing w:line="240" w:lineRule="auto"/>
        <w:jc w:val="both"/>
        <w:rPr>
          <w:rStyle w:val="Nagwek1Znak"/>
          <w:rFonts w:asciiTheme="minorHAnsi" w:hAnsiTheme="minorHAnsi"/>
          <w:sz w:val="18"/>
          <w:szCs w:val="18"/>
        </w:rPr>
      </w:pPr>
    </w:p>
    <w:p w14:paraId="68AA60ED" w14:textId="77777777" w:rsidR="00AC7A84" w:rsidRPr="007D03F5" w:rsidRDefault="00AC7A84" w:rsidP="00AC7A84">
      <w:pPr>
        <w:pStyle w:val="Pro-Inwest"/>
        <w:spacing w:line="240" w:lineRule="auto"/>
        <w:jc w:val="both"/>
        <w:rPr>
          <w:rStyle w:val="Nagwek1Znak"/>
          <w:rFonts w:asciiTheme="minorHAnsi" w:hAnsiTheme="minorHAnsi"/>
          <w:sz w:val="18"/>
          <w:szCs w:val="18"/>
        </w:rPr>
      </w:pPr>
    </w:p>
    <w:p w14:paraId="6B554E92" w14:textId="77777777" w:rsidR="00AC7A84" w:rsidRPr="007D03F5" w:rsidRDefault="00AC7A84" w:rsidP="00AC7A84">
      <w:pPr>
        <w:pStyle w:val="Pro-Inwest"/>
        <w:spacing w:line="240" w:lineRule="auto"/>
        <w:jc w:val="both"/>
        <w:rPr>
          <w:rStyle w:val="Nagwek1Znak"/>
          <w:rFonts w:asciiTheme="minorHAnsi" w:hAnsiTheme="minorHAnsi"/>
          <w:sz w:val="18"/>
          <w:szCs w:val="18"/>
        </w:rPr>
      </w:pPr>
    </w:p>
    <w:p w14:paraId="42B41526" w14:textId="77777777" w:rsidR="00AC7A84" w:rsidRPr="007D03F5" w:rsidRDefault="00AC7A84" w:rsidP="00AC7A84">
      <w:pPr>
        <w:pStyle w:val="Pro-Inwest"/>
        <w:spacing w:line="240" w:lineRule="auto"/>
        <w:jc w:val="both"/>
        <w:rPr>
          <w:rStyle w:val="Nagwek1Znak"/>
          <w:rFonts w:asciiTheme="minorHAnsi" w:hAnsiTheme="minorHAnsi"/>
          <w:sz w:val="18"/>
          <w:szCs w:val="18"/>
        </w:rPr>
      </w:pPr>
    </w:p>
    <w:p w14:paraId="119C320B" w14:textId="77777777" w:rsidR="00AC7A84" w:rsidRPr="007D03F5" w:rsidRDefault="00AC7A84" w:rsidP="00AC7A84">
      <w:pPr>
        <w:pStyle w:val="Pro-Inwest"/>
        <w:spacing w:line="240" w:lineRule="auto"/>
        <w:jc w:val="both"/>
        <w:rPr>
          <w:rStyle w:val="Nagwek1Znak"/>
          <w:rFonts w:asciiTheme="minorHAnsi" w:hAnsiTheme="minorHAnsi"/>
          <w:sz w:val="18"/>
          <w:szCs w:val="18"/>
        </w:rPr>
      </w:pPr>
    </w:p>
    <w:p w14:paraId="79F7CC85" w14:textId="77777777" w:rsidR="00962978" w:rsidRPr="007D03F5" w:rsidRDefault="00962978" w:rsidP="00AC7A84">
      <w:pPr>
        <w:pStyle w:val="Pro-Inwest"/>
        <w:spacing w:line="240" w:lineRule="auto"/>
        <w:jc w:val="both"/>
        <w:rPr>
          <w:rStyle w:val="Nagwek1Znak"/>
          <w:rFonts w:asciiTheme="minorHAnsi" w:hAnsiTheme="minorHAnsi"/>
          <w:sz w:val="18"/>
          <w:szCs w:val="18"/>
        </w:rPr>
      </w:pPr>
    </w:p>
    <w:p w14:paraId="30387E4E" w14:textId="77777777" w:rsidR="00AC7A84" w:rsidRPr="007D03F5" w:rsidRDefault="00AC7A84" w:rsidP="00AC7A84">
      <w:pPr>
        <w:pStyle w:val="Pro-Inwest"/>
        <w:spacing w:line="240" w:lineRule="auto"/>
        <w:jc w:val="both"/>
        <w:rPr>
          <w:rStyle w:val="Nagwek1Znak"/>
          <w:rFonts w:asciiTheme="minorHAnsi" w:hAnsiTheme="minorHAnsi"/>
          <w:sz w:val="18"/>
          <w:szCs w:val="18"/>
        </w:rPr>
      </w:pPr>
    </w:p>
    <w:p w14:paraId="0252338E" w14:textId="77777777" w:rsidR="00AC7A84" w:rsidRPr="007D03F5" w:rsidRDefault="00AC7A84" w:rsidP="00AC7A84">
      <w:pPr>
        <w:pStyle w:val="Pro-Inwest"/>
        <w:spacing w:line="240" w:lineRule="auto"/>
        <w:jc w:val="both"/>
        <w:rPr>
          <w:rStyle w:val="Nagwek1Znak"/>
          <w:rFonts w:asciiTheme="minorHAnsi" w:hAnsiTheme="minorHAnsi"/>
          <w:sz w:val="18"/>
          <w:szCs w:val="18"/>
        </w:rPr>
      </w:pPr>
    </w:p>
    <w:p w14:paraId="2690916D" w14:textId="77777777" w:rsidR="00AC7A84" w:rsidRPr="007D03F5" w:rsidRDefault="00AC7A84" w:rsidP="00AC7A84">
      <w:pPr>
        <w:pStyle w:val="Pro-Inwest"/>
        <w:spacing w:line="240" w:lineRule="auto"/>
        <w:jc w:val="both"/>
        <w:rPr>
          <w:rStyle w:val="Nagwek1Znak"/>
          <w:rFonts w:asciiTheme="minorHAnsi" w:hAnsiTheme="minorHAnsi"/>
          <w:sz w:val="18"/>
          <w:szCs w:val="18"/>
        </w:rPr>
      </w:pPr>
    </w:p>
    <w:p w14:paraId="1327B6FA" w14:textId="77777777" w:rsidR="00AC7A84" w:rsidRPr="00021789" w:rsidRDefault="00AC7A84" w:rsidP="00AC7A84">
      <w:pPr>
        <w:pStyle w:val="Pro-Inwest"/>
        <w:spacing w:line="240" w:lineRule="auto"/>
        <w:jc w:val="both"/>
        <w:rPr>
          <w:rStyle w:val="Nagwek1Znak"/>
          <w:rFonts w:asciiTheme="minorHAnsi" w:hAnsiTheme="minorHAnsi"/>
          <w:color w:val="FF0000"/>
          <w:sz w:val="18"/>
          <w:szCs w:val="18"/>
        </w:rPr>
      </w:pPr>
    </w:p>
    <w:p w14:paraId="42E6DE71" w14:textId="77777777" w:rsidR="00962978" w:rsidRPr="00021789" w:rsidRDefault="00962978" w:rsidP="00AC7A84">
      <w:pPr>
        <w:pStyle w:val="Pro-Inwest"/>
        <w:spacing w:line="240" w:lineRule="auto"/>
        <w:jc w:val="both"/>
        <w:rPr>
          <w:rStyle w:val="Nagwek1Znak"/>
          <w:rFonts w:asciiTheme="minorHAnsi" w:hAnsiTheme="minorHAnsi"/>
          <w:color w:val="FF0000"/>
          <w:sz w:val="18"/>
          <w:szCs w:val="18"/>
        </w:rPr>
      </w:pPr>
    </w:p>
    <w:p w14:paraId="7CC987C3" w14:textId="77777777" w:rsidR="00962978" w:rsidRPr="00021789" w:rsidRDefault="00962978" w:rsidP="00AC7A84">
      <w:pPr>
        <w:pStyle w:val="Pro-Inwest"/>
        <w:spacing w:line="240" w:lineRule="auto"/>
        <w:jc w:val="both"/>
        <w:rPr>
          <w:rStyle w:val="Nagwek1Znak"/>
          <w:rFonts w:asciiTheme="minorHAnsi" w:hAnsiTheme="minorHAnsi"/>
          <w:color w:val="FF0000"/>
          <w:sz w:val="18"/>
          <w:szCs w:val="18"/>
        </w:rPr>
      </w:pPr>
    </w:p>
    <w:p w14:paraId="3A2B86E2" w14:textId="77777777" w:rsidR="00962978" w:rsidRPr="00021789" w:rsidRDefault="00962978" w:rsidP="00AC7A84">
      <w:pPr>
        <w:pStyle w:val="Pro-Inwest"/>
        <w:spacing w:line="240" w:lineRule="auto"/>
        <w:jc w:val="both"/>
        <w:rPr>
          <w:rStyle w:val="Nagwek1Znak"/>
          <w:rFonts w:asciiTheme="minorHAnsi" w:hAnsiTheme="minorHAnsi"/>
          <w:color w:val="FF0000"/>
          <w:sz w:val="18"/>
          <w:szCs w:val="18"/>
        </w:rPr>
      </w:pPr>
    </w:p>
    <w:p w14:paraId="3281BF52" w14:textId="77777777" w:rsidR="00962978" w:rsidRPr="00021789" w:rsidRDefault="00962978" w:rsidP="00AC7A84">
      <w:pPr>
        <w:pStyle w:val="Pro-Inwest"/>
        <w:spacing w:line="240" w:lineRule="auto"/>
        <w:jc w:val="both"/>
        <w:rPr>
          <w:rStyle w:val="Nagwek1Znak"/>
          <w:rFonts w:asciiTheme="minorHAnsi" w:hAnsiTheme="minorHAnsi"/>
          <w:color w:val="FF0000"/>
          <w:sz w:val="18"/>
          <w:szCs w:val="18"/>
        </w:rPr>
      </w:pPr>
    </w:p>
    <w:p w14:paraId="1CF6B2BB" w14:textId="77777777" w:rsidR="00962978" w:rsidRPr="00021789" w:rsidRDefault="00962978" w:rsidP="00AC7A84">
      <w:pPr>
        <w:pStyle w:val="Pro-Inwest"/>
        <w:spacing w:line="240" w:lineRule="auto"/>
        <w:jc w:val="both"/>
        <w:rPr>
          <w:rStyle w:val="Nagwek1Znak"/>
          <w:rFonts w:asciiTheme="minorHAnsi" w:hAnsiTheme="minorHAnsi"/>
          <w:color w:val="FF0000"/>
          <w:sz w:val="18"/>
          <w:szCs w:val="18"/>
        </w:rPr>
      </w:pPr>
    </w:p>
    <w:p w14:paraId="316B2577" w14:textId="77777777" w:rsidR="00962978" w:rsidRPr="00021789" w:rsidRDefault="00962978" w:rsidP="00AC7A84">
      <w:pPr>
        <w:pStyle w:val="Pro-Inwest"/>
        <w:spacing w:line="240" w:lineRule="auto"/>
        <w:jc w:val="both"/>
        <w:rPr>
          <w:rStyle w:val="Nagwek1Znak"/>
          <w:rFonts w:asciiTheme="minorHAnsi" w:hAnsiTheme="minorHAnsi"/>
          <w:color w:val="FF0000"/>
          <w:sz w:val="18"/>
          <w:szCs w:val="18"/>
        </w:rPr>
      </w:pPr>
    </w:p>
    <w:p w14:paraId="02E5A3A4" w14:textId="77777777" w:rsidR="00962978" w:rsidRPr="00021789" w:rsidRDefault="00962978" w:rsidP="00AC7A84">
      <w:pPr>
        <w:pStyle w:val="Pro-Inwest"/>
        <w:spacing w:line="240" w:lineRule="auto"/>
        <w:jc w:val="both"/>
        <w:rPr>
          <w:rStyle w:val="Nagwek1Znak"/>
          <w:rFonts w:asciiTheme="minorHAnsi" w:hAnsiTheme="minorHAnsi"/>
          <w:color w:val="FF0000"/>
          <w:sz w:val="18"/>
          <w:szCs w:val="18"/>
        </w:rPr>
      </w:pPr>
    </w:p>
    <w:p w14:paraId="6D51AA8D" w14:textId="77777777" w:rsidR="00962978" w:rsidRPr="00021789" w:rsidRDefault="00962978" w:rsidP="00AC7A84">
      <w:pPr>
        <w:pStyle w:val="Pro-Inwest"/>
        <w:spacing w:line="240" w:lineRule="auto"/>
        <w:jc w:val="both"/>
        <w:rPr>
          <w:rStyle w:val="Nagwek1Znak"/>
          <w:rFonts w:asciiTheme="minorHAnsi" w:hAnsiTheme="minorHAnsi"/>
          <w:color w:val="FF0000"/>
          <w:sz w:val="18"/>
          <w:szCs w:val="18"/>
        </w:rPr>
      </w:pPr>
    </w:p>
    <w:p w14:paraId="79C523E6" w14:textId="77777777" w:rsidR="00962978" w:rsidRPr="00021789" w:rsidRDefault="00962978" w:rsidP="00AC7A84">
      <w:pPr>
        <w:pStyle w:val="Pro-Inwest"/>
        <w:spacing w:line="240" w:lineRule="auto"/>
        <w:jc w:val="both"/>
        <w:rPr>
          <w:rStyle w:val="Nagwek1Znak"/>
          <w:rFonts w:asciiTheme="minorHAnsi" w:hAnsiTheme="minorHAnsi"/>
          <w:color w:val="FF0000"/>
          <w:sz w:val="18"/>
          <w:szCs w:val="18"/>
        </w:rPr>
      </w:pPr>
    </w:p>
    <w:p w14:paraId="75A35E06" w14:textId="77777777" w:rsidR="00AC7A84" w:rsidRPr="00021789" w:rsidRDefault="00AC7A84" w:rsidP="00AC7A84">
      <w:pPr>
        <w:pStyle w:val="Pro-Inwest"/>
        <w:spacing w:line="240" w:lineRule="auto"/>
        <w:jc w:val="both"/>
        <w:rPr>
          <w:rStyle w:val="Nagwek1Znak"/>
          <w:rFonts w:asciiTheme="minorHAnsi" w:hAnsiTheme="minorHAnsi"/>
          <w:color w:val="FF0000"/>
          <w:sz w:val="18"/>
          <w:szCs w:val="18"/>
        </w:rPr>
      </w:pPr>
    </w:p>
    <w:p w14:paraId="175AF7C8" w14:textId="77777777" w:rsidR="00AC7A84" w:rsidRPr="00021789" w:rsidRDefault="00AC7A84" w:rsidP="00AC7A84">
      <w:pPr>
        <w:pStyle w:val="Pro-Inwest"/>
        <w:spacing w:line="240" w:lineRule="auto"/>
        <w:jc w:val="both"/>
        <w:rPr>
          <w:rStyle w:val="Nagwek1Znak"/>
          <w:rFonts w:asciiTheme="minorHAnsi" w:hAnsiTheme="minorHAnsi"/>
          <w:color w:val="FF0000"/>
          <w:sz w:val="18"/>
          <w:szCs w:val="18"/>
        </w:rPr>
      </w:pPr>
    </w:p>
    <w:p w14:paraId="17E060D7" w14:textId="77777777" w:rsidR="00AC7A84" w:rsidRPr="00021789" w:rsidRDefault="00AC7A84" w:rsidP="00AC7A84">
      <w:pPr>
        <w:pStyle w:val="Pro-Inwest"/>
        <w:spacing w:line="240" w:lineRule="auto"/>
        <w:jc w:val="both"/>
        <w:rPr>
          <w:rStyle w:val="Nagwek1Znak"/>
          <w:rFonts w:asciiTheme="minorHAnsi" w:hAnsiTheme="minorHAnsi"/>
          <w:color w:val="FF0000"/>
          <w:sz w:val="18"/>
          <w:szCs w:val="18"/>
        </w:rPr>
      </w:pPr>
    </w:p>
    <w:p w14:paraId="0E1D123F" w14:textId="77777777" w:rsidR="00AC7A84" w:rsidRPr="007D03F5" w:rsidRDefault="00AC7A84" w:rsidP="00AC7A84">
      <w:pPr>
        <w:pStyle w:val="Pro-Inwest"/>
        <w:spacing w:line="240" w:lineRule="auto"/>
        <w:jc w:val="both"/>
        <w:rPr>
          <w:rFonts w:asciiTheme="minorHAnsi" w:hAnsiTheme="minorHAnsi"/>
          <w:b/>
          <w:sz w:val="18"/>
          <w:szCs w:val="18"/>
        </w:rPr>
      </w:pPr>
      <w:r w:rsidRPr="007D03F5">
        <w:rPr>
          <w:rStyle w:val="Nagwek1Znak"/>
          <w:rFonts w:asciiTheme="minorHAnsi" w:hAnsiTheme="minorHAnsi"/>
          <w:sz w:val="18"/>
          <w:szCs w:val="18"/>
        </w:rPr>
        <w:lastRenderedPageBreak/>
        <w:t>D.08.03.01</w:t>
      </w:r>
      <w:r w:rsidRPr="007D03F5">
        <w:rPr>
          <w:rFonts w:asciiTheme="minorHAnsi" w:hAnsiTheme="minorHAnsi"/>
          <w:b/>
          <w:sz w:val="18"/>
          <w:szCs w:val="18"/>
        </w:rPr>
        <w:t xml:space="preserve"> GRANITOWE OBRZEŻA</w:t>
      </w:r>
    </w:p>
    <w:p w14:paraId="0C51C658" w14:textId="77777777" w:rsidR="00AC7A84" w:rsidRPr="007D03F5" w:rsidRDefault="00AC7A84" w:rsidP="00AC7A84">
      <w:pPr>
        <w:pStyle w:val="Pro-Inwest"/>
        <w:jc w:val="both"/>
        <w:rPr>
          <w:rFonts w:asciiTheme="minorHAnsi" w:hAnsiTheme="minorHAnsi"/>
          <w:sz w:val="16"/>
          <w:szCs w:val="16"/>
        </w:rPr>
      </w:pPr>
      <w:bookmarkStart w:id="21" w:name="_Toc426531382"/>
    </w:p>
    <w:p w14:paraId="3832CE13"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1. WSTĘP</w:t>
      </w:r>
      <w:bookmarkEnd w:id="21"/>
    </w:p>
    <w:p w14:paraId="101879E9"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 xml:space="preserve">1.1. Przedmiot </w:t>
      </w:r>
      <w:proofErr w:type="spellStart"/>
      <w:r w:rsidRPr="007D03F5">
        <w:rPr>
          <w:rFonts w:asciiTheme="minorHAnsi" w:hAnsiTheme="minorHAnsi"/>
          <w:b/>
          <w:sz w:val="16"/>
          <w:szCs w:val="16"/>
        </w:rPr>
        <w:t>STWiORB</w:t>
      </w:r>
      <w:proofErr w:type="spellEnd"/>
    </w:p>
    <w:p w14:paraId="16098C4E" w14:textId="7ABDB168"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Przedmiotem niniejszej specyfikacji technicznej wykonania i odbioru robót budowlanych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są wymagania dotyczące </w:t>
      </w:r>
      <w:r w:rsidRPr="007D03F5">
        <w:rPr>
          <w:rFonts w:asciiTheme="minorHAnsi" w:hAnsiTheme="minorHAnsi" w:cstheme="minorHAnsi"/>
          <w:sz w:val="16"/>
          <w:szCs w:val="16"/>
        </w:rPr>
        <w:t>wykonania i odbioru robót związanych z ustawieniem granitowego obrzeża dla opracowania dokumentacji projektowej dla zadania</w:t>
      </w:r>
      <w:r w:rsidR="00962978" w:rsidRPr="007D03F5">
        <w:rPr>
          <w:rFonts w:asciiTheme="minorHAnsi" w:hAnsiTheme="minorHAnsi" w:cstheme="minorHAnsi"/>
          <w:sz w:val="16"/>
          <w:szCs w:val="16"/>
        </w:rPr>
        <w:br/>
      </w:r>
      <w:r w:rsidRPr="007D03F5">
        <w:rPr>
          <w:rFonts w:asciiTheme="minorHAnsi" w:hAnsiTheme="minorHAnsi" w:cstheme="minorHAnsi"/>
          <w:sz w:val="16"/>
          <w:szCs w:val="16"/>
        </w:rPr>
        <w:t>o nazwie „</w:t>
      </w:r>
      <w:r w:rsidR="00962978" w:rsidRPr="007D03F5">
        <w:rPr>
          <w:rFonts w:asciiTheme="minorHAnsi" w:hAnsiTheme="minorHAnsi" w:cstheme="minorHAnsi"/>
          <w:sz w:val="16"/>
          <w:szCs w:val="16"/>
        </w:rPr>
        <w:t>Przebudowa, rozbudowa i remont budynku Uniwersytetu Łódzkiego przy ul. Sienkiewicza 21 w Łodzi, wraz ze zmianą jego sposobu użytkowania z funkcji dydaktycznej  na budynek usługowy o funkcji nauki i kultury z częścią o funkcji zamieszkania zbiorowego(centrum kultury z pokojami gościnnymi) rozbiórką balkonów i schodów zewnętrznych wraz z zadaszeniem, oraz wykonaniem ocieplenia elewacji północnej oraz zachodniej, budową szklanego świetlika nad dziedzińcem wewnętrznym oraz realizacją niezbędnej infrastruktury technicznej i zagospodarowania terenu”. Inwestorem przedsięwzięcia jest Uniwersytet Łódzki, ul. Narutowicza 68 , 90-136 Łódź.</w:t>
      </w:r>
    </w:p>
    <w:p w14:paraId="075849B5"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 xml:space="preserve">1.2. Zakres stosowania </w:t>
      </w:r>
      <w:proofErr w:type="spellStart"/>
      <w:r w:rsidRPr="007D03F5">
        <w:rPr>
          <w:rFonts w:asciiTheme="minorHAnsi" w:hAnsiTheme="minorHAnsi"/>
          <w:b/>
          <w:sz w:val="16"/>
          <w:szCs w:val="16"/>
        </w:rPr>
        <w:t>STWiORB</w:t>
      </w:r>
      <w:proofErr w:type="spellEnd"/>
    </w:p>
    <w:p w14:paraId="61104F29" w14:textId="6F8F0F0C"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Specyfikacja techniczna wykonania i odbioru robót budowlanych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stosowana jest jako dokument przetargowy</w:t>
      </w:r>
      <w:r w:rsidR="00962978" w:rsidRPr="007D03F5">
        <w:rPr>
          <w:rFonts w:asciiTheme="minorHAnsi" w:hAnsiTheme="minorHAnsi"/>
          <w:sz w:val="16"/>
          <w:szCs w:val="16"/>
        </w:rPr>
        <w:br/>
      </w:r>
      <w:r w:rsidRPr="007D03F5">
        <w:rPr>
          <w:rFonts w:asciiTheme="minorHAnsi" w:hAnsiTheme="minorHAnsi"/>
          <w:sz w:val="16"/>
          <w:szCs w:val="16"/>
        </w:rPr>
        <w:t>i kontraktowy przy zlecaniu i realizacji robót drogowych.</w:t>
      </w:r>
    </w:p>
    <w:p w14:paraId="49B9D0C1"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 xml:space="preserve">1.3. Zakres robót objętych </w:t>
      </w:r>
      <w:proofErr w:type="spellStart"/>
      <w:r w:rsidRPr="007D03F5">
        <w:rPr>
          <w:rFonts w:asciiTheme="minorHAnsi" w:hAnsiTheme="minorHAnsi"/>
          <w:b/>
          <w:sz w:val="16"/>
          <w:szCs w:val="16"/>
        </w:rPr>
        <w:t>STWiORB</w:t>
      </w:r>
      <w:proofErr w:type="spellEnd"/>
    </w:p>
    <w:p w14:paraId="788A556D"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Ustalenia zawarte w niniejszej specyfikacji dotyczą zasad prowadzenia robót związanych z ustawieniem granitowego obrzeża.</w:t>
      </w:r>
    </w:p>
    <w:p w14:paraId="6DFC2437"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Roboty towarzyszące – oznakowanie robót.</w:t>
      </w:r>
    </w:p>
    <w:p w14:paraId="7D06484A"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1.4. Określenia podstawowe</w:t>
      </w:r>
    </w:p>
    <w:p w14:paraId="751037E4"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1.4.1. Obrzeża granitowe - belki kamienne (granitowe) rozgraniczające jednostronnie lub dwustronnie ciągi komunikacyjne od terenów nie przeznaczonych do komunikacji.</w:t>
      </w:r>
    </w:p>
    <w:p w14:paraId="0A3D0D28"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1.4.2. Pozostałe określenia podstawowe są zgodne z obowiązującymi, odpowiednimi polskimi normami  i definicjami podanymi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D-M-00.00.00 „Wymagania ogólne” pkt 1.4.</w:t>
      </w:r>
    </w:p>
    <w:p w14:paraId="632E7D96"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1.5. Ogólne wymagania dotyczące robót</w:t>
      </w:r>
    </w:p>
    <w:p w14:paraId="0994DD54"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Ogólne wymagania dotyczące robót podano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D-M-00.00.00 „Wymagania ogólne” pkt 1.5.</w:t>
      </w:r>
    </w:p>
    <w:p w14:paraId="2EFBA054" w14:textId="77777777" w:rsidR="00AC7A84" w:rsidRPr="007D03F5" w:rsidRDefault="00AC7A84" w:rsidP="00AC7A84">
      <w:pPr>
        <w:pStyle w:val="Pro-Inwest"/>
        <w:jc w:val="both"/>
        <w:rPr>
          <w:rFonts w:asciiTheme="minorHAnsi" w:hAnsiTheme="minorHAnsi"/>
          <w:sz w:val="16"/>
          <w:szCs w:val="16"/>
        </w:rPr>
      </w:pPr>
      <w:bookmarkStart w:id="22" w:name="_Toc426531383"/>
      <w:bookmarkStart w:id="23" w:name="_Toc425567015"/>
    </w:p>
    <w:p w14:paraId="064294EE"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2. MATERIAŁY</w:t>
      </w:r>
      <w:bookmarkEnd w:id="22"/>
      <w:bookmarkEnd w:id="23"/>
    </w:p>
    <w:p w14:paraId="43581CD7"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2.1. Ogólne wymagania dotyczące materiałów</w:t>
      </w:r>
    </w:p>
    <w:p w14:paraId="26574EA8"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Ogólne wymagania dotyczące materiałów, ich pozyskiwania i składowania podano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D-M-00.00.00 „Wymagania ogólne” pkt 2.</w:t>
      </w:r>
    </w:p>
    <w:p w14:paraId="7E7141BE"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2.2. Stosowane materiały</w:t>
      </w:r>
    </w:p>
    <w:p w14:paraId="59F41780"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Materiałami stosowanymi są:</w:t>
      </w:r>
    </w:p>
    <w:p w14:paraId="04365E8C" w14:textId="77777777" w:rsidR="00AC7A84" w:rsidRPr="007D03F5" w:rsidRDefault="00AC7A84" w:rsidP="00AC7A84">
      <w:pPr>
        <w:pStyle w:val="Pro-Inwest"/>
        <w:numPr>
          <w:ilvl w:val="0"/>
          <w:numId w:val="39"/>
        </w:numPr>
        <w:jc w:val="both"/>
        <w:rPr>
          <w:rFonts w:asciiTheme="minorHAnsi" w:hAnsiTheme="minorHAnsi"/>
          <w:sz w:val="16"/>
          <w:szCs w:val="16"/>
        </w:rPr>
      </w:pPr>
      <w:r w:rsidRPr="007D03F5">
        <w:rPr>
          <w:rFonts w:asciiTheme="minorHAnsi" w:hAnsiTheme="minorHAnsi"/>
          <w:sz w:val="16"/>
          <w:szCs w:val="16"/>
        </w:rPr>
        <w:t>obrzeża granitowe,</w:t>
      </w:r>
    </w:p>
    <w:p w14:paraId="34D5DA8E" w14:textId="77777777" w:rsidR="00AC7A84" w:rsidRPr="007D03F5" w:rsidRDefault="00AC7A84" w:rsidP="00AC7A84">
      <w:pPr>
        <w:pStyle w:val="Pro-Inwest"/>
        <w:numPr>
          <w:ilvl w:val="0"/>
          <w:numId w:val="39"/>
        </w:numPr>
        <w:jc w:val="both"/>
        <w:rPr>
          <w:rFonts w:asciiTheme="minorHAnsi" w:hAnsiTheme="minorHAnsi"/>
          <w:sz w:val="16"/>
          <w:szCs w:val="16"/>
        </w:rPr>
      </w:pPr>
      <w:r w:rsidRPr="007D03F5">
        <w:rPr>
          <w:rFonts w:asciiTheme="minorHAnsi" w:hAnsiTheme="minorHAnsi"/>
          <w:sz w:val="16"/>
          <w:szCs w:val="16"/>
        </w:rPr>
        <w:t>żwir lub piasek do wykonania ław,</w:t>
      </w:r>
    </w:p>
    <w:p w14:paraId="0B2E4E2F" w14:textId="77777777" w:rsidR="00AC7A84" w:rsidRPr="007D03F5" w:rsidRDefault="00AC7A84" w:rsidP="00AC7A84">
      <w:pPr>
        <w:pStyle w:val="Pro-Inwest"/>
        <w:numPr>
          <w:ilvl w:val="0"/>
          <w:numId w:val="39"/>
        </w:numPr>
        <w:jc w:val="both"/>
        <w:rPr>
          <w:rFonts w:asciiTheme="minorHAnsi" w:hAnsiTheme="minorHAnsi"/>
          <w:sz w:val="16"/>
          <w:szCs w:val="16"/>
        </w:rPr>
      </w:pPr>
      <w:r w:rsidRPr="007D03F5">
        <w:rPr>
          <w:rFonts w:asciiTheme="minorHAnsi" w:hAnsiTheme="minorHAnsi"/>
          <w:sz w:val="16"/>
          <w:szCs w:val="16"/>
        </w:rPr>
        <w:t>cement,</w:t>
      </w:r>
    </w:p>
    <w:p w14:paraId="0A7A1753" w14:textId="77777777" w:rsidR="00AC7A84" w:rsidRPr="007D03F5" w:rsidRDefault="00AC7A84" w:rsidP="00AC7A84">
      <w:pPr>
        <w:pStyle w:val="Pro-Inwest"/>
        <w:numPr>
          <w:ilvl w:val="0"/>
          <w:numId w:val="39"/>
        </w:numPr>
        <w:jc w:val="both"/>
        <w:rPr>
          <w:rFonts w:asciiTheme="minorHAnsi" w:hAnsiTheme="minorHAnsi"/>
          <w:sz w:val="16"/>
          <w:szCs w:val="16"/>
        </w:rPr>
      </w:pPr>
      <w:r w:rsidRPr="007D03F5">
        <w:rPr>
          <w:rFonts w:asciiTheme="minorHAnsi" w:hAnsiTheme="minorHAnsi"/>
          <w:sz w:val="16"/>
          <w:szCs w:val="16"/>
        </w:rPr>
        <w:t>piasek do zapraw.</w:t>
      </w:r>
    </w:p>
    <w:p w14:paraId="08DD921D" w14:textId="77777777" w:rsidR="00AC7A84" w:rsidRPr="007D03F5" w:rsidRDefault="00AC7A84" w:rsidP="00AC7A84">
      <w:pPr>
        <w:pStyle w:val="Pro-Inwest"/>
        <w:jc w:val="both"/>
        <w:rPr>
          <w:rFonts w:asciiTheme="minorHAnsi" w:hAnsiTheme="minorHAnsi"/>
          <w:b/>
          <w:bCs/>
          <w:sz w:val="16"/>
          <w:szCs w:val="16"/>
        </w:rPr>
      </w:pPr>
      <w:r w:rsidRPr="007D03F5">
        <w:rPr>
          <w:rFonts w:asciiTheme="minorHAnsi" w:hAnsiTheme="minorHAnsi"/>
          <w:b/>
          <w:bCs/>
          <w:sz w:val="16"/>
          <w:szCs w:val="16"/>
        </w:rPr>
        <w:t>2.3. Granitowe obrzeża</w:t>
      </w:r>
    </w:p>
    <w:p w14:paraId="373B1689"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Należy stosować obrzeża granitowe 6x20cm</w:t>
      </w:r>
    </w:p>
    <w:p w14:paraId="70DC61DB"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2.4. Granitowe obrzeża  - wymagania techniczne</w:t>
      </w:r>
    </w:p>
    <w:p w14:paraId="51A2F177"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2.4.1. Wymiary granitowych obrzeży</w:t>
      </w:r>
    </w:p>
    <w:p w14:paraId="73163313"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Kształt obrzeży  przedstawiono na rysunku 1, a wymiary podano w tablicy 1.</w:t>
      </w:r>
    </w:p>
    <w:p w14:paraId="35B25FBB" w14:textId="77777777" w:rsidR="00AC7A84" w:rsidRPr="007D03F5" w:rsidRDefault="00AC7A84" w:rsidP="00AC7A84">
      <w:pPr>
        <w:pStyle w:val="Pro-Inwest"/>
        <w:jc w:val="both"/>
        <w:rPr>
          <w:rFonts w:asciiTheme="minorHAnsi" w:hAnsiTheme="minorHAnsi"/>
          <w:sz w:val="16"/>
          <w:szCs w:val="16"/>
        </w:rPr>
      </w:pPr>
    </w:p>
    <w:p w14:paraId="170F5E48" w14:textId="77777777" w:rsidR="00AC7A84" w:rsidRPr="007D03F5" w:rsidRDefault="00AC7A84" w:rsidP="00AC7A84">
      <w:pPr>
        <w:pStyle w:val="Pro-Inwest"/>
        <w:framePr w:hSpace="141" w:wrap="around" w:vAnchor="text" w:hAnchor="page" w:x="4113" w:y="2"/>
        <w:jc w:val="both"/>
        <w:rPr>
          <w:rFonts w:asciiTheme="minorHAnsi" w:hAnsiTheme="minorHAnsi"/>
          <w:sz w:val="16"/>
          <w:szCs w:val="16"/>
        </w:rPr>
      </w:pPr>
      <w:r w:rsidRPr="007D03F5">
        <w:rPr>
          <w:rFonts w:asciiTheme="minorHAnsi" w:hAnsiTheme="minorHAnsi"/>
          <w:noProof/>
          <w:sz w:val="16"/>
          <w:szCs w:val="16"/>
          <w:lang w:eastAsia="pl-PL"/>
        </w:rPr>
        <w:drawing>
          <wp:inline distT="0" distB="0" distL="0" distR="0" wp14:anchorId="5A0A77E0" wp14:editId="5EA5ADEE">
            <wp:extent cx="2345690" cy="107315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345690" cy="1073150"/>
                    </a:xfrm>
                    <a:prstGeom prst="rect">
                      <a:avLst/>
                    </a:prstGeom>
                    <a:noFill/>
                    <a:ln>
                      <a:noFill/>
                    </a:ln>
                  </pic:spPr>
                </pic:pic>
              </a:graphicData>
            </a:graphic>
          </wp:inline>
        </w:drawing>
      </w:r>
    </w:p>
    <w:p w14:paraId="43A09F5C" w14:textId="77777777" w:rsidR="00AC7A84" w:rsidRPr="007D03F5" w:rsidRDefault="00AC7A84" w:rsidP="00AC7A84">
      <w:pPr>
        <w:pStyle w:val="Pro-Inwest"/>
        <w:jc w:val="both"/>
        <w:rPr>
          <w:rFonts w:asciiTheme="minorHAnsi" w:hAnsiTheme="minorHAnsi"/>
          <w:sz w:val="16"/>
          <w:szCs w:val="16"/>
        </w:rPr>
      </w:pPr>
    </w:p>
    <w:p w14:paraId="040E76E6" w14:textId="77777777" w:rsidR="00AC7A84" w:rsidRPr="007D03F5" w:rsidRDefault="00AC7A84" w:rsidP="00AC7A84">
      <w:pPr>
        <w:pStyle w:val="Pro-Inwest"/>
        <w:jc w:val="both"/>
        <w:rPr>
          <w:rFonts w:asciiTheme="minorHAnsi" w:hAnsiTheme="minorHAnsi"/>
          <w:sz w:val="16"/>
          <w:szCs w:val="16"/>
        </w:rPr>
      </w:pPr>
    </w:p>
    <w:p w14:paraId="39F40D4D" w14:textId="77777777" w:rsidR="00AC7A84" w:rsidRPr="007D03F5" w:rsidRDefault="00AC7A84" w:rsidP="00AC7A84">
      <w:pPr>
        <w:pStyle w:val="Pro-Inwest"/>
        <w:jc w:val="both"/>
        <w:rPr>
          <w:rFonts w:asciiTheme="minorHAnsi" w:hAnsiTheme="minorHAnsi"/>
          <w:sz w:val="16"/>
          <w:szCs w:val="16"/>
        </w:rPr>
      </w:pPr>
    </w:p>
    <w:p w14:paraId="62AF2234" w14:textId="77777777" w:rsidR="00AC7A84" w:rsidRPr="007D03F5" w:rsidRDefault="00AC7A84" w:rsidP="00AC7A84">
      <w:pPr>
        <w:pStyle w:val="Pro-Inwest"/>
        <w:jc w:val="both"/>
        <w:rPr>
          <w:rFonts w:asciiTheme="minorHAnsi" w:hAnsiTheme="minorHAnsi"/>
          <w:sz w:val="16"/>
          <w:szCs w:val="16"/>
        </w:rPr>
      </w:pPr>
    </w:p>
    <w:p w14:paraId="73C01FEC" w14:textId="77777777" w:rsidR="00AC7A84" w:rsidRPr="007D03F5" w:rsidRDefault="00AC7A84" w:rsidP="00AC7A84">
      <w:pPr>
        <w:pStyle w:val="Pro-Inwest"/>
        <w:jc w:val="both"/>
        <w:rPr>
          <w:rFonts w:asciiTheme="minorHAnsi" w:hAnsiTheme="minorHAnsi"/>
          <w:sz w:val="16"/>
          <w:szCs w:val="16"/>
        </w:rPr>
      </w:pPr>
    </w:p>
    <w:p w14:paraId="2C958451" w14:textId="77777777" w:rsidR="00AC7A84" w:rsidRPr="007D03F5" w:rsidRDefault="00AC7A84" w:rsidP="00AC7A84">
      <w:pPr>
        <w:pStyle w:val="Pro-Inwest"/>
        <w:jc w:val="both"/>
        <w:rPr>
          <w:rFonts w:asciiTheme="minorHAnsi" w:hAnsiTheme="minorHAnsi"/>
          <w:sz w:val="16"/>
          <w:szCs w:val="16"/>
        </w:rPr>
      </w:pPr>
    </w:p>
    <w:p w14:paraId="7F01DA55" w14:textId="77777777" w:rsidR="00AC7A84" w:rsidRPr="007D03F5" w:rsidRDefault="00AC7A84" w:rsidP="00AC7A84">
      <w:pPr>
        <w:pStyle w:val="Pro-Inwest"/>
        <w:jc w:val="both"/>
        <w:rPr>
          <w:rFonts w:asciiTheme="minorHAnsi" w:hAnsiTheme="minorHAnsi"/>
          <w:sz w:val="16"/>
          <w:szCs w:val="16"/>
        </w:rPr>
      </w:pPr>
    </w:p>
    <w:p w14:paraId="0521F6F4" w14:textId="77777777" w:rsidR="00AC7A84" w:rsidRPr="007D03F5" w:rsidRDefault="00AC7A84" w:rsidP="00AC7A84">
      <w:pPr>
        <w:pStyle w:val="Pro-Inwest"/>
        <w:jc w:val="both"/>
        <w:rPr>
          <w:rFonts w:asciiTheme="minorHAnsi" w:hAnsiTheme="minorHAnsi"/>
          <w:sz w:val="16"/>
          <w:szCs w:val="16"/>
        </w:rPr>
      </w:pPr>
    </w:p>
    <w:p w14:paraId="030B9CBA"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Rysunek 1. Kształt granitowego obrzeża</w:t>
      </w:r>
    </w:p>
    <w:p w14:paraId="6F8833E1" w14:textId="77777777" w:rsidR="00AC7A84" w:rsidRPr="007D03F5" w:rsidRDefault="00AC7A84" w:rsidP="00AC7A84">
      <w:pPr>
        <w:pStyle w:val="Pro-Inwest"/>
        <w:jc w:val="both"/>
        <w:rPr>
          <w:rFonts w:asciiTheme="minorHAnsi" w:hAnsiTheme="minorHAnsi"/>
          <w:sz w:val="16"/>
          <w:szCs w:val="16"/>
        </w:rPr>
      </w:pPr>
    </w:p>
    <w:p w14:paraId="573B344D"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Tablica 1. Wymiary obrzeży</w:t>
      </w:r>
    </w:p>
    <w:tbl>
      <w:tblPr>
        <w:tblW w:w="0" w:type="auto"/>
        <w:tblLayout w:type="fixed"/>
        <w:tblCellMar>
          <w:left w:w="70" w:type="dxa"/>
          <w:right w:w="70" w:type="dxa"/>
        </w:tblCellMar>
        <w:tblLook w:val="04A0" w:firstRow="1" w:lastRow="0" w:firstColumn="1" w:lastColumn="0" w:noHBand="0" w:noVBand="1"/>
      </w:tblPr>
      <w:tblGrid>
        <w:gridCol w:w="1346"/>
        <w:gridCol w:w="1232"/>
        <w:gridCol w:w="1232"/>
        <w:gridCol w:w="1232"/>
        <w:gridCol w:w="1265"/>
      </w:tblGrid>
      <w:tr w:rsidR="00021789" w:rsidRPr="007D03F5" w14:paraId="6A413DF2" w14:textId="77777777" w:rsidTr="00CF35EE">
        <w:tc>
          <w:tcPr>
            <w:tcW w:w="1346" w:type="dxa"/>
            <w:tcBorders>
              <w:top w:val="single" w:sz="6" w:space="0" w:color="auto"/>
              <w:left w:val="single" w:sz="6" w:space="0" w:color="auto"/>
              <w:bottom w:val="nil"/>
              <w:right w:val="nil"/>
            </w:tcBorders>
            <w:hideMark/>
          </w:tcPr>
          <w:p w14:paraId="15525E98"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Rodzaj</w:t>
            </w:r>
          </w:p>
        </w:tc>
        <w:tc>
          <w:tcPr>
            <w:tcW w:w="4961" w:type="dxa"/>
            <w:gridSpan w:val="4"/>
            <w:tcBorders>
              <w:top w:val="single" w:sz="6" w:space="0" w:color="auto"/>
              <w:left w:val="single" w:sz="6" w:space="0" w:color="auto"/>
              <w:bottom w:val="single" w:sz="6" w:space="0" w:color="auto"/>
              <w:right w:val="single" w:sz="6" w:space="0" w:color="auto"/>
            </w:tcBorders>
            <w:hideMark/>
          </w:tcPr>
          <w:p w14:paraId="1403A0EC"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Wymiary obrzeży,   cm</w:t>
            </w:r>
          </w:p>
        </w:tc>
      </w:tr>
      <w:tr w:rsidR="00021789" w:rsidRPr="007D03F5" w14:paraId="590250C7" w14:textId="77777777" w:rsidTr="00CF35EE">
        <w:tc>
          <w:tcPr>
            <w:tcW w:w="1346" w:type="dxa"/>
            <w:tcBorders>
              <w:top w:val="nil"/>
              <w:left w:val="single" w:sz="6" w:space="0" w:color="auto"/>
              <w:bottom w:val="double" w:sz="6" w:space="0" w:color="auto"/>
              <w:right w:val="nil"/>
            </w:tcBorders>
            <w:hideMark/>
          </w:tcPr>
          <w:p w14:paraId="63F2604D"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obrzeża</w:t>
            </w:r>
          </w:p>
        </w:tc>
        <w:tc>
          <w:tcPr>
            <w:tcW w:w="1232" w:type="dxa"/>
            <w:tcBorders>
              <w:top w:val="single" w:sz="6" w:space="0" w:color="auto"/>
              <w:left w:val="single" w:sz="6" w:space="0" w:color="auto"/>
              <w:bottom w:val="double" w:sz="6" w:space="0" w:color="auto"/>
              <w:right w:val="single" w:sz="6" w:space="0" w:color="auto"/>
            </w:tcBorders>
            <w:hideMark/>
          </w:tcPr>
          <w:p w14:paraId="64655FAF"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l</w:t>
            </w:r>
          </w:p>
        </w:tc>
        <w:tc>
          <w:tcPr>
            <w:tcW w:w="1232" w:type="dxa"/>
            <w:tcBorders>
              <w:top w:val="single" w:sz="6" w:space="0" w:color="auto"/>
              <w:left w:val="single" w:sz="6" w:space="0" w:color="auto"/>
              <w:bottom w:val="double" w:sz="6" w:space="0" w:color="auto"/>
              <w:right w:val="single" w:sz="6" w:space="0" w:color="auto"/>
            </w:tcBorders>
            <w:hideMark/>
          </w:tcPr>
          <w:p w14:paraId="2014A421"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b</w:t>
            </w:r>
          </w:p>
        </w:tc>
        <w:tc>
          <w:tcPr>
            <w:tcW w:w="1232" w:type="dxa"/>
            <w:tcBorders>
              <w:top w:val="single" w:sz="6" w:space="0" w:color="auto"/>
              <w:left w:val="single" w:sz="6" w:space="0" w:color="auto"/>
              <w:bottom w:val="double" w:sz="6" w:space="0" w:color="auto"/>
              <w:right w:val="single" w:sz="6" w:space="0" w:color="auto"/>
            </w:tcBorders>
            <w:hideMark/>
          </w:tcPr>
          <w:p w14:paraId="52E93A83"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h</w:t>
            </w:r>
          </w:p>
        </w:tc>
        <w:tc>
          <w:tcPr>
            <w:tcW w:w="1265" w:type="dxa"/>
            <w:tcBorders>
              <w:top w:val="single" w:sz="6" w:space="0" w:color="auto"/>
              <w:left w:val="single" w:sz="6" w:space="0" w:color="auto"/>
              <w:bottom w:val="double" w:sz="6" w:space="0" w:color="auto"/>
              <w:right w:val="single" w:sz="6" w:space="0" w:color="auto"/>
            </w:tcBorders>
          </w:tcPr>
          <w:p w14:paraId="58769A17" w14:textId="77777777" w:rsidR="00AC7A84" w:rsidRPr="007D03F5" w:rsidRDefault="00AC7A84" w:rsidP="00CF35EE">
            <w:pPr>
              <w:pStyle w:val="Pro-Inwest"/>
              <w:jc w:val="both"/>
              <w:rPr>
                <w:rFonts w:asciiTheme="minorHAnsi" w:hAnsiTheme="minorHAnsi"/>
                <w:sz w:val="16"/>
                <w:szCs w:val="16"/>
              </w:rPr>
            </w:pPr>
          </w:p>
        </w:tc>
      </w:tr>
      <w:tr w:rsidR="00962978" w:rsidRPr="007D03F5" w14:paraId="29B878FE" w14:textId="77777777" w:rsidTr="00CF35EE">
        <w:tc>
          <w:tcPr>
            <w:tcW w:w="1346" w:type="dxa"/>
            <w:tcBorders>
              <w:top w:val="nil"/>
              <w:left w:val="single" w:sz="6" w:space="0" w:color="auto"/>
              <w:bottom w:val="single" w:sz="6" w:space="0" w:color="auto"/>
              <w:right w:val="nil"/>
            </w:tcBorders>
            <w:hideMark/>
          </w:tcPr>
          <w:p w14:paraId="48E1B5C3"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On</w:t>
            </w:r>
          </w:p>
        </w:tc>
        <w:tc>
          <w:tcPr>
            <w:tcW w:w="1232" w:type="dxa"/>
            <w:tcBorders>
              <w:top w:val="nil"/>
              <w:left w:val="single" w:sz="6" w:space="0" w:color="auto"/>
              <w:bottom w:val="single" w:sz="6" w:space="0" w:color="auto"/>
              <w:right w:val="single" w:sz="6" w:space="0" w:color="auto"/>
            </w:tcBorders>
            <w:hideMark/>
          </w:tcPr>
          <w:p w14:paraId="1606E105"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75</w:t>
            </w:r>
          </w:p>
          <w:p w14:paraId="20F334DD"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100</w:t>
            </w:r>
          </w:p>
        </w:tc>
        <w:tc>
          <w:tcPr>
            <w:tcW w:w="1232" w:type="dxa"/>
            <w:tcBorders>
              <w:top w:val="nil"/>
              <w:left w:val="single" w:sz="6" w:space="0" w:color="auto"/>
              <w:bottom w:val="single" w:sz="6" w:space="0" w:color="auto"/>
              <w:right w:val="single" w:sz="6" w:space="0" w:color="auto"/>
            </w:tcBorders>
            <w:hideMark/>
          </w:tcPr>
          <w:p w14:paraId="2D3FD708"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6</w:t>
            </w:r>
          </w:p>
          <w:p w14:paraId="05291218"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6</w:t>
            </w:r>
          </w:p>
        </w:tc>
        <w:tc>
          <w:tcPr>
            <w:tcW w:w="1232" w:type="dxa"/>
            <w:tcBorders>
              <w:top w:val="nil"/>
              <w:left w:val="single" w:sz="6" w:space="0" w:color="auto"/>
              <w:bottom w:val="single" w:sz="6" w:space="0" w:color="auto"/>
              <w:right w:val="single" w:sz="6" w:space="0" w:color="auto"/>
            </w:tcBorders>
            <w:hideMark/>
          </w:tcPr>
          <w:p w14:paraId="13A7E170"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20</w:t>
            </w:r>
          </w:p>
          <w:p w14:paraId="2A803A70"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20</w:t>
            </w:r>
          </w:p>
        </w:tc>
        <w:tc>
          <w:tcPr>
            <w:tcW w:w="1265" w:type="dxa"/>
            <w:tcBorders>
              <w:top w:val="nil"/>
              <w:left w:val="single" w:sz="6" w:space="0" w:color="auto"/>
              <w:bottom w:val="single" w:sz="6" w:space="0" w:color="auto"/>
              <w:right w:val="single" w:sz="6" w:space="0" w:color="auto"/>
            </w:tcBorders>
          </w:tcPr>
          <w:p w14:paraId="144EAFBC" w14:textId="77777777" w:rsidR="00AC7A84" w:rsidRPr="007D03F5" w:rsidRDefault="00AC7A84" w:rsidP="00CF35EE">
            <w:pPr>
              <w:pStyle w:val="Pro-Inwest"/>
              <w:jc w:val="both"/>
              <w:rPr>
                <w:rFonts w:asciiTheme="minorHAnsi" w:hAnsiTheme="minorHAnsi"/>
                <w:sz w:val="16"/>
                <w:szCs w:val="16"/>
              </w:rPr>
            </w:pPr>
          </w:p>
        </w:tc>
      </w:tr>
    </w:tbl>
    <w:p w14:paraId="25067CDF" w14:textId="77777777" w:rsidR="00AC7A84" w:rsidRPr="007D03F5" w:rsidRDefault="00AC7A84" w:rsidP="00AC7A84">
      <w:pPr>
        <w:pStyle w:val="Pro-Inwest"/>
        <w:jc w:val="both"/>
        <w:rPr>
          <w:rFonts w:asciiTheme="minorHAnsi" w:hAnsiTheme="minorHAnsi"/>
          <w:sz w:val="16"/>
          <w:szCs w:val="16"/>
        </w:rPr>
      </w:pPr>
    </w:p>
    <w:p w14:paraId="04F12D44"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2.4.2. Dopuszczalne odchyłki wymiarów obrzeży</w:t>
      </w:r>
    </w:p>
    <w:p w14:paraId="33622A4C"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Dopuszczalne odchyłki wymiarów obrzeży podano w tablicy 2.</w:t>
      </w:r>
    </w:p>
    <w:p w14:paraId="57FD7FF9" w14:textId="77777777" w:rsidR="00AC7A84" w:rsidRPr="007D03F5" w:rsidRDefault="00AC7A84" w:rsidP="00AC7A84">
      <w:pPr>
        <w:pStyle w:val="Pro-Inwest"/>
        <w:jc w:val="both"/>
        <w:rPr>
          <w:rFonts w:asciiTheme="minorHAnsi" w:hAnsiTheme="minorHAnsi"/>
          <w:sz w:val="16"/>
          <w:szCs w:val="16"/>
        </w:rPr>
      </w:pPr>
    </w:p>
    <w:p w14:paraId="29AF0D8F" w14:textId="77777777" w:rsidR="00962978" w:rsidRPr="007D03F5" w:rsidRDefault="00962978" w:rsidP="00AC7A84">
      <w:pPr>
        <w:pStyle w:val="Pro-Inwest"/>
        <w:jc w:val="both"/>
        <w:rPr>
          <w:rFonts w:asciiTheme="minorHAnsi" w:hAnsiTheme="minorHAnsi"/>
          <w:sz w:val="16"/>
          <w:szCs w:val="16"/>
        </w:rPr>
      </w:pPr>
    </w:p>
    <w:p w14:paraId="3336A4F7" w14:textId="77777777" w:rsidR="00962978" w:rsidRPr="007D03F5" w:rsidRDefault="00962978" w:rsidP="00AC7A84">
      <w:pPr>
        <w:pStyle w:val="Pro-Inwest"/>
        <w:jc w:val="both"/>
        <w:rPr>
          <w:rFonts w:asciiTheme="minorHAnsi" w:hAnsiTheme="minorHAnsi"/>
          <w:sz w:val="16"/>
          <w:szCs w:val="16"/>
        </w:rPr>
      </w:pPr>
    </w:p>
    <w:p w14:paraId="33234F8C" w14:textId="3BA7E630"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lastRenderedPageBreak/>
        <w:t>Tablica 2. Dopuszczalne odchyłki wymiarów obrzeży</w:t>
      </w:r>
    </w:p>
    <w:tbl>
      <w:tblPr>
        <w:tblW w:w="0" w:type="auto"/>
        <w:tblLayout w:type="fixed"/>
        <w:tblCellMar>
          <w:left w:w="70" w:type="dxa"/>
          <w:right w:w="70" w:type="dxa"/>
        </w:tblCellMar>
        <w:tblLook w:val="04A0" w:firstRow="1" w:lastRow="0" w:firstColumn="1" w:lastColumn="0" w:noHBand="0" w:noVBand="1"/>
      </w:tblPr>
      <w:tblGrid>
        <w:gridCol w:w="2338"/>
        <w:gridCol w:w="2586"/>
        <w:gridCol w:w="2586"/>
      </w:tblGrid>
      <w:tr w:rsidR="007D03F5" w:rsidRPr="007D03F5" w14:paraId="12D6843F" w14:textId="77777777" w:rsidTr="00CF35EE">
        <w:tc>
          <w:tcPr>
            <w:tcW w:w="2338" w:type="dxa"/>
            <w:tcBorders>
              <w:top w:val="single" w:sz="6" w:space="0" w:color="auto"/>
              <w:left w:val="single" w:sz="6" w:space="0" w:color="auto"/>
              <w:bottom w:val="nil"/>
              <w:right w:val="nil"/>
            </w:tcBorders>
            <w:hideMark/>
          </w:tcPr>
          <w:p w14:paraId="6CAF6A66"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Rodzaj</w:t>
            </w:r>
          </w:p>
        </w:tc>
        <w:tc>
          <w:tcPr>
            <w:tcW w:w="5172" w:type="dxa"/>
            <w:gridSpan w:val="2"/>
            <w:tcBorders>
              <w:top w:val="single" w:sz="6" w:space="0" w:color="auto"/>
              <w:left w:val="single" w:sz="6" w:space="0" w:color="auto"/>
              <w:bottom w:val="single" w:sz="6" w:space="0" w:color="auto"/>
              <w:right w:val="single" w:sz="6" w:space="0" w:color="auto"/>
            </w:tcBorders>
            <w:hideMark/>
          </w:tcPr>
          <w:p w14:paraId="2091C245"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Dopuszczalna odchyłka,   m</w:t>
            </w:r>
          </w:p>
        </w:tc>
      </w:tr>
      <w:tr w:rsidR="007D03F5" w:rsidRPr="007D03F5" w14:paraId="152713B5" w14:textId="77777777" w:rsidTr="00CF35EE">
        <w:tc>
          <w:tcPr>
            <w:tcW w:w="2338" w:type="dxa"/>
            <w:tcBorders>
              <w:top w:val="nil"/>
              <w:left w:val="single" w:sz="6" w:space="0" w:color="auto"/>
              <w:bottom w:val="double" w:sz="6" w:space="0" w:color="auto"/>
              <w:right w:val="nil"/>
            </w:tcBorders>
            <w:hideMark/>
          </w:tcPr>
          <w:p w14:paraId="4A9C1AAF"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wymiaru</w:t>
            </w:r>
          </w:p>
        </w:tc>
        <w:tc>
          <w:tcPr>
            <w:tcW w:w="2586" w:type="dxa"/>
            <w:tcBorders>
              <w:top w:val="single" w:sz="6" w:space="0" w:color="auto"/>
              <w:left w:val="single" w:sz="6" w:space="0" w:color="auto"/>
              <w:bottom w:val="double" w:sz="6" w:space="0" w:color="auto"/>
              <w:right w:val="single" w:sz="6" w:space="0" w:color="auto"/>
            </w:tcBorders>
            <w:hideMark/>
          </w:tcPr>
          <w:p w14:paraId="61B89572"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Gatunek 1</w:t>
            </w:r>
          </w:p>
        </w:tc>
        <w:tc>
          <w:tcPr>
            <w:tcW w:w="2586" w:type="dxa"/>
            <w:tcBorders>
              <w:top w:val="single" w:sz="6" w:space="0" w:color="auto"/>
              <w:left w:val="single" w:sz="6" w:space="0" w:color="auto"/>
              <w:bottom w:val="double" w:sz="6" w:space="0" w:color="auto"/>
              <w:right w:val="single" w:sz="6" w:space="0" w:color="auto"/>
            </w:tcBorders>
          </w:tcPr>
          <w:p w14:paraId="014A2982" w14:textId="77777777" w:rsidR="00AC7A84" w:rsidRPr="007D03F5" w:rsidRDefault="00AC7A84" w:rsidP="00CF35EE">
            <w:pPr>
              <w:pStyle w:val="Pro-Inwest"/>
              <w:jc w:val="both"/>
              <w:rPr>
                <w:rFonts w:asciiTheme="minorHAnsi" w:hAnsiTheme="minorHAnsi"/>
                <w:sz w:val="16"/>
                <w:szCs w:val="16"/>
              </w:rPr>
            </w:pPr>
          </w:p>
        </w:tc>
      </w:tr>
      <w:tr w:rsidR="007D03F5" w:rsidRPr="007D03F5" w14:paraId="6DE14EDE" w14:textId="77777777" w:rsidTr="00CF35EE">
        <w:tc>
          <w:tcPr>
            <w:tcW w:w="2338" w:type="dxa"/>
            <w:tcBorders>
              <w:top w:val="nil"/>
              <w:left w:val="single" w:sz="6" w:space="0" w:color="auto"/>
              <w:bottom w:val="single" w:sz="6" w:space="0" w:color="auto"/>
              <w:right w:val="nil"/>
            </w:tcBorders>
            <w:hideMark/>
          </w:tcPr>
          <w:p w14:paraId="172BB211"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l</w:t>
            </w:r>
          </w:p>
        </w:tc>
        <w:tc>
          <w:tcPr>
            <w:tcW w:w="2586" w:type="dxa"/>
            <w:tcBorders>
              <w:top w:val="nil"/>
              <w:left w:val="single" w:sz="6" w:space="0" w:color="auto"/>
              <w:bottom w:val="single" w:sz="6" w:space="0" w:color="auto"/>
              <w:right w:val="single" w:sz="6" w:space="0" w:color="auto"/>
            </w:tcBorders>
            <w:hideMark/>
          </w:tcPr>
          <w:p w14:paraId="025AF4B5"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sym w:font="Symbol" w:char="F0B1"/>
            </w:r>
            <w:r w:rsidRPr="007D03F5">
              <w:rPr>
                <w:rFonts w:asciiTheme="minorHAnsi" w:hAnsiTheme="minorHAnsi"/>
                <w:sz w:val="16"/>
                <w:szCs w:val="16"/>
              </w:rPr>
              <w:t xml:space="preserve"> 8</w:t>
            </w:r>
          </w:p>
        </w:tc>
        <w:tc>
          <w:tcPr>
            <w:tcW w:w="2586" w:type="dxa"/>
            <w:tcBorders>
              <w:top w:val="nil"/>
              <w:left w:val="single" w:sz="6" w:space="0" w:color="auto"/>
              <w:bottom w:val="single" w:sz="6" w:space="0" w:color="auto"/>
              <w:right w:val="single" w:sz="6" w:space="0" w:color="auto"/>
            </w:tcBorders>
          </w:tcPr>
          <w:p w14:paraId="766A7A43" w14:textId="77777777" w:rsidR="00AC7A84" w:rsidRPr="007D03F5" w:rsidRDefault="00AC7A84" w:rsidP="00CF35EE">
            <w:pPr>
              <w:pStyle w:val="Pro-Inwest"/>
              <w:jc w:val="both"/>
              <w:rPr>
                <w:rFonts w:asciiTheme="minorHAnsi" w:hAnsiTheme="minorHAnsi"/>
                <w:sz w:val="16"/>
                <w:szCs w:val="16"/>
              </w:rPr>
            </w:pPr>
          </w:p>
        </w:tc>
      </w:tr>
      <w:tr w:rsidR="007D03F5" w:rsidRPr="007D03F5" w14:paraId="4B36E073" w14:textId="77777777" w:rsidTr="00CF35EE">
        <w:tc>
          <w:tcPr>
            <w:tcW w:w="2338" w:type="dxa"/>
            <w:tcBorders>
              <w:top w:val="single" w:sz="6" w:space="0" w:color="auto"/>
              <w:left w:val="single" w:sz="6" w:space="0" w:color="auto"/>
              <w:bottom w:val="single" w:sz="6" w:space="0" w:color="auto"/>
              <w:right w:val="nil"/>
            </w:tcBorders>
            <w:hideMark/>
          </w:tcPr>
          <w:p w14:paraId="779B90CF"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b,   h</w:t>
            </w:r>
          </w:p>
        </w:tc>
        <w:tc>
          <w:tcPr>
            <w:tcW w:w="2586" w:type="dxa"/>
            <w:tcBorders>
              <w:top w:val="single" w:sz="6" w:space="0" w:color="auto"/>
              <w:left w:val="single" w:sz="6" w:space="0" w:color="auto"/>
              <w:bottom w:val="single" w:sz="6" w:space="0" w:color="auto"/>
              <w:right w:val="single" w:sz="6" w:space="0" w:color="auto"/>
            </w:tcBorders>
            <w:hideMark/>
          </w:tcPr>
          <w:p w14:paraId="260F4046"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sym w:font="Symbol" w:char="F0B1"/>
            </w:r>
            <w:r w:rsidRPr="007D03F5">
              <w:rPr>
                <w:rFonts w:asciiTheme="minorHAnsi" w:hAnsiTheme="minorHAnsi"/>
                <w:sz w:val="16"/>
                <w:szCs w:val="16"/>
              </w:rPr>
              <w:t xml:space="preserve"> 3</w:t>
            </w:r>
          </w:p>
        </w:tc>
        <w:tc>
          <w:tcPr>
            <w:tcW w:w="2586" w:type="dxa"/>
            <w:tcBorders>
              <w:top w:val="single" w:sz="6" w:space="0" w:color="auto"/>
              <w:left w:val="single" w:sz="6" w:space="0" w:color="auto"/>
              <w:bottom w:val="single" w:sz="6" w:space="0" w:color="auto"/>
              <w:right w:val="single" w:sz="6" w:space="0" w:color="auto"/>
            </w:tcBorders>
          </w:tcPr>
          <w:p w14:paraId="322186A3" w14:textId="77777777" w:rsidR="00AC7A84" w:rsidRPr="007D03F5" w:rsidRDefault="00AC7A84" w:rsidP="00CF35EE">
            <w:pPr>
              <w:pStyle w:val="Pro-Inwest"/>
              <w:jc w:val="both"/>
              <w:rPr>
                <w:rFonts w:asciiTheme="minorHAnsi" w:hAnsiTheme="minorHAnsi"/>
                <w:sz w:val="16"/>
                <w:szCs w:val="16"/>
              </w:rPr>
            </w:pPr>
          </w:p>
        </w:tc>
      </w:tr>
    </w:tbl>
    <w:p w14:paraId="134D6F53"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2.4.3. Dopuszczalne wady i uszkodzenia obrzeży</w:t>
      </w:r>
    </w:p>
    <w:p w14:paraId="1CB48AF0"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Powierzchnie obrzeży powinny być bez rys, pęknięć i ubytków betonu, o fakturze z formy lub zatartej. Krawędzie elementów powinny być równe i proste.</w:t>
      </w:r>
    </w:p>
    <w:p w14:paraId="5542CD1D"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Dopuszczalne wady oraz uszkodzenia powierzchni i krawędzi elementów nie powinny przekraczać wartości podanych w tablicy 3.</w:t>
      </w:r>
    </w:p>
    <w:p w14:paraId="7EC3A6A6" w14:textId="77777777" w:rsidR="00AC7A84" w:rsidRPr="007D03F5" w:rsidRDefault="00AC7A84" w:rsidP="00AC7A84">
      <w:pPr>
        <w:pStyle w:val="Pro-Inwest"/>
        <w:jc w:val="both"/>
        <w:rPr>
          <w:rFonts w:asciiTheme="minorHAnsi" w:hAnsiTheme="minorHAnsi"/>
          <w:sz w:val="16"/>
          <w:szCs w:val="16"/>
        </w:rPr>
      </w:pPr>
    </w:p>
    <w:p w14:paraId="32DD3BB2"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Tablica 3. Dopuszczalne wady i uszkodzenia obrzeży</w:t>
      </w:r>
    </w:p>
    <w:tbl>
      <w:tblPr>
        <w:tblW w:w="0" w:type="auto"/>
        <w:tblLayout w:type="fixed"/>
        <w:tblCellMar>
          <w:left w:w="70" w:type="dxa"/>
          <w:right w:w="70" w:type="dxa"/>
        </w:tblCellMar>
        <w:tblLook w:val="04A0" w:firstRow="1" w:lastRow="0" w:firstColumn="1" w:lastColumn="0" w:noHBand="0" w:noVBand="1"/>
      </w:tblPr>
      <w:tblGrid>
        <w:gridCol w:w="1913"/>
        <w:gridCol w:w="3119"/>
        <w:gridCol w:w="1239"/>
        <w:gridCol w:w="1239"/>
      </w:tblGrid>
      <w:tr w:rsidR="007D03F5" w:rsidRPr="007D03F5" w14:paraId="2A1F260B" w14:textId="77777777" w:rsidTr="00CF35EE">
        <w:tc>
          <w:tcPr>
            <w:tcW w:w="5032" w:type="dxa"/>
            <w:gridSpan w:val="2"/>
            <w:tcBorders>
              <w:top w:val="single" w:sz="6" w:space="0" w:color="auto"/>
              <w:left w:val="single" w:sz="6" w:space="0" w:color="auto"/>
              <w:bottom w:val="nil"/>
              <w:right w:val="nil"/>
            </w:tcBorders>
          </w:tcPr>
          <w:p w14:paraId="6C47EC36" w14:textId="77777777" w:rsidR="00AC7A84" w:rsidRPr="007D03F5" w:rsidRDefault="00AC7A84" w:rsidP="00CF35EE">
            <w:pPr>
              <w:pStyle w:val="Pro-Inwest"/>
              <w:jc w:val="both"/>
              <w:rPr>
                <w:rFonts w:asciiTheme="minorHAnsi" w:hAnsiTheme="minorHAnsi"/>
                <w:sz w:val="16"/>
                <w:szCs w:val="16"/>
              </w:rPr>
            </w:pPr>
          </w:p>
          <w:p w14:paraId="1E3DB793"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Rodzaj wad i uszkodzeń</w:t>
            </w:r>
          </w:p>
        </w:tc>
        <w:tc>
          <w:tcPr>
            <w:tcW w:w="2478" w:type="dxa"/>
            <w:gridSpan w:val="2"/>
            <w:tcBorders>
              <w:top w:val="single" w:sz="6" w:space="0" w:color="auto"/>
              <w:left w:val="single" w:sz="6" w:space="0" w:color="auto"/>
              <w:bottom w:val="single" w:sz="6" w:space="0" w:color="auto"/>
              <w:right w:val="single" w:sz="6" w:space="0" w:color="auto"/>
            </w:tcBorders>
            <w:hideMark/>
          </w:tcPr>
          <w:p w14:paraId="40B841DE"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 xml:space="preserve">Dopuszczalna wielkość </w:t>
            </w:r>
          </w:p>
          <w:p w14:paraId="77C3B5B7"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wad i uszkodzeń</w:t>
            </w:r>
          </w:p>
        </w:tc>
      </w:tr>
      <w:tr w:rsidR="007D03F5" w:rsidRPr="007D03F5" w14:paraId="63C08435" w14:textId="77777777" w:rsidTr="00CF35EE">
        <w:tc>
          <w:tcPr>
            <w:tcW w:w="5032" w:type="dxa"/>
            <w:gridSpan w:val="2"/>
            <w:tcBorders>
              <w:top w:val="nil"/>
              <w:left w:val="single" w:sz="6" w:space="0" w:color="auto"/>
              <w:bottom w:val="double" w:sz="6" w:space="0" w:color="auto"/>
              <w:right w:val="nil"/>
            </w:tcBorders>
          </w:tcPr>
          <w:p w14:paraId="08033184" w14:textId="77777777" w:rsidR="00AC7A84" w:rsidRPr="007D03F5" w:rsidRDefault="00AC7A84" w:rsidP="00CF35EE">
            <w:pPr>
              <w:pStyle w:val="Pro-Inwest"/>
              <w:jc w:val="both"/>
              <w:rPr>
                <w:rFonts w:asciiTheme="minorHAnsi" w:hAnsiTheme="minorHAnsi"/>
                <w:sz w:val="16"/>
                <w:szCs w:val="16"/>
              </w:rPr>
            </w:pPr>
          </w:p>
        </w:tc>
        <w:tc>
          <w:tcPr>
            <w:tcW w:w="1239" w:type="dxa"/>
            <w:tcBorders>
              <w:top w:val="single" w:sz="6" w:space="0" w:color="auto"/>
              <w:left w:val="single" w:sz="6" w:space="0" w:color="auto"/>
              <w:bottom w:val="double" w:sz="6" w:space="0" w:color="auto"/>
              <w:right w:val="single" w:sz="6" w:space="0" w:color="auto"/>
            </w:tcBorders>
            <w:hideMark/>
          </w:tcPr>
          <w:p w14:paraId="7D8F4D4C"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Gatunek 1</w:t>
            </w:r>
          </w:p>
        </w:tc>
        <w:tc>
          <w:tcPr>
            <w:tcW w:w="1239" w:type="dxa"/>
            <w:tcBorders>
              <w:top w:val="single" w:sz="6" w:space="0" w:color="auto"/>
              <w:left w:val="single" w:sz="6" w:space="0" w:color="auto"/>
              <w:bottom w:val="double" w:sz="6" w:space="0" w:color="auto"/>
              <w:right w:val="single" w:sz="6" w:space="0" w:color="auto"/>
            </w:tcBorders>
          </w:tcPr>
          <w:p w14:paraId="7D954D39" w14:textId="77777777" w:rsidR="00AC7A84" w:rsidRPr="007D03F5" w:rsidRDefault="00AC7A84" w:rsidP="00CF35EE">
            <w:pPr>
              <w:pStyle w:val="Pro-Inwest"/>
              <w:jc w:val="both"/>
              <w:rPr>
                <w:rFonts w:asciiTheme="minorHAnsi" w:hAnsiTheme="minorHAnsi"/>
                <w:sz w:val="16"/>
                <w:szCs w:val="16"/>
              </w:rPr>
            </w:pPr>
          </w:p>
        </w:tc>
      </w:tr>
      <w:tr w:rsidR="007D03F5" w:rsidRPr="007D03F5" w14:paraId="6D082C6A" w14:textId="77777777" w:rsidTr="00CF35EE">
        <w:tc>
          <w:tcPr>
            <w:tcW w:w="5032" w:type="dxa"/>
            <w:gridSpan w:val="2"/>
            <w:tcBorders>
              <w:top w:val="nil"/>
              <w:left w:val="single" w:sz="6" w:space="0" w:color="auto"/>
              <w:bottom w:val="nil"/>
              <w:right w:val="nil"/>
            </w:tcBorders>
            <w:hideMark/>
          </w:tcPr>
          <w:p w14:paraId="6B9CD2DF"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Wklęsłość lub wypukłość powierzchni i krawędzi w mm</w:t>
            </w:r>
          </w:p>
        </w:tc>
        <w:tc>
          <w:tcPr>
            <w:tcW w:w="1239" w:type="dxa"/>
            <w:tcBorders>
              <w:top w:val="nil"/>
              <w:left w:val="single" w:sz="6" w:space="0" w:color="auto"/>
              <w:bottom w:val="single" w:sz="6" w:space="0" w:color="auto"/>
              <w:right w:val="single" w:sz="6" w:space="0" w:color="auto"/>
            </w:tcBorders>
            <w:hideMark/>
          </w:tcPr>
          <w:p w14:paraId="7A52AB3F"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2</w:t>
            </w:r>
          </w:p>
        </w:tc>
        <w:tc>
          <w:tcPr>
            <w:tcW w:w="1239" w:type="dxa"/>
            <w:tcBorders>
              <w:top w:val="nil"/>
              <w:left w:val="single" w:sz="6" w:space="0" w:color="auto"/>
              <w:bottom w:val="single" w:sz="6" w:space="0" w:color="auto"/>
              <w:right w:val="single" w:sz="6" w:space="0" w:color="auto"/>
            </w:tcBorders>
            <w:hideMark/>
          </w:tcPr>
          <w:p w14:paraId="50808200"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3</w:t>
            </w:r>
          </w:p>
        </w:tc>
      </w:tr>
      <w:tr w:rsidR="007D03F5" w:rsidRPr="007D03F5" w14:paraId="076EFACF" w14:textId="77777777" w:rsidTr="00CF35EE">
        <w:tc>
          <w:tcPr>
            <w:tcW w:w="1913" w:type="dxa"/>
            <w:tcBorders>
              <w:top w:val="single" w:sz="6" w:space="0" w:color="auto"/>
              <w:left w:val="single" w:sz="6" w:space="0" w:color="auto"/>
              <w:bottom w:val="nil"/>
              <w:right w:val="nil"/>
            </w:tcBorders>
            <w:hideMark/>
          </w:tcPr>
          <w:p w14:paraId="6D9CC65B"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Szczerby</w:t>
            </w:r>
          </w:p>
          <w:p w14:paraId="327287F9"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i uszkodzenia</w:t>
            </w:r>
          </w:p>
        </w:tc>
        <w:tc>
          <w:tcPr>
            <w:tcW w:w="3119" w:type="dxa"/>
            <w:tcBorders>
              <w:top w:val="single" w:sz="6" w:space="0" w:color="auto"/>
              <w:left w:val="single" w:sz="6" w:space="0" w:color="auto"/>
              <w:bottom w:val="single" w:sz="6" w:space="0" w:color="auto"/>
              <w:right w:val="single" w:sz="6" w:space="0" w:color="auto"/>
            </w:tcBorders>
            <w:hideMark/>
          </w:tcPr>
          <w:p w14:paraId="6ED7191F"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ograniczających powierzchnie górne (ścieralne)</w:t>
            </w:r>
          </w:p>
        </w:tc>
        <w:tc>
          <w:tcPr>
            <w:tcW w:w="2477" w:type="dxa"/>
            <w:gridSpan w:val="2"/>
            <w:tcBorders>
              <w:top w:val="single" w:sz="6" w:space="0" w:color="auto"/>
              <w:left w:val="single" w:sz="6" w:space="0" w:color="auto"/>
              <w:bottom w:val="single" w:sz="6" w:space="0" w:color="auto"/>
              <w:right w:val="single" w:sz="6" w:space="0" w:color="auto"/>
            </w:tcBorders>
            <w:hideMark/>
          </w:tcPr>
          <w:p w14:paraId="4CEBA6E8"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niedopuszczalne</w:t>
            </w:r>
          </w:p>
        </w:tc>
      </w:tr>
      <w:tr w:rsidR="007D03F5" w:rsidRPr="007D03F5" w14:paraId="7ED08B5D" w14:textId="77777777" w:rsidTr="00CF35EE">
        <w:tc>
          <w:tcPr>
            <w:tcW w:w="1913" w:type="dxa"/>
            <w:tcBorders>
              <w:top w:val="nil"/>
              <w:left w:val="single" w:sz="6" w:space="0" w:color="auto"/>
              <w:bottom w:val="nil"/>
              <w:right w:val="nil"/>
            </w:tcBorders>
            <w:hideMark/>
          </w:tcPr>
          <w:p w14:paraId="47989996"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krawędzi i naroży</w:t>
            </w:r>
          </w:p>
        </w:tc>
        <w:tc>
          <w:tcPr>
            <w:tcW w:w="3119" w:type="dxa"/>
            <w:tcBorders>
              <w:top w:val="single" w:sz="6" w:space="0" w:color="auto"/>
              <w:left w:val="single" w:sz="6" w:space="0" w:color="auto"/>
              <w:bottom w:val="nil"/>
              <w:right w:val="single" w:sz="6" w:space="0" w:color="auto"/>
            </w:tcBorders>
            <w:hideMark/>
          </w:tcPr>
          <w:p w14:paraId="4448E6C9"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ograniczających   pozostałe powierzchnie:</w:t>
            </w:r>
          </w:p>
        </w:tc>
        <w:tc>
          <w:tcPr>
            <w:tcW w:w="1238" w:type="dxa"/>
            <w:tcBorders>
              <w:top w:val="single" w:sz="6" w:space="0" w:color="auto"/>
              <w:left w:val="single" w:sz="6" w:space="0" w:color="auto"/>
              <w:bottom w:val="nil"/>
              <w:right w:val="single" w:sz="6" w:space="0" w:color="auto"/>
            </w:tcBorders>
          </w:tcPr>
          <w:p w14:paraId="3BCA77F3" w14:textId="77777777" w:rsidR="00AC7A84" w:rsidRPr="007D03F5" w:rsidRDefault="00AC7A84" w:rsidP="00CF35EE">
            <w:pPr>
              <w:pStyle w:val="Pro-Inwest"/>
              <w:jc w:val="both"/>
              <w:rPr>
                <w:rFonts w:asciiTheme="minorHAnsi" w:hAnsiTheme="minorHAnsi"/>
                <w:sz w:val="16"/>
                <w:szCs w:val="16"/>
              </w:rPr>
            </w:pPr>
          </w:p>
        </w:tc>
        <w:tc>
          <w:tcPr>
            <w:tcW w:w="1238" w:type="dxa"/>
            <w:tcBorders>
              <w:top w:val="single" w:sz="6" w:space="0" w:color="auto"/>
              <w:left w:val="nil"/>
              <w:bottom w:val="nil"/>
              <w:right w:val="single" w:sz="6" w:space="0" w:color="auto"/>
            </w:tcBorders>
          </w:tcPr>
          <w:p w14:paraId="61687154" w14:textId="77777777" w:rsidR="00AC7A84" w:rsidRPr="007D03F5" w:rsidRDefault="00AC7A84" w:rsidP="00CF35EE">
            <w:pPr>
              <w:pStyle w:val="Pro-Inwest"/>
              <w:jc w:val="both"/>
              <w:rPr>
                <w:rFonts w:asciiTheme="minorHAnsi" w:hAnsiTheme="minorHAnsi"/>
                <w:sz w:val="16"/>
                <w:szCs w:val="16"/>
              </w:rPr>
            </w:pPr>
          </w:p>
        </w:tc>
      </w:tr>
      <w:tr w:rsidR="007D03F5" w:rsidRPr="007D03F5" w14:paraId="154805F6" w14:textId="77777777" w:rsidTr="00CF35EE">
        <w:tc>
          <w:tcPr>
            <w:tcW w:w="1913" w:type="dxa"/>
            <w:tcBorders>
              <w:top w:val="nil"/>
              <w:left w:val="single" w:sz="6" w:space="0" w:color="auto"/>
              <w:bottom w:val="nil"/>
              <w:right w:val="nil"/>
            </w:tcBorders>
          </w:tcPr>
          <w:p w14:paraId="217F658C" w14:textId="77777777" w:rsidR="00AC7A84" w:rsidRPr="007D03F5" w:rsidRDefault="00AC7A84" w:rsidP="00CF35EE">
            <w:pPr>
              <w:pStyle w:val="Pro-Inwest"/>
              <w:jc w:val="both"/>
              <w:rPr>
                <w:rFonts w:asciiTheme="minorHAnsi" w:hAnsiTheme="minorHAnsi"/>
                <w:sz w:val="16"/>
                <w:szCs w:val="16"/>
              </w:rPr>
            </w:pPr>
          </w:p>
        </w:tc>
        <w:tc>
          <w:tcPr>
            <w:tcW w:w="3119" w:type="dxa"/>
            <w:tcBorders>
              <w:top w:val="nil"/>
              <w:left w:val="single" w:sz="6" w:space="0" w:color="auto"/>
              <w:bottom w:val="nil"/>
              <w:right w:val="single" w:sz="6" w:space="0" w:color="auto"/>
            </w:tcBorders>
            <w:hideMark/>
          </w:tcPr>
          <w:p w14:paraId="2F6781F4"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liczba, max</w:t>
            </w:r>
          </w:p>
        </w:tc>
        <w:tc>
          <w:tcPr>
            <w:tcW w:w="1238" w:type="dxa"/>
            <w:tcBorders>
              <w:top w:val="nil"/>
              <w:left w:val="single" w:sz="6" w:space="0" w:color="auto"/>
              <w:bottom w:val="nil"/>
              <w:right w:val="single" w:sz="6" w:space="0" w:color="auto"/>
            </w:tcBorders>
            <w:hideMark/>
          </w:tcPr>
          <w:p w14:paraId="30F13C2B"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2</w:t>
            </w:r>
          </w:p>
        </w:tc>
        <w:tc>
          <w:tcPr>
            <w:tcW w:w="1238" w:type="dxa"/>
            <w:tcBorders>
              <w:top w:val="nil"/>
              <w:left w:val="single" w:sz="6" w:space="0" w:color="auto"/>
              <w:bottom w:val="nil"/>
              <w:right w:val="single" w:sz="6" w:space="0" w:color="auto"/>
            </w:tcBorders>
          </w:tcPr>
          <w:p w14:paraId="319DFEE3" w14:textId="77777777" w:rsidR="00AC7A84" w:rsidRPr="007D03F5" w:rsidRDefault="00AC7A84" w:rsidP="00CF35EE">
            <w:pPr>
              <w:pStyle w:val="Pro-Inwest"/>
              <w:jc w:val="both"/>
              <w:rPr>
                <w:rFonts w:asciiTheme="minorHAnsi" w:hAnsiTheme="minorHAnsi"/>
                <w:sz w:val="16"/>
                <w:szCs w:val="16"/>
              </w:rPr>
            </w:pPr>
          </w:p>
        </w:tc>
      </w:tr>
      <w:tr w:rsidR="007D03F5" w:rsidRPr="007D03F5" w14:paraId="7D0DE00D" w14:textId="77777777" w:rsidTr="00CF35EE">
        <w:tc>
          <w:tcPr>
            <w:tcW w:w="1913" w:type="dxa"/>
            <w:tcBorders>
              <w:top w:val="nil"/>
              <w:left w:val="single" w:sz="6" w:space="0" w:color="auto"/>
              <w:bottom w:val="nil"/>
              <w:right w:val="nil"/>
            </w:tcBorders>
          </w:tcPr>
          <w:p w14:paraId="07196A63" w14:textId="77777777" w:rsidR="00AC7A84" w:rsidRPr="007D03F5" w:rsidRDefault="00AC7A84" w:rsidP="00CF35EE">
            <w:pPr>
              <w:pStyle w:val="Pro-Inwest"/>
              <w:jc w:val="both"/>
              <w:rPr>
                <w:rFonts w:asciiTheme="minorHAnsi" w:hAnsiTheme="minorHAnsi"/>
                <w:sz w:val="16"/>
                <w:szCs w:val="16"/>
              </w:rPr>
            </w:pPr>
          </w:p>
        </w:tc>
        <w:tc>
          <w:tcPr>
            <w:tcW w:w="3119" w:type="dxa"/>
            <w:tcBorders>
              <w:top w:val="nil"/>
              <w:left w:val="single" w:sz="6" w:space="0" w:color="auto"/>
              <w:bottom w:val="nil"/>
              <w:right w:val="single" w:sz="6" w:space="0" w:color="auto"/>
            </w:tcBorders>
            <w:hideMark/>
          </w:tcPr>
          <w:p w14:paraId="75131E65"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długość, mm, max</w:t>
            </w:r>
          </w:p>
        </w:tc>
        <w:tc>
          <w:tcPr>
            <w:tcW w:w="1238" w:type="dxa"/>
            <w:tcBorders>
              <w:top w:val="nil"/>
              <w:left w:val="single" w:sz="6" w:space="0" w:color="auto"/>
              <w:bottom w:val="nil"/>
              <w:right w:val="single" w:sz="6" w:space="0" w:color="auto"/>
            </w:tcBorders>
            <w:hideMark/>
          </w:tcPr>
          <w:p w14:paraId="7981FF00"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20</w:t>
            </w:r>
          </w:p>
        </w:tc>
        <w:tc>
          <w:tcPr>
            <w:tcW w:w="1238" w:type="dxa"/>
            <w:tcBorders>
              <w:top w:val="nil"/>
              <w:left w:val="single" w:sz="6" w:space="0" w:color="auto"/>
              <w:bottom w:val="nil"/>
              <w:right w:val="single" w:sz="6" w:space="0" w:color="auto"/>
            </w:tcBorders>
          </w:tcPr>
          <w:p w14:paraId="0B209C03" w14:textId="77777777" w:rsidR="00AC7A84" w:rsidRPr="007D03F5" w:rsidRDefault="00AC7A84" w:rsidP="00CF35EE">
            <w:pPr>
              <w:pStyle w:val="Pro-Inwest"/>
              <w:jc w:val="both"/>
              <w:rPr>
                <w:rFonts w:asciiTheme="minorHAnsi" w:hAnsiTheme="minorHAnsi"/>
                <w:sz w:val="16"/>
                <w:szCs w:val="16"/>
              </w:rPr>
            </w:pPr>
          </w:p>
        </w:tc>
      </w:tr>
      <w:tr w:rsidR="00962978" w:rsidRPr="007D03F5" w14:paraId="27D80CCF" w14:textId="77777777" w:rsidTr="00CF35EE">
        <w:tc>
          <w:tcPr>
            <w:tcW w:w="1913" w:type="dxa"/>
            <w:tcBorders>
              <w:top w:val="nil"/>
              <w:left w:val="single" w:sz="6" w:space="0" w:color="auto"/>
              <w:bottom w:val="single" w:sz="6" w:space="0" w:color="auto"/>
              <w:right w:val="nil"/>
            </w:tcBorders>
          </w:tcPr>
          <w:p w14:paraId="18593F12" w14:textId="77777777" w:rsidR="00AC7A84" w:rsidRPr="007D03F5" w:rsidRDefault="00AC7A84" w:rsidP="00CF35EE">
            <w:pPr>
              <w:pStyle w:val="Pro-Inwest"/>
              <w:jc w:val="both"/>
              <w:rPr>
                <w:rFonts w:asciiTheme="minorHAnsi" w:hAnsiTheme="minorHAnsi"/>
                <w:sz w:val="16"/>
                <w:szCs w:val="16"/>
              </w:rPr>
            </w:pPr>
          </w:p>
        </w:tc>
        <w:tc>
          <w:tcPr>
            <w:tcW w:w="3119" w:type="dxa"/>
            <w:tcBorders>
              <w:top w:val="nil"/>
              <w:left w:val="single" w:sz="6" w:space="0" w:color="auto"/>
              <w:bottom w:val="single" w:sz="6" w:space="0" w:color="auto"/>
              <w:right w:val="single" w:sz="6" w:space="0" w:color="auto"/>
            </w:tcBorders>
            <w:hideMark/>
          </w:tcPr>
          <w:p w14:paraId="32D56231"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głębokość, mm, max</w:t>
            </w:r>
          </w:p>
        </w:tc>
        <w:tc>
          <w:tcPr>
            <w:tcW w:w="1238" w:type="dxa"/>
            <w:tcBorders>
              <w:top w:val="nil"/>
              <w:left w:val="single" w:sz="6" w:space="0" w:color="auto"/>
              <w:bottom w:val="single" w:sz="6" w:space="0" w:color="auto"/>
              <w:right w:val="single" w:sz="6" w:space="0" w:color="auto"/>
            </w:tcBorders>
            <w:hideMark/>
          </w:tcPr>
          <w:p w14:paraId="3F24C4AC" w14:textId="77777777" w:rsidR="00AC7A84" w:rsidRPr="007D03F5" w:rsidRDefault="00AC7A84" w:rsidP="00CF35EE">
            <w:pPr>
              <w:pStyle w:val="Pro-Inwest"/>
              <w:jc w:val="both"/>
              <w:rPr>
                <w:rFonts w:asciiTheme="minorHAnsi" w:hAnsiTheme="minorHAnsi"/>
                <w:sz w:val="16"/>
                <w:szCs w:val="16"/>
              </w:rPr>
            </w:pPr>
            <w:r w:rsidRPr="007D03F5">
              <w:rPr>
                <w:rFonts w:asciiTheme="minorHAnsi" w:hAnsiTheme="minorHAnsi"/>
                <w:sz w:val="16"/>
                <w:szCs w:val="16"/>
              </w:rPr>
              <w:t>6</w:t>
            </w:r>
          </w:p>
        </w:tc>
        <w:tc>
          <w:tcPr>
            <w:tcW w:w="1238" w:type="dxa"/>
            <w:tcBorders>
              <w:top w:val="nil"/>
              <w:left w:val="single" w:sz="6" w:space="0" w:color="auto"/>
              <w:bottom w:val="single" w:sz="6" w:space="0" w:color="auto"/>
              <w:right w:val="single" w:sz="6" w:space="0" w:color="auto"/>
            </w:tcBorders>
          </w:tcPr>
          <w:p w14:paraId="0099D048" w14:textId="77777777" w:rsidR="00AC7A84" w:rsidRPr="007D03F5" w:rsidRDefault="00AC7A84" w:rsidP="00CF35EE">
            <w:pPr>
              <w:pStyle w:val="Pro-Inwest"/>
              <w:jc w:val="both"/>
              <w:rPr>
                <w:rFonts w:asciiTheme="minorHAnsi" w:hAnsiTheme="minorHAnsi"/>
                <w:sz w:val="16"/>
                <w:szCs w:val="16"/>
              </w:rPr>
            </w:pPr>
          </w:p>
        </w:tc>
      </w:tr>
    </w:tbl>
    <w:p w14:paraId="267032F3" w14:textId="77777777" w:rsidR="00AC7A84" w:rsidRPr="007D03F5" w:rsidRDefault="00AC7A84" w:rsidP="00AC7A84">
      <w:pPr>
        <w:pStyle w:val="Pro-Inwest"/>
        <w:jc w:val="both"/>
        <w:rPr>
          <w:rFonts w:asciiTheme="minorHAnsi" w:hAnsiTheme="minorHAnsi"/>
          <w:sz w:val="16"/>
          <w:szCs w:val="16"/>
        </w:rPr>
      </w:pPr>
    </w:p>
    <w:p w14:paraId="395F59C6"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2.4.4. Składowanie</w:t>
      </w:r>
    </w:p>
    <w:p w14:paraId="1A03D9AF"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Granitowe obrzeża  mogą być przechowywane na składowiskach otwartych, posegregowane według rodzajów i gatunków.</w:t>
      </w:r>
    </w:p>
    <w:p w14:paraId="20C2DB27"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Granitowe obrzeża należy układać z zastosowaniem podkładek i przekładek drewnianych o wymiarach co najmniej: grubość 2,5 cm, szerokość 5 cm, długość minimum 5 cm większa niż szerokość obrzeża.</w:t>
      </w:r>
    </w:p>
    <w:p w14:paraId="6E5E3311"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2.5. Materiały na ławę i do zaprawy</w:t>
      </w:r>
    </w:p>
    <w:p w14:paraId="2EDA1374"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Żwir do wykonania ławy powinien odpowiadać wymaganiom PN-EN 13043:2004 [5], a piasek - wymaganiom PN-EN-13043:2004 [6].</w:t>
      </w:r>
    </w:p>
    <w:p w14:paraId="7F2921C7"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Materiały do zaprawy cementowo-piaskowej powinny odpowiadać wymaganiom podanym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D-08.01.01 „Krawężniki betonowe” pkt 2.</w:t>
      </w:r>
    </w:p>
    <w:p w14:paraId="6801CAEC" w14:textId="77777777" w:rsidR="00AC7A84" w:rsidRPr="007D03F5" w:rsidRDefault="00AC7A84" w:rsidP="00AC7A84">
      <w:pPr>
        <w:pStyle w:val="Pro-Inwest"/>
        <w:jc w:val="both"/>
        <w:rPr>
          <w:rFonts w:asciiTheme="minorHAnsi" w:hAnsiTheme="minorHAnsi"/>
          <w:sz w:val="16"/>
          <w:szCs w:val="16"/>
        </w:rPr>
      </w:pPr>
      <w:bookmarkStart w:id="24" w:name="_Toc426531384"/>
    </w:p>
    <w:p w14:paraId="27D2B4D9"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 xml:space="preserve">3. </w:t>
      </w:r>
      <w:bookmarkEnd w:id="24"/>
      <w:r w:rsidRPr="007D03F5">
        <w:rPr>
          <w:rFonts w:asciiTheme="minorHAnsi" w:hAnsiTheme="minorHAnsi"/>
          <w:b/>
          <w:sz w:val="16"/>
          <w:szCs w:val="16"/>
        </w:rPr>
        <w:t>SPRZĘT</w:t>
      </w:r>
    </w:p>
    <w:p w14:paraId="5970BF00"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3.1. Ogólne wymagania dotyczące sprzętu</w:t>
      </w:r>
    </w:p>
    <w:p w14:paraId="555C387E"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Ogólne wymagania dotyczące sprzętu podano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D-M-00.00.00 „Wymagania ogólne” pkt 3.</w:t>
      </w:r>
    </w:p>
    <w:p w14:paraId="4DF01D47"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3.2. Sprzęt do ustawiania obrzeży</w:t>
      </w:r>
    </w:p>
    <w:p w14:paraId="0FA00F07"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Roboty wykonuje się ręcznie przy zastosowaniu drobnego sprzętu pomocniczego.</w:t>
      </w:r>
    </w:p>
    <w:p w14:paraId="0A6D380B" w14:textId="77777777" w:rsidR="00AC7A84" w:rsidRPr="007D03F5" w:rsidRDefault="00AC7A84" w:rsidP="00AC7A84">
      <w:pPr>
        <w:pStyle w:val="Pro-Inwest"/>
        <w:jc w:val="both"/>
        <w:rPr>
          <w:rFonts w:asciiTheme="minorHAnsi" w:hAnsiTheme="minorHAnsi"/>
          <w:sz w:val="16"/>
          <w:szCs w:val="16"/>
        </w:rPr>
      </w:pPr>
      <w:bookmarkStart w:id="25" w:name="_Toc426531385"/>
    </w:p>
    <w:p w14:paraId="1B0BAFD3"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 xml:space="preserve">4. </w:t>
      </w:r>
      <w:bookmarkEnd w:id="25"/>
      <w:r w:rsidRPr="007D03F5">
        <w:rPr>
          <w:rFonts w:asciiTheme="minorHAnsi" w:hAnsiTheme="minorHAnsi"/>
          <w:b/>
          <w:sz w:val="16"/>
          <w:szCs w:val="16"/>
        </w:rPr>
        <w:t>TRANSPORT</w:t>
      </w:r>
    </w:p>
    <w:p w14:paraId="2A65037A"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4.1. Ogólne wymagania dotyczące transportu</w:t>
      </w:r>
    </w:p>
    <w:p w14:paraId="0043204A"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Ogólne wymagania dotyczące transportu podano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D-M-00.00.00 „Wymagania ogólne” pkt 4.</w:t>
      </w:r>
    </w:p>
    <w:p w14:paraId="2A3A5681"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4.2. Transport obrzeży granitowych</w:t>
      </w:r>
    </w:p>
    <w:p w14:paraId="1B155F5E"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Granitowe obrzeża mogą być przewożone dowolnymi środkami transportu po osiągnięciu przez beton wytrzymałości minimum 0,7 wytrzymałości projektowanej.</w:t>
      </w:r>
    </w:p>
    <w:p w14:paraId="1DF86C79"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Obrzeża powinny być zabezpieczone przed przemieszczeniem się i uszkodzeniami w czasie transportu.</w:t>
      </w:r>
    </w:p>
    <w:p w14:paraId="5E6610D5"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4.3. Transport pozostałych materiałów</w:t>
      </w:r>
    </w:p>
    <w:p w14:paraId="0CA0A209"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Transport pozostałych materiałów podano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D-08.01.02 „Krawężniki granitowe”.</w:t>
      </w:r>
    </w:p>
    <w:p w14:paraId="0974E0E8" w14:textId="77777777" w:rsidR="00AC7A84" w:rsidRPr="007D03F5" w:rsidRDefault="00AC7A84" w:rsidP="00AC7A84">
      <w:pPr>
        <w:pStyle w:val="Pro-Inwest"/>
        <w:jc w:val="both"/>
        <w:rPr>
          <w:rFonts w:asciiTheme="minorHAnsi" w:hAnsiTheme="minorHAnsi"/>
          <w:sz w:val="16"/>
          <w:szCs w:val="16"/>
        </w:rPr>
      </w:pPr>
      <w:bookmarkStart w:id="26" w:name="_Toc426531386"/>
    </w:p>
    <w:p w14:paraId="63E4C925"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 xml:space="preserve">5. </w:t>
      </w:r>
      <w:bookmarkEnd w:id="26"/>
      <w:r w:rsidRPr="007D03F5">
        <w:rPr>
          <w:rFonts w:asciiTheme="minorHAnsi" w:hAnsiTheme="minorHAnsi"/>
          <w:b/>
          <w:sz w:val="16"/>
          <w:szCs w:val="16"/>
        </w:rPr>
        <w:t>WYKONANIE ROBÓT</w:t>
      </w:r>
    </w:p>
    <w:p w14:paraId="5B05785E"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5.1. Ogólne zasady wykonania robót</w:t>
      </w:r>
    </w:p>
    <w:p w14:paraId="7BE78583"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Ogólne zasady wykonania robót podano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D-M-00.00.00 „Wymagania ogólne” pkt 5.</w:t>
      </w:r>
    </w:p>
    <w:p w14:paraId="7BF9EAD9"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5.2. Wykonanie koryta</w:t>
      </w:r>
    </w:p>
    <w:p w14:paraId="3DB37534"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Wymiary koryta pod ławę powinny być dostosowane do wymiarów fundamentu pod obrzeże oraz do głębokości i usytuowania obrzeża w planie. </w:t>
      </w:r>
    </w:p>
    <w:p w14:paraId="28A414CC"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Koryto  może  być  wykonane  ręcznie  lub  mechanicznie  w  sposób  nienaruszający  struktury naturalnej dna koryta. </w:t>
      </w:r>
    </w:p>
    <w:p w14:paraId="39BEA5D5"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Dno  koryta  powinno  być  równe  i  w  razie  potrzeby  dogęszczone  zagęszczarką  stopową. </w:t>
      </w:r>
    </w:p>
    <w:p w14:paraId="61ECC068"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Wskaźnik zagęszczenia dna wykonanego koryta pod ławę powinien wynosić co najmniej 0,97 według normalnej metody </w:t>
      </w:r>
      <w:proofErr w:type="spellStart"/>
      <w:r w:rsidRPr="007D03F5">
        <w:rPr>
          <w:rFonts w:asciiTheme="minorHAnsi" w:hAnsiTheme="minorHAnsi"/>
          <w:sz w:val="16"/>
          <w:szCs w:val="16"/>
        </w:rPr>
        <w:t>Proctora</w:t>
      </w:r>
      <w:proofErr w:type="spellEnd"/>
      <w:r w:rsidRPr="007D03F5">
        <w:rPr>
          <w:rFonts w:asciiTheme="minorHAnsi" w:hAnsiTheme="minorHAnsi"/>
          <w:sz w:val="16"/>
          <w:szCs w:val="16"/>
        </w:rPr>
        <w:t>.</w:t>
      </w:r>
    </w:p>
    <w:p w14:paraId="529E426D"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5.3. Podłoże lub podsypka (ława)</w:t>
      </w:r>
    </w:p>
    <w:p w14:paraId="1C6737FA"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Podłoże pod ustawienie obrzeża stanowi ława fundamentowa zgodnie z dokumentacją projektową.</w:t>
      </w:r>
    </w:p>
    <w:p w14:paraId="4CBDD790" w14:textId="77777777" w:rsidR="00962978" w:rsidRPr="007D03F5" w:rsidRDefault="00962978" w:rsidP="00AC7A84">
      <w:pPr>
        <w:pStyle w:val="Pro-Inwest"/>
        <w:jc w:val="both"/>
        <w:rPr>
          <w:rFonts w:asciiTheme="minorHAnsi" w:hAnsiTheme="minorHAnsi"/>
          <w:b/>
          <w:sz w:val="16"/>
          <w:szCs w:val="16"/>
        </w:rPr>
      </w:pPr>
    </w:p>
    <w:p w14:paraId="65F64039" w14:textId="77777777" w:rsidR="00962978" w:rsidRPr="007D03F5" w:rsidRDefault="00962978" w:rsidP="00AC7A84">
      <w:pPr>
        <w:pStyle w:val="Pro-Inwest"/>
        <w:jc w:val="both"/>
        <w:rPr>
          <w:rFonts w:asciiTheme="minorHAnsi" w:hAnsiTheme="minorHAnsi"/>
          <w:b/>
          <w:sz w:val="16"/>
          <w:szCs w:val="16"/>
        </w:rPr>
      </w:pPr>
    </w:p>
    <w:p w14:paraId="3EDB2645" w14:textId="2A03919F"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lastRenderedPageBreak/>
        <w:t>5.4. Ustawienie granitowych obrzeży</w:t>
      </w:r>
    </w:p>
    <w:p w14:paraId="78580499"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Granitowe obrzeża należy ustawiać na wykonanym podłożu w miejscu i ze światłem (odległością górnej powierzchni obrzeża od ciągu komunikacyjnego) zgodnym z ustaleniami dokumentacji projektowej.</w:t>
      </w:r>
    </w:p>
    <w:p w14:paraId="63B5521F"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Zewnętrzna ściana obrzeża powinna być obsypana piaskiem, żwirem lub miejscowym gruntem przepuszczalnym, starannie ubitym.</w:t>
      </w:r>
    </w:p>
    <w:p w14:paraId="3E1C68DF"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Spoiny nie powinny przekraczać szerokości 1 cm. Należy wypełnić je piaskiem lub zaprawą cementowo-piaskową w stosunku 1:2. Spoiny przed zalaniem należy oczyścić i zmyć wodą. Spoiny muszą być wypełnione całkowicie na pełną głębokość.</w:t>
      </w:r>
    </w:p>
    <w:p w14:paraId="3F39C846" w14:textId="77777777" w:rsidR="00962978" w:rsidRPr="007D03F5" w:rsidRDefault="00962978" w:rsidP="00AC7A84">
      <w:pPr>
        <w:pStyle w:val="Pro-Inwest"/>
        <w:jc w:val="both"/>
        <w:rPr>
          <w:rFonts w:asciiTheme="minorHAnsi" w:hAnsiTheme="minorHAnsi"/>
          <w:b/>
          <w:sz w:val="16"/>
          <w:szCs w:val="16"/>
        </w:rPr>
      </w:pPr>
      <w:bookmarkStart w:id="27" w:name="_Toc426531387"/>
    </w:p>
    <w:p w14:paraId="62F00548" w14:textId="330AC524"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 xml:space="preserve">6. </w:t>
      </w:r>
      <w:bookmarkEnd w:id="27"/>
      <w:r w:rsidRPr="007D03F5">
        <w:rPr>
          <w:rFonts w:asciiTheme="minorHAnsi" w:hAnsiTheme="minorHAnsi"/>
          <w:b/>
          <w:sz w:val="16"/>
          <w:szCs w:val="16"/>
        </w:rPr>
        <w:t>KONTROLA JAKOŚCI ROBÓT</w:t>
      </w:r>
    </w:p>
    <w:p w14:paraId="2D0785EE"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6.1. Ogólne zasady kontroli jakości robót</w:t>
      </w:r>
    </w:p>
    <w:p w14:paraId="14A9CF15"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Ogólne zasady kontroli jakości robót podano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D-M-00.00.00 „Wymagania ogólne” pkt 6.</w:t>
      </w:r>
    </w:p>
    <w:p w14:paraId="517A2761"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6.2. Badania przed przystąpieniem do robót</w:t>
      </w:r>
    </w:p>
    <w:p w14:paraId="56458A68"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Przed przystąpieniem do robót Wykonawca powinien wykonać badania materiałów przeznaczonych do ustawienia granitowych obrzeży i przedstawić wyniki tych badań Inżynierowi do akceptacji.</w:t>
      </w:r>
    </w:p>
    <w:p w14:paraId="44DB8D46"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w:t>
      </w:r>
    </w:p>
    <w:p w14:paraId="35C799EF"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14:paraId="4569480E"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Badania pozostałych materiałów powinny obejmować wszystkie właściwości określone w normach podanych dla odpowiednich materiałów wymienionych w pkt 2.</w:t>
      </w:r>
    </w:p>
    <w:p w14:paraId="72FE1FF1"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6.3. Badania w czasie robót</w:t>
      </w:r>
    </w:p>
    <w:p w14:paraId="1A1C5F1B"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W czasie robót należy sprawdzać wykonanie:</w:t>
      </w:r>
    </w:p>
    <w:p w14:paraId="4D7960B4"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koryta pod ławę - zgodnie z wymaganiami pkt 5.2,</w:t>
      </w:r>
    </w:p>
    <w:p w14:paraId="447FC7AF" w14:textId="77777777" w:rsidR="00AC7A84" w:rsidRPr="007D03F5" w:rsidRDefault="00AC7A84" w:rsidP="00AC7A84">
      <w:pPr>
        <w:pStyle w:val="Pro-Inwest"/>
        <w:numPr>
          <w:ilvl w:val="0"/>
          <w:numId w:val="40"/>
        </w:numPr>
        <w:jc w:val="both"/>
        <w:rPr>
          <w:rFonts w:asciiTheme="minorHAnsi" w:hAnsiTheme="minorHAnsi"/>
          <w:sz w:val="16"/>
          <w:szCs w:val="16"/>
        </w:rPr>
      </w:pPr>
      <w:r w:rsidRPr="007D03F5">
        <w:rPr>
          <w:rFonts w:asciiTheme="minorHAnsi" w:hAnsiTheme="minorHAnsi"/>
          <w:sz w:val="16"/>
          <w:szCs w:val="16"/>
        </w:rPr>
        <w:t>podłoża z rodzimego gruntu piaszczystego lub podsypki (ławy) ze żwiru lub piasku - zgodnie z wymaganiami pkt 5.3,</w:t>
      </w:r>
    </w:p>
    <w:p w14:paraId="751C6CCC" w14:textId="77777777" w:rsidR="00AC7A84" w:rsidRPr="007D03F5" w:rsidRDefault="00AC7A84" w:rsidP="00AC7A84">
      <w:pPr>
        <w:pStyle w:val="Pro-Inwest"/>
        <w:numPr>
          <w:ilvl w:val="0"/>
          <w:numId w:val="40"/>
        </w:numPr>
        <w:jc w:val="both"/>
        <w:rPr>
          <w:rFonts w:asciiTheme="minorHAnsi" w:hAnsiTheme="minorHAnsi"/>
          <w:sz w:val="16"/>
          <w:szCs w:val="16"/>
        </w:rPr>
      </w:pPr>
      <w:r w:rsidRPr="007D03F5">
        <w:rPr>
          <w:rFonts w:asciiTheme="minorHAnsi" w:hAnsiTheme="minorHAnsi"/>
          <w:sz w:val="16"/>
          <w:szCs w:val="16"/>
        </w:rPr>
        <w:t>ustawienia granitowych obrzeża - zgodnie z wymaganiami pkt 5.4, przy dopuszczalnych odchyleniach:</w:t>
      </w:r>
    </w:p>
    <w:p w14:paraId="5E86C159" w14:textId="77777777" w:rsidR="00AC7A84" w:rsidRPr="007D03F5" w:rsidRDefault="00AC7A84" w:rsidP="00AC7A84">
      <w:pPr>
        <w:pStyle w:val="Pro-Inwest"/>
        <w:ind w:firstLine="708"/>
        <w:jc w:val="both"/>
        <w:rPr>
          <w:rFonts w:asciiTheme="minorHAnsi" w:hAnsiTheme="minorHAnsi"/>
          <w:sz w:val="16"/>
          <w:szCs w:val="16"/>
        </w:rPr>
      </w:pPr>
      <w:r w:rsidRPr="007D03F5">
        <w:rPr>
          <w:rFonts w:asciiTheme="minorHAnsi" w:hAnsiTheme="minorHAnsi"/>
          <w:sz w:val="16"/>
          <w:szCs w:val="16"/>
        </w:rPr>
        <w:t xml:space="preserve">- linii obrzeża w planie, które może wynosić </w:t>
      </w:r>
      <w:r w:rsidRPr="007D03F5">
        <w:rPr>
          <w:rFonts w:asciiTheme="minorHAnsi" w:hAnsiTheme="minorHAnsi"/>
          <w:sz w:val="16"/>
          <w:szCs w:val="16"/>
        </w:rPr>
        <w:sym w:font="Symbol" w:char="F0B1"/>
      </w:r>
      <w:r w:rsidRPr="007D03F5">
        <w:rPr>
          <w:rFonts w:asciiTheme="minorHAnsi" w:hAnsiTheme="minorHAnsi"/>
          <w:sz w:val="16"/>
          <w:szCs w:val="16"/>
        </w:rPr>
        <w:t xml:space="preserve"> 2 cm na każde 100 m długości obrzeża,</w:t>
      </w:r>
    </w:p>
    <w:p w14:paraId="72B45B41" w14:textId="77777777" w:rsidR="00AC7A84" w:rsidRPr="007D03F5" w:rsidRDefault="00AC7A84" w:rsidP="00AC7A84">
      <w:pPr>
        <w:pStyle w:val="Pro-Inwest"/>
        <w:ind w:left="708"/>
        <w:jc w:val="both"/>
        <w:rPr>
          <w:rFonts w:asciiTheme="minorHAnsi" w:hAnsiTheme="minorHAnsi"/>
          <w:sz w:val="16"/>
          <w:szCs w:val="16"/>
        </w:rPr>
      </w:pPr>
      <w:r w:rsidRPr="007D03F5">
        <w:rPr>
          <w:rFonts w:asciiTheme="minorHAnsi" w:hAnsiTheme="minorHAnsi"/>
          <w:sz w:val="16"/>
          <w:szCs w:val="16"/>
        </w:rPr>
        <w:t xml:space="preserve">- niwelety górnej płaszczyzny obrzeża , które może wynosić </w:t>
      </w:r>
      <w:r w:rsidRPr="007D03F5">
        <w:rPr>
          <w:rFonts w:asciiTheme="minorHAnsi" w:hAnsiTheme="minorHAnsi"/>
          <w:sz w:val="16"/>
          <w:szCs w:val="16"/>
        </w:rPr>
        <w:sym w:font="Symbol" w:char="F0B1"/>
      </w:r>
      <w:r w:rsidRPr="007D03F5">
        <w:rPr>
          <w:rFonts w:asciiTheme="minorHAnsi" w:hAnsiTheme="minorHAnsi"/>
          <w:sz w:val="16"/>
          <w:szCs w:val="16"/>
        </w:rPr>
        <w:t>1 cm na każde 100 m długości obrzeża,</w:t>
      </w:r>
    </w:p>
    <w:p w14:paraId="0C1DCA59" w14:textId="77777777" w:rsidR="00AC7A84" w:rsidRPr="007D03F5" w:rsidRDefault="00AC7A84" w:rsidP="00AC7A84">
      <w:pPr>
        <w:pStyle w:val="Pro-Inwest"/>
        <w:ind w:firstLine="708"/>
        <w:jc w:val="both"/>
        <w:rPr>
          <w:rFonts w:asciiTheme="minorHAnsi" w:hAnsiTheme="minorHAnsi"/>
          <w:sz w:val="16"/>
          <w:szCs w:val="16"/>
        </w:rPr>
      </w:pPr>
      <w:r w:rsidRPr="007D03F5">
        <w:rPr>
          <w:rFonts w:asciiTheme="minorHAnsi" w:hAnsiTheme="minorHAnsi"/>
          <w:sz w:val="16"/>
          <w:szCs w:val="16"/>
        </w:rPr>
        <w:t>- wypełnienia spoin, sprawdzane co 10 metrów, które powinno wykazywać całkowite wypełnienie badanej spoiny na pełną głębokość.</w:t>
      </w:r>
    </w:p>
    <w:p w14:paraId="6DE86403" w14:textId="77777777" w:rsidR="00AC7A84" w:rsidRPr="007D03F5" w:rsidRDefault="00AC7A84" w:rsidP="00AC7A84">
      <w:pPr>
        <w:pStyle w:val="Pro-Inwest"/>
        <w:jc w:val="both"/>
        <w:rPr>
          <w:rFonts w:asciiTheme="minorHAnsi" w:hAnsiTheme="minorHAnsi"/>
          <w:sz w:val="16"/>
          <w:szCs w:val="16"/>
        </w:rPr>
      </w:pPr>
      <w:bookmarkStart w:id="28" w:name="_Toc426531388"/>
    </w:p>
    <w:p w14:paraId="0751C353"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 xml:space="preserve">7. </w:t>
      </w:r>
      <w:bookmarkEnd w:id="28"/>
      <w:r w:rsidRPr="007D03F5">
        <w:rPr>
          <w:rFonts w:asciiTheme="minorHAnsi" w:hAnsiTheme="minorHAnsi"/>
          <w:b/>
          <w:sz w:val="16"/>
          <w:szCs w:val="16"/>
        </w:rPr>
        <w:t>OBMIAR ROBÓT</w:t>
      </w:r>
    </w:p>
    <w:p w14:paraId="66BF00EC"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7.1. Ogólne zasady obmiaru robót</w:t>
      </w:r>
    </w:p>
    <w:p w14:paraId="4893394C"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Ogólne zasady obmiaru robót podano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D-M-00.00.00 „Wymagania ogólne” pkt 7.</w:t>
      </w:r>
    </w:p>
    <w:p w14:paraId="5309F119"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7.2. Jednostka obmiarowa</w:t>
      </w:r>
    </w:p>
    <w:p w14:paraId="3F7339C7"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Jednostką obmiarową jest m (metr) ustawionego granitowego obrzeża.</w:t>
      </w:r>
    </w:p>
    <w:p w14:paraId="427C5E23" w14:textId="77777777" w:rsidR="00AC7A84" w:rsidRPr="007D03F5" w:rsidRDefault="00AC7A84" w:rsidP="00AC7A84">
      <w:pPr>
        <w:pStyle w:val="Pro-Inwest"/>
        <w:jc w:val="both"/>
        <w:rPr>
          <w:rFonts w:asciiTheme="minorHAnsi" w:hAnsiTheme="minorHAnsi"/>
          <w:sz w:val="16"/>
          <w:szCs w:val="16"/>
        </w:rPr>
      </w:pPr>
      <w:bookmarkStart w:id="29" w:name="_Toc426531389"/>
      <w:bookmarkStart w:id="30" w:name="_Toc426435744"/>
    </w:p>
    <w:p w14:paraId="38342C32"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8. ODBIÓR ROBÓT</w:t>
      </w:r>
      <w:bookmarkEnd w:id="29"/>
      <w:bookmarkEnd w:id="30"/>
    </w:p>
    <w:p w14:paraId="44905EF1"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8.1. Ogólne zasady odbioru robót</w:t>
      </w:r>
    </w:p>
    <w:p w14:paraId="71972927"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Ogólne zasady odbioru robót podano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D-M-00.00.00 „Wymagania ogólne” pkt 8.</w:t>
      </w:r>
    </w:p>
    <w:p w14:paraId="4F12A2B2"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Roboty uznaje się za wykonane zgodnie z dokumentacją projektową,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i wymaganiami Inżyniera, jeżeli wszystkie pomiary i badania z zachowaniem tolerancji wg pkt 6 dały wyniki pozytywne.</w:t>
      </w:r>
    </w:p>
    <w:p w14:paraId="18F8654D"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8.2. Odbiór robót zanikających i ulegających zakryciu</w:t>
      </w:r>
    </w:p>
    <w:p w14:paraId="0C52FE43"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Odbiorowi robót zanikających i ulegających zakryciu podlegają:</w:t>
      </w:r>
    </w:p>
    <w:p w14:paraId="66F10829" w14:textId="77777777" w:rsidR="00AC7A84" w:rsidRPr="007D03F5" w:rsidRDefault="00AC7A84" w:rsidP="00AC7A84">
      <w:pPr>
        <w:pStyle w:val="Pro-Inwest"/>
        <w:numPr>
          <w:ilvl w:val="0"/>
          <w:numId w:val="41"/>
        </w:numPr>
        <w:jc w:val="both"/>
        <w:rPr>
          <w:rFonts w:asciiTheme="minorHAnsi" w:hAnsiTheme="minorHAnsi"/>
          <w:sz w:val="16"/>
          <w:szCs w:val="16"/>
        </w:rPr>
      </w:pPr>
      <w:r w:rsidRPr="007D03F5">
        <w:rPr>
          <w:rFonts w:asciiTheme="minorHAnsi" w:hAnsiTheme="minorHAnsi"/>
          <w:sz w:val="16"/>
          <w:szCs w:val="16"/>
        </w:rPr>
        <w:t>wykonane koryto,</w:t>
      </w:r>
    </w:p>
    <w:p w14:paraId="47D2F319" w14:textId="77777777" w:rsidR="00AC7A84" w:rsidRPr="007D03F5" w:rsidRDefault="00AC7A84" w:rsidP="00AC7A84">
      <w:pPr>
        <w:pStyle w:val="Pro-Inwest"/>
        <w:numPr>
          <w:ilvl w:val="0"/>
          <w:numId w:val="41"/>
        </w:numPr>
        <w:jc w:val="both"/>
        <w:rPr>
          <w:rFonts w:asciiTheme="minorHAnsi" w:hAnsiTheme="minorHAnsi"/>
          <w:sz w:val="16"/>
          <w:szCs w:val="16"/>
        </w:rPr>
      </w:pPr>
      <w:r w:rsidRPr="007D03F5">
        <w:rPr>
          <w:rFonts w:asciiTheme="minorHAnsi" w:hAnsiTheme="minorHAnsi"/>
          <w:sz w:val="16"/>
          <w:szCs w:val="16"/>
        </w:rPr>
        <w:t>wykonana ława.</w:t>
      </w:r>
    </w:p>
    <w:p w14:paraId="02C4D6A2" w14:textId="77777777" w:rsidR="00AC7A84" w:rsidRPr="007D03F5" w:rsidRDefault="00AC7A84" w:rsidP="00AC7A84">
      <w:pPr>
        <w:pStyle w:val="Pro-Inwest"/>
        <w:jc w:val="both"/>
        <w:rPr>
          <w:rFonts w:asciiTheme="minorHAnsi" w:hAnsiTheme="minorHAnsi"/>
          <w:sz w:val="16"/>
          <w:szCs w:val="16"/>
        </w:rPr>
      </w:pPr>
      <w:bookmarkStart w:id="31" w:name="_Toc426531390"/>
      <w:bookmarkStart w:id="32" w:name="_Toc426435745"/>
    </w:p>
    <w:p w14:paraId="546AC271"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9. PODSTAWA PŁATNOŚCI</w:t>
      </w:r>
      <w:bookmarkEnd w:id="31"/>
      <w:bookmarkEnd w:id="32"/>
    </w:p>
    <w:p w14:paraId="1EB24EBC"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9.1. Ogólne ustalenia dotyczące podstawy płatności</w:t>
      </w:r>
    </w:p>
    <w:p w14:paraId="39833912"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 xml:space="preserve">Ogólne ustalenia dotyczące podstawy płatności podano w </w:t>
      </w:r>
      <w:proofErr w:type="spellStart"/>
      <w:r w:rsidRPr="007D03F5">
        <w:rPr>
          <w:rFonts w:asciiTheme="minorHAnsi" w:hAnsiTheme="minorHAnsi"/>
          <w:sz w:val="16"/>
          <w:szCs w:val="16"/>
        </w:rPr>
        <w:t>STWiORB</w:t>
      </w:r>
      <w:proofErr w:type="spellEnd"/>
      <w:r w:rsidRPr="007D03F5">
        <w:rPr>
          <w:rFonts w:asciiTheme="minorHAnsi" w:hAnsiTheme="minorHAnsi"/>
          <w:sz w:val="16"/>
          <w:szCs w:val="16"/>
        </w:rPr>
        <w:t xml:space="preserve"> D-M-00.00.00 „Wymagania ogólne” pkt 9.</w:t>
      </w:r>
    </w:p>
    <w:p w14:paraId="7A3138E8"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9.2. Cena jednostki obmiarowej</w:t>
      </w:r>
    </w:p>
    <w:p w14:paraId="4D612686"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ab/>
        <w:t>Cena wykonania 1 m granitowego obrzeża obejmuje:</w:t>
      </w:r>
    </w:p>
    <w:p w14:paraId="230FC177" w14:textId="77777777" w:rsidR="00AC7A84" w:rsidRPr="007D03F5" w:rsidRDefault="00AC7A84" w:rsidP="00AC7A84">
      <w:pPr>
        <w:pStyle w:val="Pro-Inwest"/>
        <w:numPr>
          <w:ilvl w:val="0"/>
          <w:numId w:val="42"/>
        </w:numPr>
        <w:jc w:val="both"/>
        <w:rPr>
          <w:rFonts w:asciiTheme="minorHAnsi" w:hAnsiTheme="minorHAnsi"/>
          <w:sz w:val="16"/>
          <w:szCs w:val="16"/>
        </w:rPr>
      </w:pPr>
      <w:r w:rsidRPr="007D03F5">
        <w:rPr>
          <w:rFonts w:asciiTheme="minorHAnsi" w:hAnsiTheme="minorHAnsi"/>
          <w:sz w:val="16"/>
          <w:szCs w:val="16"/>
        </w:rPr>
        <w:t>prace pomiarowe i roboty przygotowawcze,</w:t>
      </w:r>
    </w:p>
    <w:p w14:paraId="2E7DC374" w14:textId="77777777" w:rsidR="00AC7A84" w:rsidRPr="007D03F5" w:rsidRDefault="00AC7A84" w:rsidP="00AC7A84">
      <w:pPr>
        <w:pStyle w:val="Pro-Inwest"/>
        <w:numPr>
          <w:ilvl w:val="0"/>
          <w:numId w:val="42"/>
        </w:numPr>
        <w:jc w:val="both"/>
        <w:rPr>
          <w:rFonts w:asciiTheme="minorHAnsi" w:hAnsiTheme="minorHAnsi"/>
          <w:sz w:val="16"/>
          <w:szCs w:val="16"/>
        </w:rPr>
      </w:pPr>
      <w:r w:rsidRPr="007D03F5">
        <w:rPr>
          <w:rFonts w:asciiTheme="minorHAnsi" w:hAnsiTheme="minorHAnsi"/>
          <w:sz w:val="16"/>
          <w:szCs w:val="16"/>
        </w:rPr>
        <w:t>dostarczenie materiałów,</w:t>
      </w:r>
    </w:p>
    <w:p w14:paraId="29C00F16" w14:textId="77777777" w:rsidR="00AC7A84" w:rsidRPr="007D03F5" w:rsidRDefault="00AC7A84" w:rsidP="00AC7A84">
      <w:pPr>
        <w:pStyle w:val="Pro-Inwest"/>
        <w:numPr>
          <w:ilvl w:val="0"/>
          <w:numId w:val="42"/>
        </w:numPr>
        <w:jc w:val="both"/>
        <w:rPr>
          <w:rFonts w:asciiTheme="minorHAnsi" w:hAnsiTheme="minorHAnsi"/>
          <w:sz w:val="16"/>
          <w:szCs w:val="16"/>
        </w:rPr>
      </w:pPr>
      <w:r w:rsidRPr="007D03F5">
        <w:rPr>
          <w:rFonts w:asciiTheme="minorHAnsi" w:hAnsiTheme="minorHAnsi"/>
          <w:sz w:val="16"/>
          <w:szCs w:val="16"/>
        </w:rPr>
        <w:t>wykonanie koryta,</w:t>
      </w:r>
    </w:p>
    <w:p w14:paraId="480F7F95" w14:textId="77777777" w:rsidR="00AC7A84" w:rsidRPr="007D03F5" w:rsidRDefault="00AC7A84" w:rsidP="00AC7A84">
      <w:pPr>
        <w:pStyle w:val="Pro-Inwest"/>
        <w:numPr>
          <w:ilvl w:val="0"/>
          <w:numId w:val="42"/>
        </w:numPr>
        <w:jc w:val="both"/>
        <w:rPr>
          <w:rFonts w:asciiTheme="minorHAnsi" w:hAnsiTheme="minorHAnsi"/>
          <w:sz w:val="16"/>
          <w:szCs w:val="16"/>
        </w:rPr>
      </w:pPr>
      <w:r w:rsidRPr="007D03F5">
        <w:rPr>
          <w:rFonts w:asciiTheme="minorHAnsi" w:hAnsiTheme="minorHAnsi"/>
          <w:sz w:val="16"/>
          <w:szCs w:val="16"/>
        </w:rPr>
        <w:t>wykonanie ławy,</w:t>
      </w:r>
    </w:p>
    <w:p w14:paraId="159E40A3" w14:textId="77777777" w:rsidR="00AC7A84" w:rsidRPr="007D03F5" w:rsidRDefault="00AC7A84" w:rsidP="00AC7A84">
      <w:pPr>
        <w:pStyle w:val="Pro-Inwest"/>
        <w:numPr>
          <w:ilvl w:val="0"/>
          <w:numId w:val="42"/>
        </w:numPr>
        <w:jc w:val="both"/>
        <w:rPr>
          <w:rFonts w:asciiTheme="minorHAnsi" w:hAnsiTheme="minorHAnsi"/>
          <w:sz w:val="16"/>
          <w:szCs w:val="16"/>
        </w:rPr>
      </w:pPr>
      <w:r w:rsidRPr="007D03F5">
        <w:rPr>
          <w:rFonts w:asciiTheme="minorHAnsi" w:hAnsiTheme="minorHAnsi"/>
          <w:sz w:val="16"/>
          <w:szCs w:val="16"/>
        </w:rPr>
        <w:t>ustawienie obrzeża,</w:t>
      </w:r>
    </w:p>
    <w:p w14:paraId="732267F5" w14:textId="77777777" w:rsidR="00AC7A84" w:rsidRPr="007D03F5" w:rsidRDefault="00AC7A84" w:rsidP="00AC7A84">
      <w:pPr>
        <w:pStyle w:val="Pro-Inwest"/>
        <w:numPr>
          <w:ilvl w:val="0"/>
          <w:numId w:val="42"/>
        </w:numPr>
        <w:jc w:val="both"/>
        <w:rPr>
          <w:rFonts w:asciiTheme="minorHAnsi" w:hAnsiTheme="minorHAnsi"/>
          <w:sz w:val="16"/>
          <w:szCs w:val="16"/>
        </w:rPr>
      </w:pPr>
      <w:r w:rsidRPr="007D03F5">
        <w:rPr>
          <w:rFonts w:asciiTheme="minorHAnsi" w:hAnsiTheme="minorHAnsi"/>
          <w:sz w:val="16"/>
          <w:szCs w:val="16"/>
        </w:rPr>
        <w:t>wypełnienie spoin,</w:t>
      </w:r>
    </w:p>
    <w:p w14:paraId="09FB0B6F" w14:textId="77777777" w:rsidR="00AC7A84" w:rsidRPr="007D03F5" w:rsidRDefault="00AC7A84" w:rsidP="00AC7A84">
      <w:pPr>
        <w:pStyle w:val="Pro-Inwest"/>
        <w:numPr>
          <w:ilvl w:val="0"/>
          <w:numId w:val="42"/>
        </w:numPr>
        <w:jc w:val="both"/>
        <w:rPr>
          <w:rFonts w:asciiTheme="minorHAnsi" w:hAnsiTheme="minorHAnsi"/>
          <w:sz w:val="16"/>
          <w:szCs w:val="16"/>
        </w:rPr>
      </w:pPr>
      <w:r w:rsidRPr="007D03F5">
        <w:rPr>
          <w:rFonts w:asciiTheme="minorHAnsi" w:hAnsiTheme="minorHAnsi"/>
          <w:sz w:val="16"/>
          <w:szCs w:val="16"/>
        </w:rPr>
        <w:t>obsypanie zewnętrznej ściany obrzeża,</w:t>
      </w:r>
    </w:p>
    <w:p w14:paraId="7EF24450" w14:textId="77777777" w:rsidR="00AC7A84" w:rsidRPr="007D03F5" w:rsidRDefault="00AC7A84" w:rsidP="00AC7A84">
      <w:pPr>
        <w:pStyle w:val="Pro-Inwest"/>
        <w:numPr>
          <w:ilvl w:val="0"/>
          <w:numId w:val="42"/>
        </w:numPr>
        <w:jc w:val="both"/>
        <w:rPr>
          <w:rFonts w:asciiTheme="minorHAnsi" w:hAnsiTheme="minorHAnsi"/>
          <w:sz w:val="16"/>
          <w:szCs w:val="16"/>
        </w:rPr>
      </w:pPr>
      <w:r w:rsidRPr="007D03F5">
        <w:rPr>
          <w:rFonts w:asciiTheme="minorHAnsi" w:hAnsiTheme="minorHAnsi"/>
          <w:sz w:val="16"/>
          <w:szCs w:val="16"/>
        </w:rPr>
        <w:t>wykonanie badań i pomiarów wymaganych w specyfikacji technicznej.</w:t>
      </w:r>
    </w:p>
    <w:p w14:paraId="2F33AA99" w14:textId="77777777" w:rsidR="00AC7A84" w:rsidRPr="007D03F5" w:rsidRDefault="00AC7A84" w:rsidP="00AC7A84">
      <w:pPr>
        <w:pStyle w:val="Pro-Inwest"/>
        <w:jc w:val="both"/>
        <w:rPr>
          <w:rFonts w:asciiTheme="minorHAnsi" w:hAnsiTheme="minorHAnsi"/>
          <w:sz w:val="16"/>
          <w:szCs w:val="16"/>
        </w:rPr>
      </w:pPr>
      <w:bookmarkStart w:id="33" w:name="_Toc426531391"/>
    </w:p>
    <w:p w14:paraId="7EF8ED59" w14:textId="77777777" w:rsidR="00962978" w:rsidRPr="007D03F5" w:rsidRDefault="00962978" w:rsidP="00AC7A84">
      <w:pPr>
        <w:pStyle w:val="Pro-Inwest"/>
        <w:jc w:val="both"/>
        <w:rPr>
          <w:rFonts w:asciiTheme="minorHAnsi" w:hAnsiTheme="minorHAnsi"/>
          <w:sz w:val="16"/>
          <w:szCs w:val="16"/>
        </w:rPr>
      </w:pPr>
    </w:p>
    <w:p w14:paraId="6C247B08"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lastRenderedPageBreak/>
        <w:t xml:space="preserve">10. </w:t>
      </w:r>
      <w:bookmarkEnd w:id="33"/>
      <w:r w:rsidRPr="007D03F5">
        <w:rPr>
          <w:rFonts w:asciiTheme="minorHAnsi" w:hAnsiTheme="minorHAnsi"/>
          <w:b/>
          <w:sz w:val="16"/>
          <w:szCs w:val="16"/>
        </w:rPr>
        <w:t>PRZEPISY ZWIĄZANE</w:t>
      </w:r>
    </w:p>
    <w:p w14:paraId="4E90DEBC" w14:textId="77777777" w:rsidR="00AC7A84" w:rsidRPr="007D03F5" w:rsidRDefault="00AC7A84" w:rsidP="00AC7A84">
      <w:pPr>
        <w:pStyle w:val="Pro-Inwest"/>
        <w:jc w:val="both"/>
        <w:rPr>
          <w:rFonts w:asciiTheme="minorHAnsi" w:hAnsiTheme="minorHAnsi"/>
          <w:b/>
          <w:sz w:val="16"/>
          <w:szCs w:val="16"/>
        </w:rPr>
      </w:pPr>
      <w:r w:rsidRPr="007D03F5">
        <w:rPr>
          <w:rFonts w:asciiTheme="minorHAnsi" w:hAnsiTheme="minorHAnsi"/>
          <w:b/>
          <w:sz w:val="16"/>
          <w:szCs w:val="16"/>
        </w:rPr>
        <w:t>Normy</w:t>
      </w:r>
    </w:p>
    <w:p w14:paraId="26BDC3D1"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1.  PN-EN  197-1  Cement  --  Część  1:  Skład,  wymagania  i  kryteria  zgodności  dotyczące cementów powszechnego użytku. </w:t>
      </w:r>
    </w:p>
    <w:p w14:paraId="590DE385"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2. PN-EN 206+A1 Beton -- Wymagania, właściwości, produkcja i zgodność. </w:t>
      </w:r>
    </w:p>
    <w:p w14:paraId="04DE40CF"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3. PN-EN 934-2 Domieszki do betonu, zaprawy i zaczynu -- Część 2: Domieszki do betonu. </w:t>
      </w:r>
    </w:p>
    <w:p w14:paraId="5D68F05B"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4.  PN-EN  1008  Woda  zarobowa  do  betonu  --  Specyfikacja  pobierania  próbek,  badanie i ocena  przydatności  wody  zarobowej  do  betonu,  w  tym  wody  odzyskanej  z  procesów produkcji betonu. </w:t>
      </w:r>
    </w:p>
    <w:p w14:paraId="1DD9C4E1"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5. PN-EN 1340 Krawężniki betonowe -- Wymagania i metody badań. </w:t>
      </w:r>
    </w:p>
    <w:p w14:paraId="46629BD8"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6. PN-EN 12620 Kruszywa do betonu. </w:t>
      </w:r>
    </w:p>
    <w:p w14:paraId="50017879"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7.  PN-EN  13242  Kruszywa  do  niezwiązanych  i  związanych  hydraulicznie  materiałów stosowanych w obiektach budowlanych i budownictwie drogowym. </w:t>
      </w:r>
    </w:p>
    <w:p w14:paraId="63778CFA"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8. PN-EN 14188-1 Wypełniacze złączy i zalewy -- Część 1: Specyfikacja zalew na gorąco. </w:t>
      </w:r>
    </w:p>
    <w:p w14:paraId="7C68368C"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 xml:space="preserve">9. PN-EN 14188-2 Wypełniacze szczelin i zalewy -- Część 2: Specyfikacja zalew na zimno. </w:t>
      </w:r>
    </w:p>
    <w:p w14:paraId="45018FFF" w14:textId="77777777" w:rsidR="00AC7A84" w:rsidRPr="007D03F5" w:rsidRDefault="00AC7A84" w:rsidP="00AC7A84">
      <w:pPr>
        <w:pStyle w:val="Pro-Inwest"/>
        <w:jc w:val="both"/>
        <w:rPr>
          <w:rFonts w:asciiTheme="minorHAnsi" w:hAnsiTheme="minorHAnsi"/>
          <w:sz w:val="16"/>
          <w:szCs w:val="16"/>
        </w:rPr>
      </w:pPr>
      <w:r w:rsidRPr="007D03F5">
        <w:rPr>
          <w:rFonts w:asciiTheme="minorHAnsi" w:hAnsiTheme="minorHAnsi"/>
          <w:sz w:val="16"/>
          <w:szCs w:val="16"/>
        </w:rPr>
        <w:t>10. PN-B-04481 Grunty budowlane -- Badania próbek gruntu.</w:t>
      </w:r>
    </w:p>
    <w:p w14:paraId="67FDFC48" w14:textId="77777777" w:rsidR="00AC7A84" w:rsidRPr="007D03F5" w:rsidRDefault="00AC7A84" w:rsidP="00962978">
      <w:pPr>
        <w:pStyle w:val="Pro-Inwest"/>
        <w:ind w:left="720"/>
        <w:jc w:val="both"/>
        <w:rPr>
          <w:b/>
          <w:bCs/>
          <w:sz w:val="16"/>
          <w:szCs w:val="16"/>
        </w:rPr>
      </w:pPr>
    </w:p>
    <w:p w14:paraId="15C43D69" w14:textId="77777777" w:rsidR="00AC7A84" w:rsidRPr="007D03F5" w:rsidRDefault="00AC7A84" w:rsidP="00AC7A84">
      <w:pPr>
        <w:pStyle w:val="Pro-Inwest"/>
        <w:spacing w:line="240" w:lineRule="auto"/>
        <w:jc w:val="both"/>
        <w:rPr>
          <w:rStyle w:val="Nagwek1Znak"/>
          <w:rFonts w:asciiTheme="minorHAnsi" w:hAnsiTheme="minorHAnsi"/>
          <w:sz w:val="18"/>
          <w:szCs w:val="18"/>
        </w:rPr>
      </w:pPr>
    </w:p>
    <w:p w14:paraId="2474A429" w14:textId="77777777" w:rsidR="00AC7A84" w:rsidRPr="007D03F5" w:rsidRDefault="00AC7A84" w:rsidP="00AC7A84">
      <w:pPr>
        <w:pStyle w:val="Pro-Inwest"/>
        <w:spacing w:line="240" w:lineRule="auto"/>
        <w:jc w:val="both"/>
        <w:rPr>
          <w:rStyle w:val="Nagwek1Znak"/>
          <w:rFonts w:asciiTheme="minorHAnsi" w:hAnsiTheme="minorHAnsi"/>
          <w:sz w:val="18"/>
          <w:szCs w:val="18"/>
        </w:rPr>
      </w:pPr>
    </w:p>
    <w:p w14:paraId="29CA8985" w14:textId="77777777" w:rsidR="00AC7A84" w:rsidRPr="007D03F5" w:rsidRDefault="00AC7A84" w:rsidP="00AC7A84">
      <w:pPr>
        <w:pStyle w:val="Pro-Inwest"/>
        <w:spacing w:line="240" w:lineRule="auto"/>
        <w:jc w:val="both"/>
        <w:rPr>
          <w:rStyle w:val="Nagwek1Znak"/>
          <w:rFonts w:asciiTheme="minorHAnsi" w:hAnsiTheme="minorHAnsi"/>
          <w:sz w:val="18"/>
          <w:szCs w:val="18"/>
        </w:rPr>
      </w:pPr>
    </w:p>
    <w:p w14:paraId="042618D2" w14:textId="77777777" w:rsidR="001263BD" w:rsidRPr="007D03F5" w:rsidRDefault="001263BD" w:rsidP="007E23F7">
      <w:pPr>
        <w:pStyle w:val="Pro-Inwest"/>
        <w:spacing w:line="240" w:lineRule="auto"/>
        <w:jc w:val="both"/>
        <w:rPr>
          <w:rStyle w:val="Nagwek1Znak"/>
          <w:rFonts w:asciiTheme="minorHAnsi" w:hAnsiTheme="minorHAnsi"/>
          <w:sz w:val="18"/>
          <w:szCs w:val="18"/>
        </w:rPr>
      </w:pPr>
    </w:p>
    <w:p w14:paraId="09A77C2F" w14:textId="77777777" w:rsidR="00962978" w:rsidRPr="007D03F5" w:rsidRDefault="00962978" w:rsidP="007E23F7">
      <w:pPr>
        <w:pStyle w:val="Pro-Inwest"/>
        <w:spacing w:line="240" w:lineRule="auto"/>
        <w:jc w:val="both"/>
        <w:rPr>
          <w:rStyle w:val="Nagwek1Znak"/>
          <w:rFonts w:asciiTheme="minorHAnsi" w:hAnsiTheme="minorHAnsi"/>
          <w:sz w:val="18"/>
          <w:szCs w:val="18"/>
        </w:rPr>
      </w:pPr>
    </w:p>
    <w:p w14:paraId="1FFB6479" w14:textId="77777777" w:rsidR="00962978" w:rsidRPr="007D03F5" w:rsidRDefault="00962978" w:rsidP="007E23F7">
      <w:pPr>
        <w:pStyle w:val="Pro-Inwest"/>
        <w:spacing w:line="240" w:lineRule="auto"/>
        <w:jc w:val="both"/>
        <w:rPr>
          <w:rStyle w:val="Nagwek1Znak"/>
          <w:rFonts w:asciiTheme="minorHAnsi" w:hAnsiTheme="minorHAnsi"/>
          <w:sz w:val="18"/>
          <w:szCs w:val="18"/>
        </w:rPr>
      </w:pPr>
    </w:p>
    <w:p w14:paraId="5C2401FA"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1F8B86DD"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0A0419DC"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4ACDB13B"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4E942A4F"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0C0B81B8"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2397E728"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2915DBC3"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7E0B0EE2"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04394D84"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58A0E18A"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2CFFE8CF"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57DD6159"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242D76C3"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34C6901D"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77116221"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08A7DB05"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0B8C88AA"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6B137F78"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4395AE53"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1ADD464C"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37AF6B9E"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7269EBFA"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554E262B"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5367C427"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0C2B83FF"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7635A6D1"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521C39B8"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509762AB"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5668D543"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02C6B0A0"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178DA931"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1670406D"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002C1CE6"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13311BF6"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5116DB9A"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3E8ADFB9"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00E2A0B1"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2C210247"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71C12209"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50FD7C35"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49550E3E"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0B3A435E" w14:textId="77777777" w:rsidR="00962978" w:rsidRPr="00021789" w:rsidRDefault="00962978" w:rsidP="007E23F7">
      <w:pPr>
        <w:pStyle w:val="Pro-Inwest"/>
        <w:spacing w:line="240" w:lineRule="auto"/>
        <w:jc w:val="both"/>
        <w:rPr>
          <w:rStyle w:val="Nagwek1Znak"/>
          <w:rFonts w:asciiTheme="minorHAnsi" w:hAnsiTheme="minorHAnsi"/>
          <w:color w:val="FF0000"/>
          <w:sz w:val="18"/>
          <w:szCs w:val="18"/>
        </w:rPr>
      </w:pPr>
    </w:p>
    <w:p w14:paraId="5C9263C7" w14:textId="77777777" w:rsidR="007D4A73" w:rsidRPr="00517116" w:rsidRDefault="007D4A73" w:rsidP="007D4A73">
      <w:pPr>
        <w:pStyle w:val="Pro-Inwest"/>
        <w:spacing w:line="240" w:lineRule="auto"/>
        <w:jc w:val="both"/>
        <w:rPr>
          <w:rFonts w:asciiTheme="minorHAnsi" w:hAnsiTheme="minorHAnsi"/>
          <w:b/>
          <w:sz w:val="18"/>
          <w:szCs w:val="18"/>
        </w:rPr>
      </w:pPr>
      <w:r w:rsidRPr="00517116">
        <w:rPr>
          <w:rStyle w:val="Nagwek1Znak"/>
          <w:rFonts w:asciiTheme="minorHAnsi" w:hAnsiTheme="minorHAnsi"/>
          <w:sz w:val="18"/>
          <w:szCs w:val="18"/>
        </w:rPr>
        <w:lastRenderedPageBreak/>
        <w:t>D.08.05.03</w:t>
      </w:r>
      <w:r w:rsidRPr="00517116">
        <w:rPr>
          <w:rFonts w:asciiTheme="minorHAnsi" w:hAnsiTheme="minorHAnsi"/>
          <w:b/>
          <w:sz w:val="18"/>
          <w:szCs w:val="18"/>
        </w:rPr>
        <w:t xml:space="preserve"> ŚCIEKI Z KOSTKI GRANITOWEJ</w:t>
      </w:r>
    </w:p>
    <w:p w14:paraId="770AC3F3" w14:textId="77777777" w:rsidR="007D4A73" w:rsidRPr="00517116" w:rsidRDefault="007D4A73" w:rsidP="007D4A73">
      <w:pPr>
        <w:pStyle w:val="Standard"/>
        <w:spacing w:line="100" w:lineRule="atLeast"/>
        <w:rPr>
          <w:rFonts w:asciiTheme="minorHAnsi" w:hAnsiTheme="minorHAnsi"/>
          <w:sz w:val="16"/>
          <w:szCs w:val="16"/>
        </w:rPr>
      </w:pPr>
    </w:p>
    <w:p w14:paraId="730C2860"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1. Wstęp</w:t>
      </w:r>
    </w:p>
    <w:p w14:paraId="3475E8AE"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 xml:space="preserve">1.1. Przedmiot </w:t>
      </w:r>
      <w:proofErr w:type="spellStart"/>
      <w:r w:rsidRPr="007D4A73">
        <w:rPr>
          <w:rFonts w:asciiTheme="minorHAnsi" w:hAnsiTheme="minorHAnsi"/>
          <w:b/>
          <w:sz w:val="16"/>
          <w:szCs w:val="16"/>
        </w:rPr>
        <w:t>STWiORB</w:t>
      </w:r>
      <w:proofErr w:type="spellEnd"/>
    </w:p>
    <w:p w14:paraId="1F72088E" w14:textId="436A9301" w:rsidR="007D4A73" w:rsidRPr="007D4A73" w:rsidRDefault="007D4A73" w:rsidP="007D4A73">
      <w:pPr>
        <w:pStyle w:val="Pro-Inwest"/>
        <w:jc w:val="both"/>
        <w:rPr>
          <w:rFonts w:asciiTheme="minorHAnsi" w:hAnsiTheme="minorHAnsi"/>
          <w:sz w:val="16"/>
          <w:szCs w:val="16"/>
        </w:rPr>
      </w:pPr>
      <w:r w:rsidRPr="007D4A73">
        <w:rPr>
          <w:rFonts w:asciiTheme="minorHAnsi" w:hAnsiTheme="minorHAnsi"/>
          <w:sz w:val="16"/>
          <w:szCs w:val="16"/>
        </w:rPr>
        <w:tab/>
        <w:t>Przedmiotem niniejszej  specyfikacji technicznej wykonania i odbioru robót budowlanych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są wymagania dotyczące wykonania i odbioru robót związanych z wykonaniem ścieków z kostki granitowej dla opracowania dokumentacji projektowej dla zadania</w:t>
      </w:r>
      <w:r>
        <w:rPr>
          <w:rFonts w:asciiTheme="minorHAnsi" w:hAnsiTheme="minorHAnsi"/>
          <w:sz w:val="16"/>
          <w:szCs w:val="16"/>
        </w:rPr>
        <w:br/>
      </w:r>
      <w:r w:rsidRPr="007D4A73">
        <w:rPr>
          <w:rFonts w:asciiTheme="minorHAnsi" w:hAnsiTheme="minorHAnsi"/>
          <w:sz w:val="16"/>
          <w:szCs w:val="16"/>
        </w:rPr>
        <w:t>o nazwie „</w:t>
      </w:r>
      <w:r w:rsidRPr="007D4A73">
        <w:rPr>
          <w:rFonts w:asciiTheme="minorHAnsi" w:hAnsiTheme="minorHAnsi" w:cstheme="minorHAnsi"/>
          <w:sz w:val="16"/>
          <w:szCs w:val="16"/>
        </w:rPr>
        <w:t>Przebudowa, rozbudowa i remont budynku Uniwersytetu Łódzkiego przy ul. Sienkiewicza 21 w Łodzi, wraz ze zmianą jego sposobu użytkowania z funkcji dydaktycznej  na budynek usługowy o funkcji nauki i kultury z częścią o funkcji zamieszkania zbiorowego(centrum kultury z pokojami gościnnymi) rozbiórką balkonów i schodów zewnętrznych wraz z zadaszeniem, oraz wykonaniem ocieplenia elewacji północnej oraz zachodniej, budową szklanego świetlika nad dziedzińcem wewnętrznym oraz realizacją niezbędnej infrastruktury technicznej i zagospodarowania terenu”. Inwestorem przedsięwzięcia jest Uniwersytet Łódzki, ul. Narutowicza 68 , 90-136 Łódź.</w:t>
      </w:r>
    </w:p>
    <w:p w14:paraId="141986F3" w14:textId="74BEF32B"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 xml:space="preserve">1.2. Zakres stosowania </w:t>
      </w:r>
      <w:proofErr w:type="spellStart"/>
      <w:r w:rsidRPr="007D4A73">
        <w:rPr>
          <w:rFonts w:asciiTheme="minorHAnsi" w:hAnsiTheme="minorHAnsi"/>
          <w:b/>
          <w:sz w:val="16"/>
          <w:szCs w:val="16"/>
        </w:rPr>
        <w:t>STWiORB</w:t>
      </w:r>
      <w:proofErr w:type="spellEnd"/>
    </w:p>
    <w:p w14:paraId="325AD665"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Specyfikacja techniczna wykonania i odbioru robót budowlanych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stosowana jest jako dokument przetargowy</w:t>
      </w:r>
      <w:r w:rsidRPr="007D4A73">
        <w:rPr>
          <w:rFonts w:asciiTheme="minorHAnsi" w:hAnsiTheme="minorHAnsi"/>
          <w:sz w:val="16"/>
          <w:szCs w:val="16"/>
        </w:rPr>
        <w:br/>
        <w:t>i kontraktowy przy zlecaniu i realizacji robót drogowych.</w:t>
      </w:r>
    </w:p>
    <w:p w14:paraId="61DFAA6B"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 xml:space="preserve">1.3. Zakres robót objętych </w:t>
      </w:r>
      <w:proofErr w:type="spellStart"/>
      <w:r w:rsidRPr="007D4A73">
        <w:rPr>
          <w:rFonts w:asciiTheme="minorHAnsi" w:hAnsiTheme="minorHAnsi"/>
          <w:b/>
          <w:sz w:val="16"/>
          <w:szCs w:val="16"/>
        </w:rPr>
        <w:t>STWiORB</w:t>
      </w:r>
      <w:proofErr w:type="spellEnd"/>
    </w:p>
    <w:p w14:paraId="5C99C0E2"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Ustalenia zawarte w niniejszej specyfikacji dotyczą zasad prowadzenia robót związanych z wykonaniem:</w:t>
      </w:r>
    </w:p>
    <w:p w14:paraId="11897B2A" w14:textId="669FCFD6" w:rsidR="007D4A73" w:rsidRPr="007D4A73" w:rsidRDefault="007D4A73" w:rsidP="007D4A73">
      <w:pPr>
        <w:pStyle w:val="Standard"/>
        <w:numPr>
          <w:ilvl w:val="0"/>
          <w:numId w:val="197"/>
        </w:numPr>
        <w:spacing w:line="100" w:lineRule="atLeast"/>
        <w:rPr>
          <w:rFonts w:asciiTheme="minorHAnsi" w:hAnsiTheme="minorHAnsi"/>
          <w:sz w:val="16"/>
          <w:szCs w:val="16"/>
        </w:rPr>
      </w:pPr>
      <w:r w:rsidRPr="007D4A73">
        <w:rPr>
          <w:rFonts w:asciiTheme="minorHAnsi" w:hAnsiTheme="minorHAnsi"/>
          <w:sz w:val="16"/>
          <w:szCs w:val="16"/>
        </w:rPr>
        <w:t xml:space="preserve">ścieków ulicznych </w:t>
      </w:r>
      <w:proofErr w:type="spellStart"/>
      <w:r w:rsidRPr="007D4A73">
        <w:rPr>
          <w:rFonts w:asciiTheme="minorHAnsi" w:hAnsiTheme="minorHAnsi"/>
          <w:sz w:val="16"/>
          <w:szCs w:val="16"/>
        </w:rPr>
        <w:t>przykrawężnikowych</w:t>
      </w:r>
      <w:proofErr w:type="spellEnd"/>
      <w:r w:rsidRPr="007D4A73">
        <w:rPr>
          <w:rFonts w:asciiTheme="minorHAnsi" w:hAnsiTheme="minorHAnsi"/>
          <w:sz w:val="16"/>
          <w:szCs w:val="16"/>
        </w:rPr>
        <w:t xml:space="preserve"> z kostki granitowej nieregularnej,</w:t>
      </w:r>
    </w:p>
    <w:p w14:paraId="6246C4A9"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Roboty towarzyszące – oznakowanie robót.</w:t>
      </w:r>
    </w:p>
    <w:p w14:paraId="4FF36F65"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1.4. Określenia podstawowe</w:t>
      </w:r>
    </w:p>
    <w:p w14:paraId="49055407"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 xml:space="preserve">1.4.1. Ściek </w:t>
      </w:r>
      <w:proofErr w:type="spellStart"/>
      <w:r w:rsidRPr="007D4A73">
        <w:rPr>
          <w:rFonts w:asciiTheme="minorHAnsi" w:hAnsiTheme="minorHAnsi"/>
          <w:sz w:val="16"/>
          <w:szCs w:val="16"/>
        </w:rPr>
        <w:t>przykrawężnikowy</w:t>
      </w:r>
      <w:proofErr w:type="spellEnd"/>
      <w:r w:rsidRPr="007D4A73">
        <w:rPr>
          <w:rFonts w:asciiTheme="minorHAnsi" w:hAnsiTheme="minorHAnsi"/>
          <w:sz w:val="16"/>
          <w:szCs w:val="16"/>
        </w:rPr>
        <w:t xml:space="preserve"> - element konstrukcji jezdni służący do odprowadzenia wód opadowych z nawierzchni jezdni i chodników do projektowanych odbiorników (np. kanalizacji deszczowej).</w:t>
      </w:r>
    </w:p>
    <w:p w14:paraId="6C755E51"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 xml:space="preserve">1.4.2. Ściek </w:t>
      </w:r>
      <w:proofErr w:type="spellStart"/>
      <w:r w:rsidRPr="007D4A73">
        <w:rPr>
          <w:rFonts w:asciiTheme="minorHAnsi" w:hAnsiTheme="minorHAnsi"/>
          <w:sz w:val="16"/>
          <w:szCs w:val="16"/>
        </w:rPr>
        <w:t>międzyjezdniowy</w:t>
      </w:r>
      <w:proofErr w:type="spellEnd"/>
      <w:r w:rsidRPr="007D4A73">
        <w:rPr>
          <w:rFonts w:asciiTheme="minorHAnsi" w:hAnsiTheme="minorHAnsi"/>
          <w:sz w:val="16"/>
          <w:szCs w:val="16"/>
        </w:rPr>
        <w:t xml:space="preserve"> - element konstrukcji jezdni służący do odprowadzenia wód opadowych z nawierzchni, na których zastosowano przeciwne spadki poprzeczne, np. w rejonie zatok, placów itp.</w:t>
      </w:r>
    </w:p>
    <w:p w14:paraId="6DB03818"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1.4.3. Pozostałe określenia podstawowe są zgodne z obowiązują</w:t>
      </w:r>
      <w:r w:rsidRPr="007D4A73">
        <w:rPr>
          <w:rFonts w:asciiTheme="minorHAnsi" w:hAnsiTheme="minorHAnsi"/>
          <w:sz w:val="16"/>
          <w:szCs w:val="16"/>
        </w:rPr>
        <w:softHyphen/>
        <w:t xml:space="preserve">cymi, odpowiednimi polskimi normami i z definicjami podanymi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D-M-00.00.00 „Wymagania ogólne” pkt 1.4.</w:t>
      </w:r>
    </w:p>
    <w:p w14:paraId="1C64D580"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1.5. Ogólne wymagania dotyczące robót</w:t>
      </w:r>
    </w:p>
    <w:p w14:paraId="635F4ED0"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 xml:space="preserve">Ogólne wymagania dotyczące robót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D-M-00.00.00 „Wymagania ogólne” pkt 1.5.</w:t>
      </w:r>
    </w:p>
    <w:p w14:paraId="5A5F6E0F" w14:textId="77777777" w:rsidR="007D4A73" w:rsidRPr="007D4A73" w:rsidRDefault="007D4A73" w:rsidP="007D4A73">
      <w:pPr>
        <w:pStyle w:val="Standard"/>
        <w:spacing w:line="100" w:lineRule="atLeast"/>
        <w:rPr>
          <w:rFonts w:asciiTheme="minorHAnsi" w:hAnsiTheme="minorHAnsi"/>
          <w:b/>
          <w:sz w:val="16"/>
          <w:szCs w:val="16"/>
        </w:rPr>
      </w:pPr>
    </w:p>
    <w:p w14:paraId="1A0E0FE4"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2. MATERIAŁY</w:t>
      </w:r>
    </w:p>
    <w:p w14:paraId="28845A86"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2.1. Ogólne wymagania dotyczące materiałów</w:t>
      </w:r>
    </w:p>
    <w:p w14:paraId="78917F19"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 xml:space="preserve">Ogólne wymagania dotyczące materiałów, ich pozyskiwania i składowania,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D-M-00.00.00 „Wymagania ogólne” pkt 2.</w:t>
      </w:r>
    </w:p>
    <w:p w14:paraId="00C5D9AC"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2.2. Kostka granitowa</w:t>
      </w:r>
    </w:p>
    <w:p w14:paraId="413C4B10"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2.2.1. Kostkę granitowa drogowa powinna odpowiadać wymaganiom PN-EN 1342:2013-05.</w:t>
      </w:r>
    </w:p>
    <w:p w14:paraId="41188BC4"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2.2.5. Kształt i wymiary kostki nieregularnej</w:t>
      </w:r>
    </w:p>
    <w:p w14:paraId="65B6B32B"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Kostka nieregularna powinna mieć kształt zbliżony do prostopadłościanu. Dopuszcza się uszkodzenie jednego naroża powierzchni górnej kostki o głębokości nie większej niż 0,6 cm</w:t>
      </w:r>
    </w:p>
    <w:p w14:paraId="2D047813" w14:textId="77777777" w:rsidR="007D4A73" w:rsidRPr="007D4A73" w:rsidRDefault="007D4A73" w:rsidP="007D4A73">
      <w:pPr>
        <w:pStyle w:val="Standard"/>
        <w:spacing w:line="100" w:lineRule="atLeast"/>
        <w:rPr>
          <w:rFonts w:asciiTheme="minorHAnsi" w:hAnsiTheme="minorHAnsi"/>
          <w:b/>
          <w:bCs/>
          <w:sz w:val="16"/>
          <w:szCs w:val="16"/>
        </w:rPr>
      </w:pPr>
      <w:r w:rsidRPr="007D4A73">
        <w:rPr>
          <w:rFonts w:asciiTheme="minorHAnsi" w:hAnsiTheme="minorHAnsi"/>
          <w:b/>
          <w:bCs/>
          <w:sz w:val="16"/>
          <w:szCs w:val="16"/>
        </w:rPr>
        <w:t>2.3. Materiały na podsypkę i do zapraw</w:t>
      </w:r>
    </w:p>
    <w:p w14:paraId="1F7F499F"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Piasek na podsypkę cementowo-piaskową 1:4 powinien odpowiadać wymaganiom PN-EN 13242.</w:t>
      </w:r>
    </w:p>
    <w:p w14:paraId="71380EA2"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Cement na podsypkę i do zaprawy cementowo-piaskowej powinien być cementem portlandzkim klasy nie mniejszej niż „32,5”, wg PN-EN 197-1. Woda powinna odpowiadać wymaganiom PN-EN 1080.</w:t>
      </w:r>
      <w:r w:rsidRPr="007D4A73">
        <w:rPr>
          <w:rFonts w:asciiTheme="minorHAnsi" w:hAnsiTheme="minorHAnsi"/>
          <w:sz w:val="16"/>
          <w:szCs w:val="16"/>
        </w:rPr>
        <w:tab/>
      </w:r>
    </w:p>
    <w:p w14:paraId="0E964DB2" w14:textId="77777777" w:rsidR="007D4A73" w:rsidRPr="007D4A73" w:rsidRDefault="007D4A73" w:rsidP="007D4A73">
      <w:pPr>
        <w:pStyle w:val="Standard"/>
        <w:spacing w:line="100" w:lineRule="atLeast"/>
        <w:rPr>
          <w:rFonts w:asciiTheme="minorHAnsi" w:hAnsiTheme="minorHAnsi"/>
          <w:sz w:val="16"/>
          <w:szCs w:val="16"/>
        </w:rPr>
      </w:pPr>
    </w:p>
    <w:p w14:paraId="372F6E6C"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3. SPRZĘT</w:t>
      </w:r>
    </w:p>
    <w:p w14:paraId="31ABE706"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3.1. Ogólne wymagania dotyczące sprzętu</w:t>
      </w:r>
    </w:p>
    <w:p w14:paraId="2ACA9717"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 xml:space="preserve">Ogólne wymagania dotyczące sprzętu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D-M-00.00.00 „Wymagania ogólne” pkt 3.</w:t>
      </w:r>
    </w:p>
    <w:p w14:paraId="391312E4"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3.2. Sprzęt do wykonania ścieku</w:t>
      </w:r>
    </w:p>
    <w:p w14:paraId="2BC87DE3"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Roboty można wykonywać ręcznie z zastosowaniem następującego sprzętu:</w:t>
      </w:r>
    </w:p>
    <w:p w14:paraId="459224C3" w14:textId="77777777" w:rsidR="007D4A73" w:rsidRPr="007D4A73" w:rsidRDefault="007D4A73" w:rsidP="007D4A73">
      <w:pPr>
        <w:pStyle w:val="Standard"/>
        <w:numPr>
          <w:ilvl w:val="0"/>
          <w:numId w:val="199"/>
        </w:numPr>
        <w:spacing w:line="100" w:lineRule="atLeast"/>
        <w:rPr>
          <w:rFonts w:asciiTheme="minorHAnsi" w:hAnsiTheme="minorHAnsi"/>
          <w:sz w:val="16"/>
          <w:szCs w:val="16"/>
        </w:rPr>
      </w:pPr>
      <w:r w:rsidRPr="007D4A73">
        <w:rPr>
          <w:rFonts w:asciiTheme="minorHAnsi" w:hAnsiTheme="minorHAnsi"/>
          <w:sz w:val="16"/>
          <w:szCs w:val="16"/>
        </w:rPr>
        <w:t>betoniarek do wytwarzania betonu i zapraw,</w:t>
      </w:r>
    </w:p>
    <w:p w14:paraId="129928A1" w14:textId="77777777" w:rsidR="007D4A73" w:rsidRPr="007D4A73" w:rsidRDefault="007D4A73" w:rsidP="007D4A73">
      <w:pPr>
        <w:pStyle w:val="Standard"/>
        <w:numPr>
          <w:ilvl w:val="0"/>
          <w:numId w:val="199"/>
        </w:numPr>
        <w:spacing w:line="100" w:lineRule="atLeast"/>
        <w:rPr>
          <w:rFonts w:asciiTheme="minorHAnsi" w:hAnsiTheme="minorHAnsi"/>
          <w:sz w:val="16"/>
          <w:szCs w:val="16"/>
        </w:rPr>
      </w:pPr>
      <w:r w:rsidRPr="007D4A73">
        <w:rPr>
          <w:rFonts w:asciiTheme="minorHAnsi" w:hAnsiTheme="minorHAnsi"/>
          <w:sz w:val="16"/>
          <w:szCs w:val="16"/>
        </w:rPr>
        <w:t>ubijaków ręcznych i mechanicznych do ubijania kostki.</w:t>
      </w:r>
    </w:p>
    <w:p w14:paraId="18B86F86" w14:textId="77777777" w:rsidR="007D4A73" w:rsidRPr="007D4A73" w:rsidRDefault="007D4A73" w:rsidP="007D4A73">
      <w:pPr>
        <w:pStyle w:val="Standard"/>
        <w:spacing w:line="100" w:lineRule="atLeast"/>
        <w:rPr>
          <w:rFonts w:asciiTheme="minorHAnsi" w:hAnsiTheme="minorHAnsi"/>
          <w:sz w:val="16"/>
          <w:szCs w:val="16"/>
        </w:rPr>
      </w:pPr>
    </w:p>
    <w:p w14:paraId="769B22A5"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4. TRANSPORT</w:t>
      </w:r>
    </w:p>
    <w:p w14:paraId="388D1245"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4.1. Ogólne wymagania dotyczące transportu</w:t>
      </w:r>
    </w:p>
    <w:p w14:paraId="1702C480" w14:textId="77777777" w:rsidR="007D4A73" w:rsidRPr="007D4A73" w:rsidRDefault="007D4A73" w:rsidP="007D4A73">
      <w:pPr>
        <w:pStyle w:val="Standard"/>
        <w:spacing w:line="100" w:lineRule="atLeast"/>
        <w:rPr>
          <w:rFonts w:asciiTheme="minorHAnsi" w:hAnsiTheme="minorHAnsi"/>
          <w:bCs/>
          <w:sz w:val="16"/>
          <w:szCs w:val="16"/>
        </w:rPr>
      </w:pPr>
      <w:r w:rsidRPr="007D4A73">
        <w:rPr>
          <w:rFonts w:asciiTheme="minorHAnsi" w:hAnsiTheme="minorHAnsi"/>
          <w:b/>
          <w:sz w:val="16"/>
          <w:szCs w:val="16"/>
        </w:rPr>
        <w:tab/>
      </w:r>
      <w:r w:rsidRPr="007D4A73">
        <w:rPr>
          <w:rFonts w:asciiTheme="minorHAnsi" w:hAnsiTheme="minorHAnsi"/>
          <w:bCs/>
          <w:sz w:val="16"/>
          <w:szCs w:val="16"/>
        </w:rPr>
        <w:t xml:space="preserve">Ogólne wymagania dotyczące transportu podano w </w:t>
      </w:r>
      <w:proofErr w:type="spellStart"/>
      <w:r w:rsidRPr="007D4A73">
        <w:rPr>
          <w:rFonts w:asciiTheme="minorHAnsi" w:hAnsiTheme="minorHAnsi"/>
          <w:bCs/>
          <w:sz w:val="16"/>
          <w:szCs w:val="16"/>
        </w:rPr>
        <w:t>STWiORB</w:t>
      </w:r>
      <w:proofErr w:type="spellEnd"/>
      <w:r w:rsidRPr="007D4A73">
        <w:rPr>
          <w:rFonts w:asciiTheme="minorHAnsi" w:hAnsiTheme="minorHAnsi"/>
          <w:bCs/>
          <w:sz w:val="16"/>
          <w:szCs w:val="16"/>
        </w:rPr>
        <w:t xml:space="preserve"> D-M-00.00.00 „Wymagania ogólne” pkt 4.</w:t>
      </w:r>
    </w:p>
    <w:p w14:paraId="60391766"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4.2. Transport materiałów</w:t>
      </w:r>
    </w:p>
    <w:p w14:paraId="0943870A"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4.2.1. Transport kostek kamiennych</w:t>
      </w:r>
    </w:p>
    <w:p w14:paraId="7EA03C15"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Kostki kamienne przewozi się dowolnymi środkami transportowymi. Kostkę nieregularną przewozi się luźno usypaną. Ładowanie ręczne kostek regularnych i rzędowych powinno być wykonywane bez rzucania. Przy użyciu przenośników taśmowych, kostki regularne i rzędowe powinny być podawane i odbierane ręcznie. Kostkę nieregularną można składować w pryzmach. Wysokość stosu lub pryzm nie powinna przekraczać 1 m.</w:t>
      </w:r>
    </w:p>
    <w:p w14:paraId="642DED55"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4.2.2. Transport kruszywa</w:t>
      </w:r>
    </w:p>
    <w:p w14:paraId="50F6D1E2"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Kruszywo można przewozić dowolnymi środkami transportowymi w warunkach zabezpieczających je przed rozsypywaniem i zanieczyszczeniem.</w:t>
      </w:r>
    </w:p>
    <w:p w14:paraId="27DEBC8B" w14:textId="77777777" w:rsidR="007D4A73" w:rsidRPr="007D4A73" w:rsidRDefault="007D4A73" w:rsidP="007D4A73">
      <w:pPr>
        <w:pStyle w:val="Standard"/>
        <w:spacing w:line="100" w:lineRule="atLeast"/>
        <w:rPr>
          <w:rFonts w:asciiTheme="minorHAnsi" w:hAnsiTheme="minorHAnsi"/>
          <w:sz w:val="16"/>
          <w:szCs w:val="16"/>
        </w:rPr>
      </w:pPr>
    </w:p>
    <w:p w14:paraId="26F3FA7D"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5. WYKONANIE ROBÓT</w:t>
      </w:r>
    </w:p>
    <w:p w14:paraId="78DD46A7"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5.1. Ogólne zasady wykonania robót</w:t>
      </w:r>
    </w:p>
    <w:p w14:paraId="5BEC6C2D"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 xml:space="preserve">Ogólne zasady wykonania robót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D-M-00.00.00 „Wymagania ogólne” pkt 5.</w:t>
      </w:r>
    </w:p>
    <w:p w14:paraId="17FEEFC3"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5.2. Roboty przygotowawcze</w:t>
      </w:r>
    </w:p>
    <w:p w14:paraId="2A40D785"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Przed przystąpieniem do wykonania ścieku należy wytyczyć linię krawężnika i oś ścieku zgodnie z dokumentacją projektową. Dla ścieku umieszczonego między jezdniami (nawierzchniami) oś ścieku stanowi oś koryta pod ławę.</w:t>
      </w:r>
    </w:p>
    <w:p w14:paraId="1498CE54"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5.3. Wykonanie wykopu, ławy i ustawienie krawężników</w:t>
      </w:r>
    </w:p>
    <w:p w14:paraId="45302B28"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 xml:space="preserve">Wykonanie wykopu pod ławę, ławy betonowej dla ścieku </w:t>
      </w:r>
      <w:proofErr w:type="spellStart"/>
      <w:r w:rsidRPr="007D4A73">
        <w:rPr>
          <w:rFonts w:asciiTheme="minorHAnsi" w:hAnsiTheme="minorHAnsi"/>
          <w:sz w:val="16"/>
          <w:szCs w:val="16"/>
        </w:rPr>
        <w:t>przykrawężnikowego</w:t>
      </w:r>
      <w:proofErr w:type="spellEnd"/>
      <w:r w:rsidRPr="007D4A73">
        <w:rPr>
          <w:rFonts w:asciiTheme="minorHAnsi" w:hAnsiTheme="minorHAnsi"/>
          <w:sz w:val="16"/>
          <w:szCs w:val="16"/>
        </w:rPr>
        <w:t xml:space="preserve"> oraz ustawienie krawężników na ławach powinno </w:t>
      </w:r>
      <w:r w:rsidRPr="007D4A73">
        <w:rPr>
          <w:rFonts w:asciiTheme="minorHAnsi" w:hAnsiTheme="minorHAnsi"/>
          <w:sz w:val="16"/>
          <w:szCs w:val="16"/>
        </w:rPr>
        <w:lastRenderedPageBreak/>
        <w:t xml:space="preserve">być zgodne z dokumentacją projektową oraz postanowieniami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D-08.01.02 „Krawężniki kamienne”.</w:t>
      </w:r>
    </w:p>
    <w:p w14:paraId="63F471AD"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5.4. Wykonanie ścieku z kostki granitowej</w:t>
      </w:r>
    </w:p>
    <w:p w14:paraId="33B9D303"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 xml:space="preserve">Rodzaj i wymiary ścieku powinny być zgodne z dokumentacją projektową. Należy stosować cieki </w:t>
      </w:r>
      <w:proofErr w:type="spellStart"/>
      <w:r w:rsidRPr="007D4A73">
        <w:rPr>
          <w:rFonts w:asciiTheme="minorHAnsi" w:hAnsiTheme="minorHAnsi"/>
          <w:sz w:val="16"/>
          <w:szCs w:val="16"/>
        </w:rPr>
        <w:t>przykrawężnikowy</w:t>
      </w:r>
      <w:proofErr w:type="spellEnd"/>
      <w:r w:rsidRPr="007D4A73">
        <w:rPr>
          <w:rFonts w:asciiTheme="minorHAnsi" w:hAnsiTheme="minorHAnsi"/>
          <w:sz w:val="16"/>
          <w:szCs w:val="16"/>
        </w:rPr>
        <w:t xml:space="preserve"> z 2 rzędów kostki granitowej nieregularnej lub rzędowej, obniżonych w stosunku do krawędzi nawierzchni o 1 cm.</w:t>
      </w:r>
    </w:p>
    <w:p w14:paraId="7AE0F9C5"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Na ławie betonowej należy wykonać podsypkę cementowo-piaskową o grubości zgodnej z dokumentacją projektową</w:t>
      </w:r>
      <w:r w:rsidRPr="007D4A73">
        <w:rPr>
          <w:rFonts w:asciiTheme="minorHAnsi" w:hAnsiTheme="minorHAnsi"/>
          <w:sz w:val="16"/>
          <w:szCs w:val="16"/>
        </w:rPr>
        <w:br/>
        <w:t xml:space="preserve">i wymaganiami podanymi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D-08.01.02 „Krawężniki kamienne”.</w:t>
      </w:r>
    </w:p>
    <w:p w14:paraId="23DAF90C"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Na wykonanej podsypce należy ułożyć ściek z kostki nieregularnej lub rzędowej, z zachowaniem wymaganej w dokumentacji projektowej niwelety ścieku. Szerokość spoin między poszczególnymi kostkami nie powinna przekraczać 12 mm. Ułożoną kostkę należy ubić przy pomocy ubijaków ręcznych lub mechanicznych. Kostki pęknięte należy wymienić na całe.</w:t>
      </w:r>
    </w:p>
    <w:p w14:paraId="22910C37" w14:textId="77777777" w:rsidR="007D4A73" w:rsidRPr="007D4A73" w:rsidRDefault="007D4A73" w:rsidP="007D4A73">
      <w:pPr>
        <w:pStyle w:val="Standard"/>
        <w:spacing w:line="100" w:lineRule="atLeast"/>
        <w:rPr>
          <w:rFonts w:asciiTheme="minorHAnsi" w:hAnsiTheme="minorHAnsi"/>
          <w:b/>
          <w:bCs/>
          <w:sz w:val="16"/>
          <w:szCs w:val="16"/>
        </w:rPr>
      </w:pPr>
      <w:r w:rsidRPr="007D4A73">
        <w:rPr>
          <w:rFonts w:asciiTheme="minorHAnsi" w:hAnsiTheme="minorHAnsi"/>
          <w:b/>
          <w:bCs/>
          <w:sz w:val="16"/>
          <w:szCs w:val="16"/>
        </w:rPr>
        <w:t xml:space="preserve">5.5. Wypełnienie spoin </w:t>
      </w:r>
    </w:p>
    <w:p w14:paraId="318E5F11"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Wypełnienie spoin zaprawą cementowo-piaskową powinno być wykonane z zachowaniem następujących wymagań:</w:t>
      </w:r>
    </w:p>
    <w:p w14:paraId="3DE1D4C9"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 xml:space="preserve">−wytrzymałość zaprawy na ściskanie powinna wynosić nie mniej niż 30 </w:t>
      </w:r>
      <w:proofErr w:type="spellStart"/>
      <w:r w:rsidRPr="007D4A73">
        <w:rPr>
          <w:rFonts w:asciiTheme="minorHAnsi" w:hAnsiTheme="minorHAnsi"/>
          <w:sz w:val="16"/>
          <w:szCs w:val="16"/>
        </w:rPr>
        <w:t>MPa</w:t>
      </w:r>
      <w:proofErr w:type="spellEnd"/>
      <w:r w:rsidRPr="007D4A73">
        <w:rPr>
          <w:rFonts w:asciiTheme="minorHAnsi" w:hAnsiTheme="minorHAnsi"/>
          <w:sz w:val="16"/>
          <w:szCs w:val="16"/>
        </w:rPr>
        <w:t>,</w:t>
      </w:r>
    </w:p>
    <w:p w14:paraId="1BACF30C"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−przed rozpoczęciem zalewania kostka powinna być oczyszczona i dobrze zwilżona wodą z dodatkiem 1% cementu w stosunku objętościowym,</w:t>
      </w:r>
    </w:p>
    <w:p w14:paraId="54F4C689"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−głębokość wypełnienia spoin zaprawą cementowo-piaskową powinna wynosić około 5 cm,</w:t>
      </w:r>
    </w:p>
    <w:p w14:paraId="4D7151EE"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−zaprawa cementowo-piaskowa powinna całkowicie wypełnić spoiny i tworzyć monolit z kostką.</w:t>
      </w:r>
    </w:p>
    <w:p w14:paraId="0F610157" w14:textId="77777777" w:rsidR="007D4A73" w:rsidRPr="007D4A73" w:rsidRDefault="007D4A73" w:rsidP="007D4A73">
      <w:pPr>
        <w:pStyle w:val="Standard"/>
        <w:spacing w:line="100" w:lineRule="atLeast"/>
        <w:rPr>
          <w:rFonts w:asciiTheme="minorHAnsi" w:hAnsiTheme="minorHAnsi"/>
          <w:b/>
          <w:sz w:val="16"/>
          <w:szCs w:val="16"/>
        </w:rPr>
      </w:pPr>
    </w:p>
    <w:p w14:paraId="177D0CF9"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6. KONTROLA JAKOŚCI ROBÓT</w:t>
      </w:r>
    </w:p>
    <w:p w14:paraId="33675FEF"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6.1. Ogólne zasady kontroli jakości robót</w:t>
      </w:r>
    </w:p>
    <w:p w14:paraId="1FD82580"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 xml:space="preserve">Ogólne zasady kontroli jakości robót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D-M-00.00.00 „Wymagania ogólne” pkt 6.</w:t>
      </w:r>
    </w:p>
    <w:p w14:paraId="42235287"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6.2. Badania przed przystąpieniem do robót</w:t>
      </w:r>
    </w:p>
    <w:p w14:paraId="6021D344"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Rodzaj i zakres badań dla kostek kamiennych powinien być zgodny z wymaganiami wg PN-EN 1342:2013-05. W skład partii przeznaczonej do badań powinny wchodzić kostki jednakowego typu, rodzaju klasy i wielkości. Badania należy przeprowadzać przy każdym sprawdzaniu zgodności partii z wymaganiami normy lub na żądanie Inspektora. Badania pozostałych materiałów stosowanych do wykonania nawierzchni z kostek kamiennych, powinny obejmować wszystkie właściwości, które zostały określone w normach podanych</w:t>
      </w:r>
      <w:r w:rsidRPr="007D4A73">
        <w:rPr>
          <w:rFonts w:asciiTheme="minorHAnsi" w:hAnsiTheme="minorHAnsi"/>
          <w:sz w:val="16"/>
          <w:szCs w:val="16"/>
        </w:rPr>
        <w:br/>
        <w:t>dla odpowiednich materiałów.</w:t>
      </w:r>
    </w:p>
    <w:p w14:paraId="0CB2C9D3" w14:textId="77777777" w:rsidR="007D4A73" w:rsidRPr="007D4A73" w:rsidRDefault="007D4A73" w:rsidP="007D4A73">
      <w:pPr>
        <w:pStyle w:val="Standard"/>
        <w:spacing w:line="100" w:lineRule="atLeast"/>
        <w:rPr>
          <w:rFonts w:asciiTheme="minorHAnsi" w:hAnsiTheme="minorHAnsi"/>
          <w:b/>
          <w:bCs/>
          <w:sz w:val="16"/>
          <w:szCs w:val="16"/>
        </w:rPr>
      </w:pPr>
      <w:r w:rsidRPr="007D4A73">
        <w:rPr>
          <w:rFonts w:asciiTheme="minorHAnsi" w:hAnsiTheme="minorHAnsi"/>
          <w:b/>
          <w:bCs/>
          <w:sz w:val="16"/>
          <w:szCs w:val="16"/>
        </w:rPr>
        <w:t>6.3. Badania w czasie robót</w:t>
      </w:r>
    </w:p>
    <w:p w14:paraId="41F54944"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6.3.1. Zakres badań</w:t>
      </w:r>
    </w:p>
    <w:p w14:paraId="7A089695"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W czasie robót związanych z wykonaniem ścieku granitowego należy sprawdzać:</w:t>
      </w:r>
    </w:p>
    <w:p w14:paraId="3685CD03" w14:textId="77777777" w:rsidR="007D4A73" w:rsidRPr="007D4A73" w:rsidRDefault="007D4A73" w:rsidP="007D4A73">
      <w:pPr>
        <w:pStyle w:val="Standard"/>
        <w:numPr>
          <w:ilvl w:val="0"/>
          <w:numId w:val="200"/>
        </w:numPr>
        <w:spacing w:line="100" w:lineRule="atLeast"/>
        <w:rPr>
          <w:rFonts w:asciiTheme="minorHAnsi" w:hAnsiTheme="minorHAnsi"/>
          <w:sz w:val="16"/>
          <w:szCs w:val="16"/>
        </w:rPr>
      </w:pPr>
      <w:r w:rsidRPr="007D4A73">
        <w:rPr>
          <w:rFonts w:asciiTheme="minorHAnsi" w:hAnsiTheme="minorHAnsi"/>
          <w:sz w:val="16"/>
          <w:szCs w:val="16"/>
        </w:rPr>
        <w:t>wykop pod ławę,</w:t>
      </w:r>
    </w:p>
    <w:p w14:paraId="4616C1BC" w14:textId="77777777" w:rsidR="007D4A73" w:rsidRPr="007D4A73" w:rsidRDefault="007D4A73" w:rsidP="007D4A73">
      <w:pPr>
        <w:pStyle w:val="Standard"/>
        <w:numPr>
          <w:ilvl w:val="0"/>
          <w:numId w:val="200"/>
        </w:numPr>
        <w:spacing w:line="100" w:lineRule="atLeast"/>
        <w:rPr>
          <w:rFonts w:asciiTheme="minorHAnsi" w:hAnsiTheme="minorHAnsi"/>
          <w:sz w:val="16"/>
          <w:szCs w:val="16"/>
        </w:rPr>
      </w:pPr>
      <w:r w:rsidRPr="007D4A73">
        <w:rPr>
          <w:rFonts w:asciiTheme="minorHAnsi" w:hAnsiTheme="minorHAnsi"/>
          <w:sz w:val="16"/>
          <w:szCs w:val="16"/>
        </w:rPr>
        <w:t>gotową ławę,</w:t>
      </w:r>
    </w:p>
    <w:p w14:paraId="7213145F" w14:textId="77777777" w:rsidR="007D4A73" w:rsidRPr="007D4A73" w:rsidRDefault="007D4A73" w:rsidP="007D4A73">
      <w:pPr>
        <w:pStyle w:val="Standard"/>
        <w:numPr>
          <w:ilvl w:val="0"/>
          <w:numId w:val="200"/>
        </w:numPr>
        <w:spacing w:line="100" w:lineRule="atLeast"/>
        <w:rPr>
          <w:rFonts w:asciiTheme="minorHAnsi" w:hAnsiTheme="minorHAnsi"/>
          <w:sz w:val="16"/>
          <w:szCs w:val="16"/>
        </w:rPr>
      </w:pPr>
      <w:r w:rsidRPr="007D4A73">
        <w:rPr>
          <w:rFonts w:asciiTheme="minorHAnsi" w:hAnsiTheme="minorHAnsi"/>
          <w:sz w:val="16"/>
          <w:szCs w:val="16"/>
        </w:rPr>
        <w:t>ustawienie krawężnika,</w:t>
      </w:r>
    </w:p>
    <w:p w14:paraId="610180DD" w14:textId="77777777" w:rsidR="007D4A73" w:rsidRPr="007D4A73" w:rsidRDefault="007D4A73" w:rsidP="007D4A73">
      <w:pPr>
        <w:pStyle w:val="Standard"/>
        <w:numPr>
          <w:ilvl w:val="0"/>
          <w:numId w:val="200"/>
        </w:numPr>
        <w:spacing w:line="100" w:lineRule="atLeast"/>
        <w:rPr>
          <w:rFonts w:asciiTheme="minorHAnsi" w:hAnsiTheme="minorHAnsi"/>
          <w:sz w:val="16"/>
          <w:szCs w:val="16"/>
        </w:rPr>
      </w:pPr>
      <w:r w:rsidRPr="007D4A73">
        <w:rPr>
          <w:rFonts w:asciiTheme="minorHAnsi" w:hAnsiTheme="minorHAnsi"/>
          <w:sz w:val="16"/>
          <w:szCs w:val="16"/>
        </w:rPr>
        <w:t>wykonanie ścieku.</w:t>
      </w:r>
    </w:p>
    <w:p w14:paraId="11B97DF9"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6.3.2. Wykop pod ławę</w:t>
      </w:r>
    </w:p>
    <w:p w14:paraId="14226B36"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Należy sprawdzać, czy wymiary wykopu są zgodne z dokumentacją projektową oraz zagęszczenie podłoża na dnie wykopu.</w:t>
      </w:r>
    </w:p>
    <w:p w14:paraId="0777C179"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Tolerancja dla szerokości wykopu wynosi ± 2 cm. Zagęszczenie podłoża powinno być zgodne z pkt 5.3.</w:t>
      </w:r>
    </w:p>
    <w:p w14:paraId="1846040B"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6.3.3. Sprawdzenie wykonania ławy</w:t>
      </w:r>
    </w:p>
    <w:p w14:paraId="5115DF9B"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Przy wykonywaniu ławy, badaniu podlegają:</w:t>
      </w:r>
    </w:p>
    <w:p w14:paraId="4F300D55" w14:textId="77777777" w:rsidR="007D4A73" w:rsidRPr="007D4A73" w:rsidRDefault="007D4A73" w:rsidP="007D4A73">
      <w:pPr>
        <w:pStyle w:val="Standard"/>
        <w:numPr>
          <w:ilvl w:val="0"/>
          <w:numId w:val="201"/>
        </w:numPr>
        <w:spacing w:line="100" w:lineRule="atLeast"/>
        <w:rPr>
          <w:rFonts w:asciiTheme="minorHAnsi" w:hAnsiTheme="minorHAnsi"/>
          <w:sz w:val="16"/>
          <w:szCs w:val="16"/>
        </w:rPr>
      </w:pPr>
      <w:r w:rsidRPr="007D4A73">
        <w:rPr>
          <w:rFonts w:asciiTheme="minorHAnsi" w:hAnsiTheme="minorHAnsi"/>
          <w:sz w:val="16"/>
          <w:szCs w:val="16"/>
        </w:rPr>
        <w:t>linia ławy w planie, która może się różnić od projektowanego kierunku o ± 2 cm na każde 100 m ławy,</w:t>
      </w:r>
    </w:p>
    <w:p w14:paraId="017C4F6C" w14:textId="77777777" w:rsidR="007D4A73" w:rsidRPr="007D4A73" w:rsidRDefault="007D4A73" w:rsidP="007D4A73">
      <w:pPr>
        <w:pStyle w:val="Standard"/>
        <w:numPr>
          <w:ilvl w:val="0"/>
          <w:numId w:val="201"/>
        </w:numPr>
        <w:spacing w:line="100" w:lineRule="atLeast"/>
        <w:rPr>
          <w:rFonts w:asciiTheme="minorHAnsi" w:hAnsiTheme="minorHAnsi"/>
          <w:sz w:val="16"/>
          <w:szCs w:val="16"/>
        </w:rPr>
      </w:pPr>
      <w:r w:rsidRPr="007D4A73">
        <w:rPr>
          <w:rFonts w:asciiTheme="minorHAnsi" w:hAnsiTheme="minorHAnsi"/>
          <w:sz w:val="16"/>
          <w:szCs w:val="16"/>
        </w:rPr>
        <w:t>niweleta górnej powierzchni ławy, która może się różnić od niwelety projektowanej o ± 1 cm na każde 100 m ławy,</w:t>
      </w:r>
    </w:p>
    <w:p w14:paraId="18FF9809" w14:textId="77777777" w:rsidR="007D4A73" w:rsidRPr="007D4A73" w:rsidRDefault="007D4A73" w:rsidP="007D4A73">
      <w:pPr>
        <w:pStyle w:val="Standard"/>
        <w:numPr>
          <w:ilvl w:val="0"/>
          <w:numId w:val="201"/>
        </w:numPr>
        <w:spacing w:line="100" w:lineRule="atLeast"/>
        <w:rPr>
          <w:rFonts w:asciiTheme="minorHAnsi" w:hAnsiTheme="minorHAnsi"/>
          <w:sz w:val="16"/>
          <w:szCs w:val="16"/>
        </w:rPr>
      </w:pPr>
      <w:r w:rsidRPr="007D4A73">
        <w:rPr>
          <w:rFonts w:asciiTheme="minorHAnsi" w:hAnsiTheme="minorHAnsi"/>
          <w:sz w:val="16"/>
          <w:szCs w:val="16"/>
        </w:rPr>
        <w:t>wymiary i równość ławy, sprawdzane w dwóch dowolnie wybranych punktach na każde 100 m ławy, przy czym dopuszczalne tolerancje wynoszą dla:</w:t>
      </w:r>
    </w:p>
    <w:p w14:paraId="207854C9" w14:textId="77777777" w:rsidR="007D4A73" w:rsidRPr="007D4A73" w:rsidRDefault="007D4A73" w:rsidP="007D4A73">
      <w:pPr>
        <w:pStyle w:val="Standard"/>
        <w:numPr>
          <w:ilvl w:val="0"/>
          <w:numId w:val="201"/>
        </w:numPr>
        <w:spacing w:line="100" w:lineRule="atLeast"/>
        <w:rPr>
          <w:rFonts w:asciiTheme="minorHAnsi" w:hAnsiTheme="minorHAnsi"/>
          <w:sz w:val="16"/>
          <w:szCs w:val="16"/>
        </w:rPr>
      </w:pPr>
      <w:r w:rsidRPr="007D4A73">
        <w:rPr>
          <w:rFonts w:asciiTheme="minorHAnsi" w:hAnsiTheme="minorHAnsi"/>
          <w:sz w:val="16"/>
          <w:szCs w:val="16"/>
        </w:rPr>
        <w:t>wysokości (grubości) ławy  ± 10% wysokości projektowanej,</w:t>
      </w:r>
    </w:p>
    <w:p w14:paraId="435954E2" w14:textId="77777777" w:rsidR="007D4A73" w:rsidRPr="007D4A73" w:rsidRDefault="007D4A73" w:rsidP="007D4A73">
      <w:pPr>
        <w:pStyle w:val="Standard"/>
        <w:numPr>
          <w:ilvl w:val="0"/>
          <w:numId w:val="201"/>
        </w:numPr>
        <w:spacing w:line="100" w:lineRule="atLeast"/>
        <w:rPr>
          <w:rFonts w:asciiTheme="minorHAnsi" w:hAnsiTheme="minorHAnsi"/>
          <w:sz w:val="16"/>
          <w:szCs w:val="16"/>
        </w:rPr>
      </w:pPr>
      <w:r w:rsidRPr="007D4A73">
        <w:rPr>
          <w:rFonts w:asciiTheme="minorHAnsi" w:hAnsiTheme="minorHAnsi"/>
          <w:sz w:val="16"/>
          <w:szCs w:val="16"/>
        </w:rPr>
        <w:t>szerokości górnej powierzchni ławy  ± 10% szerokości projektowanej,</w:t>
      </w:r>
    </w:p>
    <w:p w14:paraId="551A4A97" w14:textId="77777777" w:rsidR="007D4A73" w:rsidRPr="007D4A73" w:rsidRDefault="007D4A73" w:rsidP="007D4A73">
      <w:pPr>
        <w:pStyle w:val="Standard"/>
        <w:numPr>
          <w:ilvl w:val="0"/>
          <w:numId w:val="201"/>
        </w:numPr>
        <w:spacing w:line="100" w:lineRule="atLeast"/>
        <w:rPr>
          <w:rFonts w:asciiTheme="minorHAnsi" w:hAnsiTheme="minorHAnsi"/>
          <w:sz w:val="16"/>
          <w:szCs w:val="16"/>
        </w:rPr>
      </w:pPr>
      <w:r w:rsidRPr="007D4A73">
        <w:rPr>
          <w:rFonts w:asciiTheme="minorHAnsi" w:hAnsiTheme="minorHAnsi"/>
          <w:sz w:val="16"/>
          <w:szCs w:val="16"/>
        </w:rPr>
        <w:t>równości górnej powierzchni ławy 1 cm prześwitu pomiędzy powierzchnią ławy, a przyłożoną czterometrową łatą.</w:t>
      </w:r>
    </w:p>
    <w:p w14:paraId="6CAC54F9"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6.3.4. Sprawdzenie ustawienia krawężnika</w:t>
      </w:r>
    </w:p>
    <w:p w14:paraId="2A44D7A8"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Przy ustawianiu krawężnika, badaniu podlegają:</w:t>
      </w:r>
    </w:p>
    <w:p w14:paraId="2E1223F8" w14:textId="77777777" w:rsidR="007D4A73" w:rsidRPr="007D4A73" w:rsidRDefault="007D4A73" w:rsidP="007D4A73">
      <w:pPr>
        <w:pStyle w:val="Standard"/>
        <w:numPr>
          <w:ilvl w:val="0"/>
          <w:numId w:val="202"/>
        </w:numPr>
        <w:spacing w:line="100" w:lineRule="atLeast"/>
        <w:rPr>
          <w:rFonts w:asciiTheme="minorHAnsi" w:hAnsiTheme="minorHAnsi"/>
          <w:sz w:val="16"/>
          <w:szCs w:val="16"/>
        </w:rPr>
      </w:pPr>
      <w:r w:rsidRPr="007D4A73">
        <w:rPr>
          <w:rFonts w:asciiTheme="minorHAnsi" w:hAnsiTheme="minorHAnsi"/>
          <w:sz w:val="16"/>
          <w:szCs w:val="16"/>
        </w:rPr>
        <w:t>linia krawężnika w planie, która może się różnić o ± 1 cm od linii projektowanej na każde 100 m ustawionego krawężnika,</w:t>
      </w:r>
    </w:p>
    <w:p w14:paraId="08FAB611" w14:textId="77777777" w:rsidR="007D4A73" w:rsidRPr="007D4A73" w:rsidRDefault="007D4A73" w:rsidP="007D4A73">
      <w:pPr>
        <w:pStyle w:val="Standard"/>
        <w:numPr>
          <w:ilvl w:val="0"/>
          <w:numId w:val="202"/>
        </w:numPr>
        <w:spacing w:line="100" w:lineRule="atLeast"/>
        <w:rPr>
          <w:rFonts w:asciiTheme="minorHAnsi" w:hAnsiTheme="minorHAnsi"/>
          <w:sz w:val="16"/>
          <w:szCs w:val="16"/>
        </w:rPr>
      </w:pPr>
      <w:r w:rsidRPr="007D4A73">
        <w:rPr>
          <w:rFonts w:asciiTheme="minorHAnsi" w:hAnsiTheme="minorHAnsi"/>
          <w:sz w:val="16"/>
          <w:szCs w:val="16"/>
        </w:rPr>
        <w:t>niweleta krawężnika, która może się różnić od niwelety projektowanej o ± 1 cm na każde 100 m ustawionego krawężnika,</w:t>
      </w:r>
    </w:p>
    <w:p w14:paraId="15275CE8" w14:textId="77777777" w:rsidR="007D4A73" w:rsidRPr="007D4A73" w:rsidRDefault="007D4A73" w:rsidP="007D4A73">
      <w:pPr>
        <w:pStyle w:val="Standard"/>
        <w:numPr>
          <w:ilvl w:val="0"/>
          <w:numId w:val="202"/>
        </w:numPr>
        <w:spacing w:line="100" w:lineRule="atLeast"/>
        <w:rPr>
          <w:rFonts w:asciiTheme="minorHAnsi" w:hAnsiTheme="minorHAnsi"/>
          <w:sz w:val="16"/>
          <w:szCs w:val="16"/>
        </w:rPr>
      </w:pPr>
      <w:r w:rsidRPr="007D4A73">
        <w:rPr>
          <w:rFonts w:asciiTheme="minorHAnsi" w:hAnsiTheme="minorHAnsi"/>
          <w:sz w:val="16"/>
          <w:szCs w:val="16"/>
        </w:rPr>
        <w:t>równość górnej powierzchni krawężnika, sprawdzana w dwóch dowolnie wybranych punktach na każde 100 m długości, która może wykazywać prześwit nie większy niż 1 cm pomiędzy powierzchnią krawężnika a przyłożoną czterometrową łatą,</w:t>
      </w:r>
    </w:p>
    <w:p w14:paraId="2223E2A3" w14:textId="77777777" w:rsidR="007D4A73" w:rsidRPr="007D4A73" w:rsidRDefault="007D4A73" w:rsidP="007D4A73">
      <w:pPr>
        <w:pStyle w:val="Standard"/>
        <w:numPr>
          <w:ilvl w:val="0"/>
          <w:numId w:val="202"/>
        </w:numPr>
        <w:spacing w:line="100" w:lineRule="atLeast"/>
        <w:rPr>
          <w:rFonts w:asciiTheme="minorHAnsi" w:hAnsiTheme="minorHAnsi"/>
          <w:sz w:val="16"/>
          <w:szCs w:val="16"/>
        </w:rPr>
      </w:pPr>
      <w:r w:rsidRPr="007D4A73">
        <w:rPr>
          <w:rFonts w:asciiTheme="minorHAnsi" w:hAnsiTheme="minorHAnsi"/>
          <w:sz w:val="16"/>
          <w:szCs w:val="16"/>
        </w:rPr>
        <w:t>wypełnienie spoin, sprawdzane na każdych 10 metrach ustawionego krawężnika, przy czym wymagane jest całkowite wypełnienie badanej spoiny,</w:t>
      </w:r>
    </w:p>
    <w:p w14:paraId="55BA3D16" w14:textId="77777777" w:rsidR="007D4A73" w:rsidRPr="007D4A73" w:rsidRDefault="007D4A73" w:rsidP="007D4A73">
      <w:pPr>
        <w:pStyle w:val="Standard"/>
        <w:numPr>
          <w:ilvl w:val="0"/>
          <w:numId w:val="202"/>
        </w:numPr>
        <w:spacing w:line="100" w:lineRule="atLeast"/>
        <w:rPr>
          <w:rFonts w:asciiTheme="minorHAnsi" w:hAnsiTheme="minorHAnsi"/>
          <w:sz w:val="16"/>
          <w:szCs w:val="16"/>
        </w:rPr>
      </w:pPr>
      <w:r w:rsidRPr="007D4A73">
        <w:rPr>
          <w:rFonts w:asciiTheme="minorHAnsi" w:hAnsiTheme="minorHAnsi"/>
          <w:sz w:val="16"/>
          <w:szCs w:val="16"/>
        </w:rPr>
        <w:t>szerokość spoin, sprawdzana na każdych 10 metrach ustawionego krawężnika, która nie może być większa od 1 cm.</w:t>
      </w:r>
    </w:p>
    <w:p w14:paraId="64C665D5"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6.3.5. Sprawdzenie wykonania ścieku</w:t>
      </w:r>
    </w:p>
    <w:p w14:paraId="2A3D8B59"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Przy wykonaniu ścieku, badaniu podlegają:</w:t>
      </w:r>
    </w:p>
    <w:p w14:paraId="1617AF8C" w14:textId="77777777" w:rsidR="007D4A73" w:rsidRPr="007D4A73" w:rsidRDefault="007D4A73" w:rsidP="007D4A73">
      <w:pPr>
        <w:pStyle w:val="Standard"/>
        <w:numPr>
          <w:ilvl w:val="0"/>
          <w:numId w:val="203"/>
        </w:numPr>
        <w:spacing w:line="100" w:lineRule="atLeast"/>
        <w:rPr>
          <w:rFonts w:asciiTheme="minorHAnsi" w:hAnsiTheme="minorHAnsi"/>
          <w:sz w:val="16"/>
          <w:szCs w:val="16"/>
        </w:rPr>
      </w:pPr>
      <w:r w:rsidRPr="007D4A73">
        <w:rPr>
          <w:rFonts w:asciiTheme="minorHAnsi" w:hAnsiTheme="minorHAnsi"/>
          <w:sz w:val="16"/>
          <w:szCs w:val="16"/>
        </w:rPr>
        <w:t>niweleta ścieku, która może różnić się od niwelety projektowanej o ± 1 cm na każde 100 m wykonanego ścieku,</w:t>
      </w:r>
    </w:p>
    <w:p w14:paraId="25B65C03" w14:textId="77777777" w:rsidR="007D4A73" w:rsidRPr="007D4A73" w:rsidRDefault="007D4A73" w:rsidP="007D4A73">
      <w:pPr>
        <w:pStyle w:val="Standard"/>
        <w:numPr>
          <w:ilvl w:val="0"/>
          <w:numId w:val="203"/>
        </w:numPr>
        <w:spacing w:line="100" w:lineRule="atLeast"/>
        <w:rPr>
          <w:rFonts w:asciiTheme="minorHAnsi" w:hAnsiTheme="minorHAnsi"/>
          <w:sz w:val="16"/>
          <w:szCs w:val="16"/>
        </w:rPr>
      </w:pPr>
      <w:r w:rsidRPr="007D4A73">
        <w:rPr>
          <w:rFonts w:asciiTheme="minorHAnsi" w:hAnsiTheme="minorHAnsi"/>
          <w:sz w:val="16"/>
          <w:szCs w:val="16"/>
        </w:rPr>
        <w:t>równość podłużna ścieku, sprawdzana w dwóch dowolnie wybranych punktach na każde 100 m długości, która może wykazywać prześwit nie większy niż 0,8 cm pomiędzy powierzchnią ścieku a łatą czterometrową,</w:t>
      </w:r>
    </w:p>
    <w:p w14:paraId="5FF4A3DF" w14:textId="77777777" w:rsidR="007D4A73" w:rsidRPr="007D4A73" w:rsidRDefault="007D4A73" w:rsidP="007D4A73">
      <w:pPr>
        <w:pStyle w:val="Standard"/>
        <w:numPr>
          <w:ilvl w:val="0"/>
          <w:numId w:val="203"/>
        </w:numPr>
        <w:spacing w:line="100" w:lineRule="atLeast"/>
        <w:rPr>
          <w:rFonts w:asciiTheme="minorHAnsi" w:hAnsiTheme="minorHAnsi"/>
          <w:sz w:val="16"/>
          <w:szCs w:val="16"/>
        </w:rPr>
      </w:pPr>
      <w:r w:rsidRPr="007D4A73">
        <w:rPr>
          <w:rFonts w:asciiTheme="minorHAnsi" w:hAnsiTheme="minorHAnsi"/>
          <w:sz w:val="16"/>
          <w:szCs w:val="16"/>
        </w:rPr>
        <w:t>wypełnienie spoin, wykonane zgodnie z pkt 5, sprawdzane na każdych 10 metrach wykonanego ścieku, przy czym wymagane jest całkowite wypełnienie badanej spoiny,</w:t>
      </w:r>
    </w:p>
    <w:p w14:paraId="473F9879" w14:textId="77777777" w:rsidR="007D4A73" w:rsidRPr="007D4A73" w:rsidRDefault="007D4A73" w:rsidP="007D4A73">
      <w:pPr>
        <w:pStyle w:val="Standard"/>
        <w:numPr>
          <w:ilvl w:val="0"/>
          <w:numId w:val="203"/>
        </w:numPr>
        <w:spacing w:line="100" w:lineRule="atLeast"/>
        <w:rPr>
          <w:rFonts w:asciiTheme="minorHAnsi" w:hAnsiTheme="minorHAnsi"/>
          <w:sz w:val="16"/>
          <w:szCs w:val="16"/>
        </w:rPr>
      </w:pPr>
      <w:r w:rsidRPr="007D4A73">
        <w:rPr>
          <w:rFonts w:asciiTheme="minorHAnsi" w:hAnsiTheme="minorHAnsi"/>
          <w:sz w:val="16"/>
          <w:szCs w:val="16"/>
        </w:rPr>
        <w:t>grubość podsypki, sprawdzana co 100 m, która może się różnić od grubości projektowanej o ± 1 cm.</w:t>
      </w:r>
    </w:p>
    <w:p w14:paraId="6DC93A76" w14:textId="77777777" w:rsidR="007D4A73" w:rsidRPr="007D4A73" w:rsidRDefault="007D4A73" w:rsidP="007D4A73">
      <w:pPr>
        <w:pStyle w:val="Standard"/>
        <w:spacing w:line="100" w:lineRule="atLeast"/>
        <w:rPr>
          <w:rFonts w:asciiTheme="minorHAnsi" w:hAnsiTheme="minorHAnsi"/>
          <w:sz w:val="16"/>
          <w:szCs w:val="16"/>
        </w:rPr>
      </w:pPr>
    </w:p>
    <w:p w14:paraId="5BD4BF45"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7. OBMIAR ROBÓT</w:t>
      </w:r>
    </w:p>
    <w:p w14:paraId="0BBAA465"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7.1. Ogólne zasady obmiaru robót</w:t>
      </w:r>
    </w:p>
    <w:p w14:paraId="12416081"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 xml:space="preserve">Ogólne zasady obmiaru robót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D-M-00.00.00 „Wymagania ogólne” pkt 7.</w:t>
      </w:r>
    </w:p>
    <w:p w14:paraId="711FF5F9"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7.2. Jednostka obmiarowa</w:t>
      </w:r>
    </w:p>
    <w:p w14:paraId="722C4BBD"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Jednostką obmiarową jest m (metr) wykonanego ścieku z kostki granitowej.</w:t>
      </w:r>
    </w:p>
    <w:p w14:paraId="28627C49" w14:textId="77777777" w:rsidR="007D4A73" w:rsidRPr="007D4A73" w:rsidRDefault="007D4A73" w:rsidP="007D4A73">
      <w:pPr>
        <w:pStyle w:val="Standard"/>
        <w:spacing w:line="100" w:lineRule="atLeast"/>
        <w:rPr>
          <w:rFonts w:asciiTheme="minorHAnsi" w:hAnsiTheme="minorHAnsi"/>
          <w:sz w:val="16"/>
          <w:szCs w:val="16"/>
        </w:rPr>
      </w:pPr>
    </w:p>
    <w:p w14:paraId="6546C247"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8. ODBIÓR ROBÓT</w:t>
      </w:r>
    </w:p>
    <w:p w14:paraId="6697FBC0"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8.1. Ogólne zasady odbioru robót</w:t>
      </w:r>
    </w:p>
    <w:p w14:paraId="6FA1EC68"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 xml:space="preserve">Ogólne zasady odbioru robót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D-M-00.00.00 „Wymagania ogólne” pkt 8.</w:t>
      </w:r>
    </w:p>
    <w:p w14:paraId="31F7550F"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lastRenderedPageBreak/>
        <w:tab/>
        <w:t xml:space="preserve">Roboty uznaje się za wykonane zgodnie z dokumentacją projektową,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i wymaganiami Inżyniera, jeżeli wszystkie pomiary i badania z zachowaniem tolerancji wg pkt 6 dały wyniki pozytywne.</w:t>
      </w:r>
    </w:p>
    <w:p w14:paraId="68D5ED40" w14:textId="77777777" w:rsidR="007D4A73" w:rsidRPr="007D4A73" w:rsidRDefault="007D4A73" w:rsidP="007D4A73">
      <w:pPr>
        <w:pStyle w:val="Standard"/>
        <w:spacing w:line="100" w:lineRule="atLeast"/>
        <w:rPr>
          <w:rFonts w:asciiTheme="minorHAnsi" w:hAnsiTheme="minorHAnsi"/>
          <w:b/>
          <w:sz w:val="16"/>
          <w:szCs w:val="16"/>
        </w:rPr>
      </w:pPr>
    </w:p>
    <w:p w14:paraId="71FB8DFC"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8.2. Odbiór robót zanikających i ulegających zakryciu</w:t>
      </w:r>
    </w:p>
    <w:p w14:paraId="5A82DF4D"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Odbiorowi robót zanikających i ulegających zakryciu podlegają:</w:t>
      </w:r>
    </w:p>
    <w:p w14:paraId="69BD7665" w14:textId="77777777" w:rsidR="007D4A73" w:rsidRPr="007D4A73" w:rsidRDefault="007D4A73" w:rsidP="007D4A73">
      <w:pPr>
        <w:pStyle w:val="Standard"/>
        <w:numPr>
          <w:ilvl w:val="0"/>
          <w:numId w:val="204"/>
        </w:numPr>
        <w:spacing w:line="100" w:lineRule="atLeast"/>
        <w:rPr>
          <w:rFonts w:asciiTheme="minorHAnsi" w:hAnsiTheme="minorHAnsi"/>
          <w:sz w:val="16"/>
          <w:szCs w:val="16"/>
        </w:rPr>
      </w:pPr>
      <w:r w:rsidRPr="007D4A73">
        <w:rPr>
          <w:rFonts w:asciiTheme="minorHAnsi" w:hAnsiTheme="minorHAnsi"/>
          <w:sz w:val="16"/>
          <w:szCs w:val="16"/>
        </w:rPr>
        <w:t>wykop pod ławę,</w:t>
      </w:r>
    </w:p>
    <w:p w14:paraId="2473F056" w14:textId="77777777" w:rsidR="007D4A73" w:rsidRPr="007D4A73" w:rsidRDefault="007D4A73" w:rsidP="007D4A73">
      <w:pPr>
        <w:pStyle w:val="Standard"/>
        <w:numPr>
          <w:ilvl w:val="0"/>
          <w:numId w:val="204"/>
        </w:numPr>
        <w:spacing w:line="100" w:lineRule="atLeast"/>
        <w:rPr>
          <w:rFonts w:asciiTheme="minorHAnsi" w:hAnsiTheme="minorHAnsi"/>
          <w:sz w:val="16"/>
          <w:szCs w:val="16"/>
        </w:rPr>
      </w:pPr>
      <w:r w:rsidRPr="007D4A73">
        <w:rPr>
          <w:rFonts w:asciiTheme="minorHAnsi" w:hAnsiTheme="minorHAnsi"/>
          <w:sz w:val="16"/>
          <w:szCs w:val="16"/>
        </w:rPr>
        <w:t>wykonana ława,</w:t>
      </w:r>
    </w:p>
    <w:p w14:paraId="0ED7DF73" w14:textId="77777777" w:rsidR="007D4A73" w:rsidRPr="007D4A73" w:rsidRDefault="007D4A73" w:rsidP="007D4A73">
      <w:pPr>
        <w:pStyle w:val="Standard"/>
        <w:numPr>
          <w:ilvl w:val="0"/>
          <w:numId w:val="204"/>
        </w:numPr>
        <w:spacing w:line="100" w:lineRule="atLeast"/>
        <w:rPr>
          <w:rFonts w:asciiTheme="minorHAnsi" w:hAnsiTheme="minorHAnsi"/>
          <w:sz w:val="16"/>
          <w:szCs w:val="16"/>
        </w:rPr>
      </w:pPr>
      <w:r w:rsidRPr="007D4A73">
        <w:rPr>
          <w:rFonts w:asciiTheme="minorHAnsi" w:hAnsiTheme="minorHAnsi"/>
          <w:sz w:val="16"/>
          <w:szCs w:val="16"/>
        </w:rPr>
        <w:t>wykonana podsypka.</w:t>
      </w:r>
    </w:p>
    <w:p w14:paraId="0AA3E7D7" w14:textId="77777777" w:rsidR="007D4A73" w:rsidRPr="007D4A73" w:rsidRDefault="007D4A73" w:rsidP="007D4A73">
      <w:pPr>
        <w:pStyle w:val="Standard"/>
        <w:spacing w:line="100" w:lineRule="atLeast"/>
        <w:rPr>
          <w:rFonts w:asciiTheme="minorHAnsi" w:hAnsiTheme="minorHAnsi"/>
          <w:b/>
          <w:sz w:val="16"/>
          <w:szCs w:val="16"/>
        </w:rPr>
      </w:pPr>
    </w:p>
    <w:p w14:paraId="4D01EB43"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9. PODSTAWA PŁATNOŚCI</w:t>
      </w:r>
    </w:p>
    <w:p w14:paraId="5DAB401B"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9.1. Ogólne ustalenia dotyczące podstawy płatności</w:t>
      </w:r>
    </w:p>
    <w:p w14:paraId="0DC732B0"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 xml:space="preserve">Ogólne ustalenia dotyczące podstawy płatności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D-M-00.00.00 „Wymagania ogólne” pkt 9.</w:t>
      </w:r>
    </w:p>
    <w:p w14:paraId="2DF04C7A"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9.2. Cena jednostki obmiarowej</w:t>
      </w:r>
    </w:p>
    <w:p w14:paraId="76B2A32F"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ab/>
        <w:t>Cena wykonania 1 m ścieku z kostki granitowej obejmuje:</w:t>
      </w:r>
    </w:p>
    <w:p w14:paraId="3E2B2B20" w14:textId="77777777" w:rsidR="007D4A73" w:rsidRPr="007D4A73" w:rsidRDefault="007D4A73" w:rsidP="007D4A73">
      <w:pPr>
        <w:pStyle w:val="Standard"/>
        <w:numPr>
          <w:ilvl w:val="0"/>
          <w:numId w:val="205"/>
        </w:numPr>
        <w:spacing w:line="100" w:lineRule="atLeast"/>
        <w:rPr>
          <w:rFonts w:asciiTheme="minorHAnsi" w:hAnsiTheme="minorHAnsi"/>
          <w:sz w:val="16"/>
          <w:szCs w:val="16"/>
        </w:rPr>
      </w:pPr>
      <w:r w:rsidRPr="007D4A73">
        <w:rPr>
          <w:rFonts w:asciiTheme="minorHAnsi" w:hAnsiTheme="minorHAnsi"/>
          <w:sz w:val="16"/>
          <w:szCs w:val="16"/>
        </w:rPr>
        <w:t xml:space="preserve">prace pomiarowe i przygotowawcze, </w:t>
      </w:r>
    </w:p>
    <w:p w14:paraId="19223794" w14:textId="77777777" w:rsidR="007D4A73" w:rsidRPr="007D4A73" w:rsidRDefault="007D4A73" w:rsidP="007D4A73">
      <w:pPr>
        <w:pStyle w:val="Standard"/>
        <w:numPr>
          <w:ilvl w:val="0"/>
          <w:numId w:val="205"/>
        </w:numPr>
        <w:spacing w:line="100" w:lineRule="atLeast"/>
        <w:rPr>
          <w:rFonts w:asciiTheme="minorHAnsi" w:hAnsiTheme="minorHAnsi"/>
          <w:sz w:val="16"/>
          <w:szCs w:val="16"/>
        </w:rPr>
      </w:pPr>
      <w:r w:rsidRPr="007D4A73">
        <w:rPr>
          <w:rFonts w:asciiTheme="minorHAnsi" w:hAnsiTheme="minorHAnsi"/>
          <w:sz w:val="16"/>
          <w:szCs w:val="16"/>
        </w:rPr>
        <w:t>dostarczenie materiałów,</w:t>
      </w:r>
    </w:p>
    <w:p w14:paraId="50BAF125" w14:textId="77777777" w:rsidR="007D4A73" w:rsidRPr="007D4A73" w:rsidRDefault="007D4A73" w:rsidP="007D4A73">
      <w:pPr>
        <w:pStyle w:val="Standard"/>
        <w:numPr>
          <w:ilvl w:val="0"/>
          <w:numId w:val="205"/>
        </w:numPr>
        <w:spacing w:line="100" w:lineRule="atLeast"/>
        <w:rPr>
          <w:rFonts w:asciiTheme="minorHAnsi" w:hAnsiTheme="minorHAnsi"/>
          <w:sz w:val="16"/>
          <w:szCs w:val="16"/>
        </w:rPr>
      </w:pPr>
      <w:r w:rsidRPr="007D4A73">
        <w:rPr>
          <w:rFonts w:asciiTheme="minorHAnsi" w:hAnsiTheme="minorHAnsi"/>
          <w:sz w:val="16"/>
          <w:szCs w:val="16"/>
        </w:rPr>
        <w:t>wykonanie wykopu pod ławę,</w:t>
      </w:r>
    </w:p>
    <w:p w14:paraId="2EC2041D" w14:textId="77777777" w:rsidR="007D4A73" w:rsidRPr="007D4A73" w:rsidRDefault="007D4A73" w:rsidP="007D4A73">
      <w:pPr>
        <w:pStyle w:val="Standard"/>
        <w:numPr>
          <w:ilvl w:val="0"/>
          <w:numId w:val="205"/>
        </w:numPr>
        <w:spacing w:line="100" w:lineRule="atLeast"/>
        <w:rPr>
          <w:rFonts w:asciiTheme="minorHAnsi" w:hAnsiTheme="minorHAnsi"/>
          <w:sz w:val="16"/>
          <w:szCs w:val="16"/>
        </w:rPr>
      </w:pPr>
      <w:r w:rsidRPr="007D4A73">
        <w:rPr>
          <w:rFonts w:asciiTheme="minorHAnsi" w:hAnsiTheme="minorHAnsi"/>
          <w:sz w:val="16"/>
          <w:szCs w:val="16"/>
        </w:rPr>
        <w:t>ew. wykonanie szalunku,</w:t>
      </w:r>
    </w:p>
    <w:p w14:paraId="6424A70C" w14:textId="77777777" w:rsidR="007D4A73" w:rsidRPr="007D4A73" w:rsidRDefault="007D4A73" w:rsidP="007D4A73">
      <w:pPr>
        <w:pStyle w:val="Standard"/>
        <w:numPr>
          <w:ilvl w:val="0"/>
          <w:numId w:val="205"/>
        </w:numPr>
        <w:spacing w:line="100" w:lineRule="atLeast"/>
        <w:rPr>
          <w:rFonts w:asciiTheme="minorHAnsi" w:hAnsiTheme="minorHAnsi"/>
          <w:sz w:val="16"/>
          <w:szCs w:val="16"/>
        </w:rPr>
      </w:pPr>
      <w:r w:rsidRPr="007D4A73">
        <w:rPr>
          <w:rFonts w:asciiTheme="minorHAnsi" w:hAnsiTheme="minorHAnsi"/>
          <w:sz w:val="16"/>
          <w:szCs w:val="16"/>
        </w:rPr>
        <w:t>wykonanie ławy,</w:t>
      </w:r>
    </w:p>
    <w:p w14:paraId="6D296161" w14:textId="77777777" w:rsidR="007D4A73" w:rsidRPr="007D4A73" w:rsidRDefault="007D4A73" w:rsidP="007D4A73">
      <w:pPr>
        <w:pStyle w:val="Standard"/>
        <w:numPr>
          <w:ilvl w:val="0"/>
          <w:numId w:val="205"/>
        </w:numPr>
        <w:spacing w:line="100" w:lineRule="atLeast"/>
        <w:rPr>
          <w:rFonts w:asciiTheme="minorHAnsi" w:hAnsiTheme="minorHAnsi"/>
          <w:sz w:val="16"/>
          <w:szCs w:val="16"/>
        </w:rPr>
      </w:pPr>
      <w:r w:rsidRPr="007D4A73">
        <w:rPr>
          <w:rFonts w:asciiTheme="minorHAnsi" w:hAnsiTheme="minorHAnsi"/>
          <w:sz w:val="16"/>
          <w:szCs w:val="16"/>
        </w:rPr>
        <w:t>pielęgnację betonu i ew. rozbiórkę szalunku,</w:t>
      </w:r>
    </w:p>
    <w:p w14:paraId="6789C743" w14:textId="77777777" w:rsidR="007D4A73" w:rsidRPr="007D4A73" w:rsidRDefault="007D4A73" w:rsidP="007D4A73">
      <w:pPr>
        <w:pStyle w:val="Standard"/>
        <w:numPr>
          <w:ilvl w:val="0"/>
          <w:numId w:val="205"/>
        </w:numPr>
        <w:spacing w:line="100" w:lineRule="atLeast"/>
        <w:rPr>
          <w:rFonts w:asciiTheme="minorHAnsi" w:hAnsiTheme="minorHAnsi"/>
          <w:sz w:val="16"/>
          <w:szCs w:val="16"/>
        </w:rPr>
      </w:pPr>
      <w:r w:rsidRPr="007D4A73">
        <w:rPr>
          <w:rFonts w:asciiTheme="minorHAnsi" w:hAnsiTheme="minorHAnsi"/>
          <w:sz w:val="16"/>
          <w:szCs w:val="16"/>
        </w:rPr>
        <w:t>wykonanie podsypki, ustawienie krawężników,</w:t>
      </w:r>
    </w:p>
    <w:p w14:paraId="2BAE4D74" w14:textId="77777777" w:rsidR="007D4A73" w:rsidRPr="007D4A73" w:rsidRDefault="007D4A73" w:rsidP="007D4A73">
      <w:pPr>
        <w:pStyle w:val="Standard"/>
        <w:numPr>
          <w:ilvl w:val="0"/>
          <w:numId w:val="205"/>
        </w:numPr>
        <w:spacing w:line="100" w:lineRule="atLeast"/>
        <w:rPr>
          <w:rFonts w:asciiTheme="minorHAnsi" w:hAnsiTheme="minorHAnsi"/>
          <w:sz w:val="16"/>
          <w:szCs w:val="16"/>
        </w:rPr>
      </w:pPr>
      <w:r w:rsidRPr="007D4A73">
        <w:rPr>
          <w:rFonts w:asciiTheme="minorHAnsi" w:hAnsiTheme="minorHAnsi"/>
          <w:sz w:val="16"/>
          <w:szCs w:val="16"/>
        </w:rPr>
        <w:t>wypełnienie spoin,</w:t>
      </w:r>
    </w:p>
    <w:p w14:paraId="58DE1522" w14:textId="77777777" w:rsidR="007D4A73" w:rsidRPr="007D4A73" w:rsidRDefault="007D4A73" w:rsidP="007D4A73">
      <w:pPr>
        <w:pStyle w:val="Standard"/>
        <w:numPr>
          <w:ilvl w:val="0"/>
          <w:numId w:val="205"/>
        </w:numPr>
        <w:spacing w:line="100" w:lineRule="atLeast"/>
        <w:rPr>
          <w:rFonts w:asciiTheme="minorHAnsi" w:hAnsiTheme="minorHAnsi"/>
          <w:sz w:val="16"/>
          <w:szCs w:val="16"/>
        </w:rPr>
      </w:pPr>
      <w:r w:rsidRPr="007D4A73">
        <w:rPr>
          <w:rFonts w:asciiTheme="minorHAnsi" w:hAnsiTheme="minorHAnsi"/>
          <w:sz w:val="16"/>
          <w:szCs w:val="16"/>
        </w:rPr>
        <w:t>ułożenie ścieku z kostki granitowej nieregularnej, z wypełnieniem spoin i pielęgnacją ścieku,</w:t>
      </w:r>
    </w:p>
    <w:p w14:paraId="5ADDA9D1" w14:textId="77777777" w:rsidR="007D4A73" w:rsidRPr="007D4A73" w:rsidRDefault="007D4A73" w:rsidP="007D4A73">
      <w:pPr>
        <w:pStyle w:val="Standard"/>
        <w:numPr>
          <w:ilvl w:val="0"/>
          <w:numId w:val="205"/>
        </w:numPr>
        <w:spacing w:line="100" w:lineRule="atLeast"/>
        <w:rPr>
          <w:rFonts w:asciiTheme="minorHAnsi" w:hAnsiTheme="minorHAnsi"/>
          <w:sz w:val="16"/>
          <w:szCs w:val="16"/>
        </w:rPr>
      </w:pPr>
      <w:r w:rsidRPr="007D4A73">
        <w:rPr>
          <w:rFonts w:asciiTheme="minorHAnsi" w:hAnsiTheme="minorHAnsi"/>
          <w:sz w:val="16"/>
          <w:szCs w:val="16"/>
        </w:rPr>
        <w:t>zasypanie zewnętrznej ściany krawężników gruntem i ubicie,</w:t>
      </w:r>
    </w:p>
    <w:p w14:paraId="04C8A96C" w14:textId="77777777" w:rsidR="007D4A73" w:rsidRPr="007D4A73" w:rsidRDefault="007D4A73" w:rsidP="007D4A73">
      <w:pPr>
        <w:pStyle w:val="Standard"/>
        <w:numPr>
          <w:ilvl w:val="0"/>
          <w:numId w:val="205"/>
        </w:numPr>
        <w:spacing w:line="100" w:lineRule="atLeast"/>
        <w:rPr>
          <w:rFonts w:asciiTheme="minorHAnsi" w:hAnsiTheme="minorHAnsi"/>
          <w:sz w:val="16"/>
          <w:szCs w:val="16"/>
        </w:rPr>
      </w:pPr>
      <w:r w:rsidRPr="007D4A73">
        <w:rPr>
          <w:rFonts w:asciiTheme="minorHAnsi" w:hAnsiTheme="minorHAnsi"/>
          <w:sz w:val="16"/>
          <w:szCs w:val="16"/>
        </w:rPr>
        <w:t>przeprowadzenie pomiarów i badań wymaganych w specyfikacji technicznej.</w:t>
      </w:r>
    </w:p>
    <w:p w14:paraId="21183654" w14:textId="77777777" w:rsidR="007D4A73" w:rsidRPr="007D4A73" w:rsidRDefault="007D4A73" w:rsidP="007D4A73">
      <w:pPr>
        <w:pStyle w:val="Standard"/>
        <w:spacing w:line="100" w:lineRule="atLeast"/>
        <w:rPr>
          <w:rFonts w:asciiTheme="minorHAnsi" w:hAnsiTheme="minorHAnsi"/>
          <w:sz w:val="16"/>
          <w:szCs w:val="16"/>
        </w:rPr>
      </w:pPr>
    </w:p>
    <w:p w14:paraId="38E900CB" w14:textId="77777777" w:rsidR="007D4A73" w:rsidRPr="007D4A73" w:rsidRDefault="007D4A73" w:rsidP="007D4A73">
      <w:pPr>
        <w:pStyle w:val="Standard"/>
        <w:spacing w:line="100" w:lineRule="atLeast"/>
        <w:rPr>
          <w:rFonts w:asciiTheme="minorHAnsi" w:hAnsiTheme="minorHAnsi"/>
          <w:b/>
          <w:sz w:val="16"/>
          <w:szCs w:val="16"/>
        </w:rPr>
      </w:pPr>
      <w:r w:rsidRPr="007D4A73">
        <w:rPr>
          <w:rFonts w:asciiTheme="minorHAnsi" w:hAnsiTheme="minorHAnsi"/>
          <w:b/>
          <w:sz w:val="16"/>
          <w:szCs w:val="16"/>
        </w:rPr>
        <w:t>10. PRZEPISY ZWIĄZANE</w:t>
      </w:r>
    </w:p>
    <w:p w14:paraId="5DD04223" w14:textId="77777777" w:rsidR="007D4A73" w:rsidRPr="007D4A73" w:rsidRDefault="007D4A73" w:rsidP="007D4A73">
      <w:pPr>
        <w:pStyle w:val="Standard"/>
        <w:spacing w:line="100" w:lineRule="atLeast"/>
        <w:rPr>
          <w:rFonts w:asciiTheme="minorHAnsi" w:hAnsiTheme="minorHAnsi"/>
          <w:b/>
          <w:bCs/>
          <w:sz w:val="16"/>
          <w:szCs w:val="16"/>
        </w:rPr>
      </w:pPr>
      <w:r w:rsidRPr="007D4A73">
        <w:rPr>
          <w:rFonts w:asciiTheme="minorHAnsi" w:hAnsiTheme="minorHAnsi"/>
          <w:b/>
          <w:bCs/>
          <w:sz w:val="16"/>
          <w:szCs w:val="16"/>
        </w:rPr>
        <w:t>10.1. Normy</w:t>
      </w:r>
    </w:p>
    <w:p w14:paraId="1986231E"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PN-EN 1342 Kostka brukowa z kamienia naturalnego do zewnętrznych nawierzchni drogowych - Wymagania i metody badań</w:t>
      </w:r>
    </w:p>
    <w:p w14:paraId="49FDE6AD"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PN-EN 12620  Kruszywa do betonu</w:t>
      </w:r>
    </w:p>
    <w:p w14:paraId="2C875E34"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PN-EN 13139  Kruszywa do zapraw</w:t>
      </w:r>
    </w:p>
    <w:p w14:paraId="6035C52F"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PN-EN 197-1 Metody badania cementu. Sposoby pobierania i przygotowywania próbek cementu.</w:t>
      </w:r>
    </w:p>
    <w:p w14:paraId="09DA832E"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PN-EN 1008 Woda zarobowa do betonu. Specyfikacja pobierania próbek, badania i ocena przydatności wody zarobowej do betonu, w tym wody odzyskanej z procesów produkcji betonu</w:t>
      </w:r>
    </w:p>
    <w:p w14:paraId="1EE72CCB" w14:textId="77777777" w:rsidR="007D4A73" w:rsidRPr="007D4A73" w:rsidRDefault="007D4A73" w:rsidP="007D4A73">
      <w:pPr>
        <w:pStyle w:val="Standard"/>
        <w:spacing w:line="100" w:lineRule="atLeast"/>
        <w:rPr>
          <w:rFonts w:asciiTheme="minorHAnsi" w:hAnsiTheme="minorHAnsi"/>
          <w:sz w:val="16"/>
          <w:szCs w:val="16"/>
        </w:rPr>
      </w:pPr>
      <w:r w:rsidRPr="007D4A73">
        <w:rPr>
          <w:rFonts w:asciiTheme="minorHAnsi" w:hAnsiTheme="minorHAnsi"/>
          <w:sz w:val="16"/>
          <w:szCs w:val="16"/>
        </w:rPr>
        <w:t>BN-80/6775-03/04 Prefabrykaty budowlane z betonu. Elementy nawierzchni dróg, ulic, parkingów i torowisk tramwajowych. Krawężniki i obrzeża</w:t>
      </w:r>
    </w:p>
    <w:p w14:paraId="25AE1A40" w14:textId="77777777" w:rsidR="007D4A73" w:rsidRPr="007D4A73" w:rsidRDefault="007D4A73" w:rsidP="007D4A73">
      <w:pPr>
        <w:pStyle w:val="Standard"/>
        <w:spacing w:line="100" w:lineRule="atLeast"/>
        <w:rPr>
          <w:b/>
          <w:bCs/>
          <w:sz w:val="16"/>
          <w:szCs w:val="16"/>
        </w:rPr>
      </w:pPr>
      <w:r w:rsidRPr="007D4A73">
        <w:rPr>
          <w:rFonts w:asciiTheme="minorHAnsi" w:hAnsiTheme="minorHAnsi"/>
          <w:sz w:val="16"/>
          <w:szCs w:val="16"/>
        </w:rPr>
        <w:t xml:space="preserve">BN-68/8931-04 Drogi samochodowe. Pomiar równości nawierzchni </w:t>
      </w:r>
      <w:proofErr w:type="spellStart"/>
      <w:r w:rsidRPr="007D4A73">
        <w:rPr>
          <w:rFonts w:asciiTheme="minorHAnsi" w:hAnsiTheme="minorHAnsi"/>
          <w:sz w:val="16"/>
          <w:szCs w:val="16"/>
        </w:rPr>
        <w:t>planografem</w:t>
      </w:r>
      <w:proofErr w:type="spellEnd"/>
      <w:r w:rsidRPr="007D4A73">
        <w:rPr>
          <w:rFonts w:asciiTheme="minorHAnsi" w:hAnsiTheme="minorHAnsi"/>
          <w:sz w:val="16"/>
          <w:szCs w:val="16"/>
        </w:rPr>
        <w:t xml:space="preserve"> i łatą.</w:t>
      </w:r>
    </w:p>
    <w:p w14:paraId="2331CD10" w14:textId="77777777" w:rsidR="007D4A73" w:rsidRPr="007D4A73" w:rsidRDefault="007D4A73" w:rsidP="007D4A73">
      <w:pPr>
        <w:pStyle w:val="Pro-Inwest"/>
        <w:jc w:val="both"/>
        <w:rPr>
          <w:rStyle w:val="Nagwek1Znak"/>
          <w:rFonts w:asciiTheme="minorHAnsi" w:hAnsiTheme="minorHAnsi"/>
          <w:sz w:val="18"/>
          <w:szCs w:val="18"/>
        </w:rPr>
      </w:pPr>
    </w:p>
    <w:p w14:paraId="4894A10D" w14:textId="77777777" w:rsidR="007D4A73" w:rsidRPr="007D4A73" w:rsidRDefault="007D4A73" w:rsidP="007D4A73">
      <w:pPr>
        <w:pStyle w:val="Pro-Inwest"/>
        <w:jc w:val="both"/>
        <w:rPr>
          <w:rStyle w:val="Nagwek1Znak"/>
          <w:rFonts w:asciiTheme="minorHAnsi" w:hAnsiTheme="minorHAnsi"/>
          <w:sz w:val="18"/>
          <w:szCs w:val="18"/>
        </w:rPr>
      </w:pPr>
    </w:p>
    <w:p w14:paraId="08F33915" w14:textId="77777777" w:rsidR="007D4A73" w:rsidRPr="007D4A73" w:rsidRDefault="007D4A73" w:rsidP="007D4A73">
      <w:pPr>
        <w:pStyle w:val="Pro-Inwest"/>
        <w:jc w:val="both"/>
        <w:rPr>
          <w:rStyle w:val="Nagwek1Znak"/>
          <w:rFonts w:asciiTheme="minorHAnsi" w:hAnsiTheme="minorHAnsi"/>
          <w:sz w:val="18"/>
          <w:szCs w:val="18"/>
        </w:rPr>
      </w:pPr>
    </w:p>
    <w:p w14:paraId="75E1876F" w14:textId="77777777" w:rsidR="007D4A73" w:rsidRPr="007D4A73" w:rsidRDefault="007D4A73" w:rsidP="007D4A73">
      <w:pPr>
        <w:pStyle w:val="Pro-Inwest"/>
        <w:spacing w:line="240" w:lineRule="auto"/>
        <w:jc w:val="both"/>
        <w:rPr>
          <w:rStyle w:val="Nagwek1Znak"/>
          <w:rFonts w:asciiTheme="minorHAnsi" w:hAnsiTheme="minorHAnsi"/>
          <w:sz w:val="18"/>
          <w:szCs w:val="18"/>
        </w:rPr>
      </w:pPr>
    </w:p>
    <w:p w14:paraId="68159EFD" w14:textId="77777777" w:rsidR="007D4A73" w:rsidRPr="007D4A73" w:rsidRDefault="007D4A73" w:rsidP="007D4A73">
      <w:pPr>
        <w:pStyle w:val="Pro-Inwest"/>
        <w:spacing w:line="240" w:lineRule="auto"/>
        <w:jc w:val="both"/>
        <w:rPr>
          <w:rStyle w:val="Nagwek1Znak"/>
          <w:rFonts w:asciiTheme="minorHAnsi" w:hAnsiTheme="minorHAnsi"/>
          <w:sz w:val="18"/>
          <w:szCs w:val="18"/>
        </w:rPr>
      </w:pPr>
    </w:p>
    <w:p w14:paraId="20813EE2" w14:textId="77777777" w:rsidR="007D4A73" w:rsidRPr="00517116" w:rsidRDefault="007D4A73" w:rsidP="007D4A73">
      <w:pPr>
        <w:pStyle w:val="Pro-Inwest"/>
        <w:spacing w:line="240" w:lineRule="auto"/>
        <w:jc w:val="both"/>
        <w:rPr>
          <w:rStyle w:val="Nagwek1Znak"/>
          <w:rFonts w:asciiTheme="minorHAnsi" w:hAnsiTheme="minorHAnsi"/>
          <w:sz w:val="18"/>
          <w:szCs w:val="18"/>
        </w:rPr>
      </w:pPr>
    </w:p>
    <w:p w14:paraId="195617F4" w14:textId="77777777" w:rsidR="007D4A73" w:rsidRPr="00517116" w:rsidRDefault="007D4A73" w:rsidP="007D4A73">
      <w:pPr>
        <w:pStyle w:val="Pro-Inwest"/>
        <w:spacing w:line="240" w:lineRule="auto"/>
        <w:jc w:val="both"/>
        <w:rPr>
          <w:rStyle w:val="Nagwek1Znak"/>
          <w:rFonts w:asciiTheme="minorHAnsi" w:hAnsiTheme="minorHAnsi"/>
          <w:sz w:val="18"/>
          <w:szCs w:val="18"/>
        </w:rPr>
      </w:pPr>
    </w:p>
    <w:p w14:paraId="16E1B9CB" w14:textId="77777777" w:rsidR="007D4A73" w:rsidRPr="00517116" w:rsidRDefault="007D4A73" w:rsidP="007D4A73">
      <w:pPr>
        <w:pStyle w:val="Pro-Inwest"/>
        <w:spacing w:line="240" w:lineRule="auto"/>
        <w:jc w:val="both"/>
        <w:rPr>
          <w:rStyle w:val="Nagwek1Znak"/>
          <w:rFonts w:asciiTheme="minorHAnsi" w:hAnsiTheme="minorHAnsi"/>
          <w:sz w:val="18"/>
          <w:szCs w:val="18"/>
        </w:rPr>
      </w:pPr>
    </w:p>
    <w:p w14:paraId="6CA16587" w14:textId="77777777" w:rsidR="007D4A73" w:rsidRPr="00517116" w:rsidRDefault="007D4A73" w:rsidP="007D4A73">
      <w:pPr>
        <w:pStyle w:val="Pro-Inwest"/>
        <w:spacing w:line="240" w:lineRule="auto"/>
        <w:jc w:val="both"/>
        <w:rPr>
          <w:rStyle w:val="Nagwek1Znak"/>
          <w:rFonts w:asciiTheme="minorHAnsi" w:hAnsiTheme="minorHAnsi"/>
          <w:sz w:val="18"/>
          <w:szCs w:val="18"/>
        </w:rPr>
      </w:pPr>
    </w:p>
    <w:p w14:paraId="06C0E282" w14:textId="77777777" w:rsidR="007D4A73" w:rsidRPr="00517116" w:rsidRDefault="007D4A73" w:rsidP="007D4A73">
      <w:pPr>
        <w:pStyle w:val="Pro-Inwest"/>
        <w:spacing w:line="240" w:lineRule="auto"/>
        <w:jc w:val="both"/>
        <w:rPr>
          <w:rStyle w:val="Nagwek1Znak"/>
          <w:rFonts w:asciiTheme="minorHAnsi" w:hAnsiTheme="minorHAnsi"/>
          <w:sz w:val="18"/>
          <w:szCs w:val="18"/>
        </w:rPr>
      </w:pPr>
    </w:p>
    <w:p w14:paraId="30BE4F72" w14:textId="77777777" w:rsidR="007D4A73" w:rsidRPr="00517116" w:rsidRDefault="007D4A73" w:rsidP="007D4A73">
      <w:pPr>
        <w:pStyle w:val="Pro-Inwest"/>
        <w:spacing w:line="240" w:lineRule="auto"/>
        <w:jc w:val="both"/>
        <w:rPr>
          <w:rStyle w:val="Nagwek1Znak"/>
          <w:rFonts w:asciiTheme="minorHAnsi" w:hAnsiTheme="minorHAnsi"/>
          <w:sz w:val="18"/>
          <w:szCs w:val="18"/>
        </w:rPr>
      </w:pPr>
    </w:p>
    <w:p w14:paraId="0FFAA76D" w14:textId="77777777" w:rsidR="007D4A73" w:rsidRPr="00B8395C" w:rsidRDefault="007D4A73" w:rsidP="007D4A73">
      <w:pPr>
        <w:pStyle w:val="Pro-Inwest"/>
        <w:spacing w:line="240" w:lineRule="auto"/>
        <w:jc w:val="both"/>
        <w:rPr>
          <w:rStyle w:val="Nagwek1Znak"/>
          <w:rFonts w:asciiTheme="minorHAnsi" w:hAnsiTheme="minorHAnsi"/>
          <w:color w:val="FF0000"/>
          <w:sz w:val="18"/>
          <w:szCs w:val="18"/>
        </w:rPr>
      </w:pPr>
    </w:p>
    <w:p w14:paraId="1DF5C05D" w14:textId="77777777" w:rsidR="007D4A73" w:rsidRPr="00B8395C" w:rsidRDefault="007D4A73" w:rsidP="007D4A73">
      <w:pPr>
        <w:pStyle w:val="Pro-Inwest"/>
        <w:spacing w:line="240" w:lineRule="auto"/>
        <w:jc w:val="both"/>
        <w:rPr>
          <w:rStyle w:val="Nagwek1Znak"/>
          <w:rFonts w:asciiTheme="minorHAnsi" w:hAnsiTheme="minorHAnsi"/>
          <w:color w:val="FF0000"/>
          <w:sz w:val="18"/>
          <w:szCs w:val="18"/>
        </w:rPr>
      </w:pPr>
    </w:p>
    <w:p w14:paraId="77E1795D" w14:textId="77777777" w:rsidR="007D4A73" w:rsidRPr="00B8395C" w:rsidRDefault="007D4A73" w:rsidP="007D4A73">
      <w:pPr>
        <w:pStyle w:val="Pro-Inwest"/>
        <w:spacing w:line="240" w:lineRule="auto"/>
        <w:jc w:val="both"/>
        <w:rPr>
          <w:rStyle w:val="Nagwek1Znak"/>
          <w:rFonts w:asciiTheme="minorHAnsi" w:hAnsiTheme="minorHAnsi"/>
          <w:color w:val="FF0000"/>
          <w:sz w:val="18"/>
          <w:szCs w:val="18"/>
        </w:rPr>
      </w:pPr>
    </w:p>
    <w:p w14:paraId="1FF9CCDD" w14:textId="77777777" w:rsidR="007D4A73" w:rsidRPr="00B8395C" w:rsidRDefault="007D4A73" w:rsidP="007D4A73">
      <w:pPr>
        <w:pStyle w:val="Pro-Inwest"/>
        <w:spacing w:line="240" w:lineRule="auto"/>
        <w:jc w:val="both"/>
        <w:rPr>
          <w:rStyle w:val="Nagwek1Znak"/>
          <w:rFonts w:asciiTheme="minorHAnsi" w:hAnsiTheme="minorHAnsi"/>
          <w:color w:val="FF0000"/>
          <w:sz w:val="18"/>
          <w:szCs w:val="18"/>
        </w:rPr>
      </w:pPr>
    </w:p>
    <w:p w14:paraId="4D34F94D" w14:textId="77777777" w:rsidR="007D4A73" w:rsidRPr="00B8395C" w:rsidRDefault="007D4A73" w:rsidP="007D4A73">
      <w:pPr>
        <w:pStyle w:val="Pro-Inwest"/>
        <w:spacing w:line="240" w:lineRule="auto"/>
        <w:jc w:val="both"/>
        <w:rPr>
          <w:rStyle w:val="Nagwek1Znak"/>
          <w:rFonts w:asciiTheme="minorHAnsi" w:hAnsiTheme="minorHAnsi"/>
          <w:color w:val="FF0000"/>
          <w:sz w:val="18"/>
          <w:szCs w:val="18"/>
        </w:rPr>
      </w:pPr>
    </w:p>
    <w:p w14:paraId="044CCF99" w14:textId="77777777" w:rsidR="007D4A73" w:rsidRPr="00B8395C" w:rsidRDefault="007D4A73" w:rsidP="007D4A73">
      <w:pPr>
        <w:pStyle w:val="Pro-Inwest"/>
        <w:spacing w:line="240" w:lineRule="auto"/>
        <w:jc w:val="both"/>
        <w:rPr>
          <w:rStyle w:val="Nagwek1Znak"/>
          <w:rFonts w:asciiTheme="minorHAnsi" w:hAnsiTheme="minorHAnsi"/>
          <w:color w:val="FF0000"/>
          <w:sz w:val="18"/>
          <w:szCs w:val="18"/>
        </w:rPr>
      </w:pPr>
    </w:p>
    <w:p w14:paraId="11C4E525" w14:textId="77777777" w:rsidR="007D4A73" w:rsidRDefault="007D4A73" w:rsidP="007D4A73">
      <w:pPr>
        <w:pStyle w:val="Pro-Inwest"/>
        <w:spacing w:line="240" w:lineRule="auto"/>
        <w:jc w:val="both"/>
        <w:rPr>
          <w:rStyle w:val="Nagwek1Znak"/>
          <w:rFonts w:asciiTheme="minorHAnsi" w:hAnsiTheme="minorHAnsi"/>
          <w:color w:val="FF0000"/>
          <w:sz w:val="18"/>
          <w:szCs w:val="18"/>
        </w:rPr>
      </w:pPr>
    </w:p>
    <w:p w14:paraId="2EC82C17" w14:textId="77777777" w:rsidR="007D4A73" w:rsidRDefault="007D4A73" w:rsidP="007D4A73">
      <w:pPr>
        <w:pStyle w:val="Pro-Inwest"/>
        <w:spacing w:line="240" w:lineRule="auto"/>
        <w:jc w:val="both"/>
        <w:rPr>
          <w:rStyle w:val="Nagwek1Znak"/>
          <w:rFonts w:asciiTheme="minorHAnsi" w:hAnsiTheme="minorHAnsi"/>
          <w:color w:val="FF0000"/>
          <w:sz w:val="18"/>
          <w:szCs w:val="18"/>
        </w:rPr>
      </w:pPr>
    </w:p>
    <w:p w14:paraId="3230C05F" w14:textId="77777777" w:rsidR="007D4A73" w:rsidRDefault="007D4A73" w:rsidP="007D4A73">
      <w:pPr>
        <w:pStyle w:val="Pro-Inwest"/>
        <w:spacing w:line="240" w:lineRule="auto"/>
        <w:jc w:val="both"/>
        <w:rPr>
          <w:rStyle w:val="Nagwek1Znak"/>
          <w:rFonts w:asciiTheme="minorHAnsi" w:hAnsiTheme="minorHAnsi"/>
          <w:color w:val="FF0000"/>
          <w:sz w:val="18"/>
          <w:szCs w:val="18"/>
        </w:rPr>
      </w:pPr>
    </w:p>
    <w:p w14:paraId="1FAF0732" w14:textId="77777777" w:rsidR="007D4A73" w:rsidRDefault="007D4A73" w:rsidP="007D4A73">
      <w:pPr>
        <w:pStyle w:val="Pro-Inwest"/>
        <w:spacing w:line="240" w:lineRule="auto"/>
        <w:jc w:val="both"/>
        <w:rPr>
          <w:rStyle w:val="Nagwek1Znak"/>
          <w:rFonts w:asciiTheme="minorHAnsi" w:hAnsiTheme="minorHAnsi"/>
          <w:color w:val="FF0000"/>
          <w:sz w:val="18"/>
          <w:szCs w:val="18"/>
        </w:rPr>
      </w:pPr>
    </w:p>
    <w:p w14:paraId="46524378" w14:textId="77777777" w:rsidR="007D4A73" w:rsidRDefault="007D4A73" w:rsidP="007D4A73">
      <w:pPr>
        <w:pStyle w:val="Pro-Inwest"/>
        <w:spacing w:line="240" w:lineRule="auto"/>
        <w:jc w:val="both"/>
        <w:rPr>
          <w:rStyle w:val="Nagwek1Znak"/>
          <w:rFonts w:asciiTheme="minorHAnsi" w:hAnsiTheme="minorHAnsi"/>
          <w:color w:val="FF0000"/>
          <w:sz w:val="18"/>
          <w:szCs w:val="18"/>
        </w:rPr>
      </w:pPr>
    </w:p>
    <w:p w14:paraId="77C2F294" w14:textId="77777777" w:rsidR="007D4A73" w:rsidRDefault="007D4A73" w:rsidP="007D4A73">
      <w:pPr>
        <w:pStyle w:val="Pro-Inwest"/>
        <w:spacing w:line="240" w:lineRule="auto"/>
        <w:jc w:val="both"/>
        <w:rPr>
          <w:rStyle w:val="Nagwek1Znak"/>
          <w:rFonts w:asciiTheme="minorHAnsi" w:hAnsiTheme="minorHAnsi"/>
          <w:color w:val="FF0000"/>
          <w:sz w:val="18"/>
          <w:szCs w:val="18"/>
        </w:rPr>
      </w:pPr>
    </w:p>
    <w:p w14:paraId="332A8DCA" w14:textId="77777777" w:rsidR="007D4A73" w:rsidRDefault="007D4A73" w:rsidP="007D4A73">
      <w:pPr>
        <w:pStyle w:val="Pro-Inwest"/>
        <w:spacing w:line="240" w:lineRule="auto"/>
        <w:jc w:val="both"/>
        <w:rPr>
          <w:rStyle w:val="Nagwek1Znak"/>
          <w:rFonts w:asciiTheme="minorHAnsi" w:hAnsiTheme="minorHAnsi"/>
          <w:color w:val="FF0000"/>
          <w:sz w:val="18"/>
          <w:szCs w:val="18"/>
        </w:rPr>
      </w:pPr>
    </w:p>
    <w:p w14:paraId="27D8CB88" w14:textId="77777777" w:rsidR="007D4A73" w:rsidRDefault="007D4A73" w:rsidP="007D4A73">
      <w:pPr>
        <w:pStyle w:val="Pro-Inwest"/>
        <w:spacing w:line="240" w:lineRule="auto"/>
        <w:jc w:val="both"/>
        <w:rPr>
          <w:rStyle w:val="Nagwek1Znak"/>
          <w:rFonts w:asciiTheme="minorHAnsi" w:hAnsiTheme="minorHAnsi"/>
          <w:color w:val="FF0000"/>
          <w:sz w:val="18"/>
          <w:szCs w:val="18"/>
        </w:rPr>
      </w:pPr>
    </w:p>
    <w:p w14:paraId="2C807F6C" w14:textId="77777777" w:rsidR="007D4A73" w:rsidRDefault="007D4A73" w:rsidP="007D4A73">
      <w:pPr>
        <w:pStyle w:val="Pro-Inwest"/>
        <w:spacing w:line="240" w:lineRule="auto"/>
        <w:jc w:val="both"/>
        <w:rPr>
          <w:rStyle w:val="Nagwek1Znak"/>
          <w:rFonts w:asciiTheme="minorHAnsi" w:hAnsiTheme="minorHAnsi"/>
          <w:color w:val="FF0000"/>
          <w:sz w:val="18"/>
          <w:szCs w:val="18"/>
        </w:rPr>
      </w:pPr>
    </w:p>
    <w:p w14:paraId="529BB1F4" w14:textId="77777777" w:rsidR="007D4A73" w:rsidRDefault="007D4A73" w:rsidP="007D4A73">
      <w:pPr>
        <w:pStyle w:val="Pro-Inwest"/>
        <w:spacing w:line="240" w:lineRule="auto"/>
        <w:jc w:val="both"/>
        <w:rPr>
          <w:rStyle w:val="Nagwek1Znak"/>
          <w:rFonts w:asciiTheme="minorHAnsi" w:hAnsiTheme="minorHAnsi"/>
          <w:color w:val="FF0000"/>
          <w:sz w:val="18"/>
          <w:szCs w:val="18"/>
        </w:rPr>
      </w:pPr>
    </w:p>
    <w:p w14:paraId="31435E21" w14:textId="77777777" w:rsidR="007D4A73" w:rsidRDefault="007D4A73" w:rsidP="007D4A73">
      <w:pPr>
        <w:pStyle w:val="Pro-Inwest"/>
        <w:spacing w:line="240" w:lineRule="auto"/>
        <w:jc w:val="both"/>
        <w:rPr>
          <w:rStyle w:val="Nagwek1Znak"/>
          <w:rFonts w:asciiTheme="minorHAnsi" w:hAnsiTheme="minorHAnsi"/>
          <w:color w:val="FF0000"/>
          <w:sz w:val="18"/>
          <w:szCs w:val="18"/>
        </w:rPr>
      </w:pPr>
    </w:p>
    <w:p w14:paraId="1F66B6D4" w14:textId="77777777" w:rsidR="007D4A73" w:rsidRPr="00B8395C" w:rsidRDefault="007D4A73" w:rsidP="007D4A73">
      <w:pPr>
        <w:pStyle w:val="Pro-Inwest"/>
        <w:spacing w:line="240" w:lineRule="auto"/>
        <w:jc w:val="both"/>
        <w:rPr>
          <w:rStyle w:val="Nagwek1Znak"/>
          <w:rFonts w:asciiTheme="minorHAnsi" w:hAnsiTheme="minorHAnsi"/>
          <w:color w:val="FF0000"/>
          <w:sz w:val="18"/>
          <w:szCs w:val="18"/>
        </w:rPr>
      </w:pPr>
    </w:p>
    <w:p w14:paraId="5B8A33A6" w14:textId="77777777" w:rsidR="007D03F5" w:rsidRDefault="007D03F5" w:rsidP="004E05E0">
      <w:pPr>
        <w:pStyle w:val="Pro-Inwest"/>
        <w:spacing w:line="240" w:lineRule="auto"/>
        <w:jc w:val="both"/>
        <w:rPr>
          <w:rStyle w:val="Nagwek1Znak"/>
          <w:rFonts w:asciiTheme="minorHAnsi" w:hAnsiTheme="minorHAnsi"/>
          <w:color w:val="FF0000"/>
          <w:sz w:val="18"/>
          <w:szCs w:val="18"/>
        </w:rPr>
      </w:pPr>
    </w:p>
    <w:p w14:paraId="05B9F80C" w14:textId="77777777" w:rsidR="007D03F5" w:rsidRDefault="007D03F5" w:rsidP="004E05E0">
      <w:pPr>
        <w:pStyle w:val="Pro-Inwest"/>
        <w:spacing w:line="240" w:lineRule="auto"/>
        <w:jc w:val="both"/>
        <w:rPr>
          <w:rStyle w:val="Nagwek1Znak"/>
          <w:rFonts w:asciiTheme="minorHAnsi" w:hAnsiTheme="minorHAnsi"/>
          <w:color w:val="FF0000"/>
          <w:sz w:val="18"/>
          <w:szCs w:val="18"/>
        </w:rPr>
      </w:pPr>
    </w:p>
    <w:p w14:paraId="62A925F4" w14:textId="25E84ACC" w:rsidR="004E05E0" w:rsidRPr="007D4A73" w:rsidRDefault="004E05E0" w:rsidP="004E05E0">
      <w:pPr>
        <w:pStyle w:val="Pro-Inwest"/>
        <w:spacing w:line="240" w:lineRule="auto"/>
        <w:jc w:val="both"/>
        <w:rPr>
          <w:rFonts w:asciiTheme="minorHAnsi" w:hAnsiTheme="minorHAnsi"/>
          <w:b/>
          <w:sz w:val="18"/>
          <w:szCs w:val="18"/>
        </w:rPr>
      </w:pPr>
      <w:r w:rsidRPr="007D4A73">
        <w:rPr>
          <w:rStyle w:val="Nagwek1Znak"/>
          <w:rFonts w:asciiTheme="minorHAnsi" w:hAnsiTheme="minorHAnsi"/>
          <w:sz w:val="18"/>
          <w:szCs w:val="18"/>
        </w:rPr>
        <w:lastRenderedPageBreak/>
        <w:t>D.08.06.01</w:t>
      </w:r>
      <w:r w:rsidRPr="007D4A73">
        <w:rPr>
          <w:rFonts w:asciiTheme="minorHAnsi" w:hAnsiTheme="minorHAnsi"/>
          <w:b/>
          <w:sz w:val="18"/>
          <w:szCs w:val="18"/>
        </w:rPr>
        <w:t xml:space="preserve"> OBRAMOWANIE CHODNIKÓW LISTWAMI STALOWYMI</w:t>
      </w:r>
    </w:p>
    <w:p w14:paraId="0C29B497" w14:textId="58C71E04"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br/>
      </w:r>
      <w:r w:rsidRPr="007D4A73">
        <w:rPr>
          <w:rFonts w:asciiTheme="minorHAnsi" w:hAnsiTheme="minorHAnsi"/>
          <w:b/>
          <w:bCs/>
          <w:sz w:val="16"/>
          <w:szCs w:val="16"/>
        </w:rPr>
        <w:t>1.WSTĘP</w:t>
      </w:r>
      <w:r w:rsidRPr="007D4A73">
        <w:rPr>
          <w:rFonts w:asciiTheme="minorHAnsi" w:hAnsiTheme="minorHAnsi"/>
          <w:sz w:val="16"/>
          <w:szCs w:val="16"/>
        </w:rPr>
        <w:br/>
      </w:r>
      <w:r w:rsidRPr="007D4A73">
        <w:rPr>
          <w:rFonts w:asciiTheme="minorHAnsi" w:hAnsiTheme="minorHAnsi"/>
          <w:b/>
          <w:bCs/>
          <w:sz w:val="16"/>
          <w:szCs w:val="16"/>
        </w:rPr>
        <w:t xml:space="preserve">1.1. Przedmiot </w:t>
      </w:r>
      <w:proofErr w:type="spellStart"/>
      <w:r w:rsidRPr="007D4A73">
        <w:rPr>
          <w:rFonts w:asciiTheme="minorHAnsi" w:hAnsiTheme="minorHAnsi"/>
          <w:b/>
          <w:bCs/>
          <w:sz w:val="16"/>
          <w:szCs w:val="16"/>
        </w:rPr>
        <w:t>STWiORB</w:t>
      </w:r>
      <w:proofErr w:type="spellEnd"/>
    </w:p>
    <w:p w14:paraId="232345F1" w14:textId="5459785F" w:rsidR="00D156B5" w:rsidRPr="007D4A73" w:rsidRDefault="00D156B5" w:rsidP="00D156B5">
      <w:pPr>
        <w:spacing w:after="0"/>
        <w:ind w:firstLine="708"/>
        <w:jc w:val="both"/>
        <w:rPr>
          <w:sz w:val="16"/>
          <w:szCs w:val="16"/>
        </w:rPr>
      </w:pPr>
      <w:r w:rsidRPr="007D4A73">
        <w:rPr>
          <w:sz w:val="16"/>
          <w:szCs w:val="16"/>
        </w:rPr>
        <w:t>Przedmiotem niniejszej specyfikacji technicznej wykonania i odbioru robot budowlanych (</w:t>
      </w:r>
      <w:proofErr w:type="spellStart"/>
      <w:r w:rsidRPr="007D4A73">
        <w:rPr>
          <w:sz w:val="16"/>
          <w:szCs w:val="16"/>
        </w:rPr>
        <w:t>STWiORB</w:t>
      </w:r>
      <w:proofErr w:type="spellEnd"/>
      <w:r w:rsidRPr="007D4A73">
        <w:rPr>
          <w:sz w:val="16"/>
          <w:szCs w:val="16"/>
        </w:rPr>
        <w:t>) są wymagania</w:t>
      </w:r>
      <w:r w:rsidRPr="007D4A73">
        <w:rPr>
          <w:sz w:val="16"/>
          <w:szCs w:val="16"/>
        </w:rPr>
        <w:br/>
        <w:t>dotyczące wykonania i odbioru robót związanych dla opracowania dokumentacji projektowej dla zadania o nazwie „Przebudowa, rozbudowa i remont budynku Uniwersytetu Łódzkiego przy ul. Sienkiewicza 21 w Łodzi, wraz ze zmianą jego sposobu użytkowania z funkcji dydaktycznej  na budynek usługowy o funkcji nauki i kultury z częścią o funkcji zamieszkania zbiorowego(centrum kultury z pokojami gościnnymi) rozbiórką balkonów i schodów zewnętrznych wraz z zadaszeniem, oraz wykonaniem ocieplenia elewacji północnej</w:t>
      </w:r>
      <w:r w:rsidRPr="007D4A73">
        <w:rPr>
          <w:sz w:val="16"/>
          <w:szCs w:val="16"/>
        </w:rPr>
        <w:br/>
        <w:t>oraz zachodniej, budową szklanego świetlika nad dziedzińcem wewnętrznym oraz realizacją niezbędnej infrastruktury technicznej</w:t>
      </w:r>
      <w:r w:rsidRPr="007D4A73">
        <w:rPr>
          <w:sz w:val="16"/>
          <w:szCs w:val="16"/>
        </w:rPr>
        <w:br/>
        <w:t>i zagospodarowania terenu”. Inwestorem przedsięwzięcia jest Uniwersytet Łódzki, ul. Narutowicza 68 , 90-136 Łódź.</w:t>
      </w:r>
    </w:p>
    <w:p w14:paraId="496F9389" w14:textId="4B00ADDD" w:rsidR="00D156B5" w:rsidRPr="007D4A73" w:rsidRDefault="00D156B5" w:rsidP="00D156B5">
      <w:pPr>
        <w:pStyle w:val="Pro-Inwest"/>
        <w:jc w:val="both"/>
        <w:rPr>
          <w:rFonts w:asciiTheme="minorHAnsi" w:hAnsiTheme="minorHAnsi"/>
          <w:sz w:val="16"/>
          <w:szCs w:val="16"/>
        </w:rPr>
      </w:pPr>
      <w:r w:rsidRPr="007D4A73">
        <w:rPr>
          <w:rFonts w:asciiTheme="minorHAnsi" w:hAnsiTheme="minorHAnsi"/>
          <w:b/>
          <w:bCs/>
          <w:sz w:val="16"/>
          <w:szCs w:val="16"/>
        </w:rPr>
        <w:t xml:space="preserve">1.2. Zakres stosowania </w:t>
      </w:r>
      <w:proofErr w:type="spellStart"/>
      <w:r w:rsidRPr="007D4A73">
        <w:rPr>
          <w:rFonts w:asciiTheme="minorHAnsi" w:hAnsiTheme="minorHAnsi"/>
          <w:b/>
          <w:bCs/>
          <w:sz w:val="16"/>
          <w:szCs w:val="16"/>
        </w:rPr>
        <w:t>STWiORB</w:t>
      </w:r>
      <w:proofErr w:type="spellEnd"/>
    </w:p>
    <w:p w14:paraId="73C99A14" w14:textId="4EC87A11"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Specyfikacja techniczna wykonania i odbioru robót budowlanych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to dokument przetargowy i kontraktowy</w:t>
      </w:r>
      <w:r w:rsidRPr="007D4A73">
        <w:rPr>
          <w:rFonts w:asciiTheme="minorHAnsi" w:hAnsiTheme="minorHAnsi"/>
          <w:sz w:val="16"/>
          <w:szCs w:val="16"/>
        </w:rPr>
        <w:br/>
        <w:t>przy zlecaniu i realizacji robót związanych z ułożeniem obrzeży stalowych.</w:t>
      </w:r>
    </w:p>
    <w:p w14:paraId="203BBE23" w14:textId="7BFFCCEB"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 xml:space="preserve">1.3. Zakres robót objętych </w:t>
      </w:r>
      <w:proofErr w:type="spellStart"/>
      <w:r w:rsidRPr="007D4A73">
        <w:rPr>
          <w:rFonts w:asciiTheme="minorHAnsi" w:hAnsiTheme="minorHAnsi"/>
          <w:b/>
          <w:bCs/>
          <w:sz w:val="16"/>
          <w:szCs w:val="16"/>
        </w:rPr>
        <w:t>STWiOB</w:t>
      </w:r>
      <w:proofErr w:type="spellEnd"/>
    </w:p>
    <w:p w14:paraId="2CC63B43" w14:textId="77777777" w:rsidR="00EE257F"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Ustalenia zawarte w niniejszej specyfikacji dotyczą zasad prowadzenia robót związanych</w:t>
      </w:r>
      <w:r w:rsidR="00EE257F" w:rsidRPr="007D4A73">
        <w:rPr>
          <w:rFonts w:asciiTheme="minorHAnsi" w:hAnsiTheme="minorHAnsi"/>
          <w:sz w:val="16"/>
          <w:szCs w:val="16"/>
        </w:rPr>
        <w:t xml:space="preserve"> </w:t>
      </w:r>
      <w:r w:rsidRPr="007D4A73">
        <w:rPr>
          <w:rFonts w:asciiTheme="minorHAnsi" w:hAnsiTheme="minorHAnsi"/>
          <w:sz w:val="16"/>
          <w:szCs w:val="16"/>
        </w:rPr>
        <w:t>z wykonaniem:</w:t>
      </w:r>
    </w:p>
    <w:p w14:paraId="493447CE" w14:textId="6A5DD6A7" w:rsidR="00D156B5" w:rsidRPr="007D4A73" w:rsidRDefault="00322173" w:rsidP="00EE257F">
      <w:pPr>
        <w:pStyle w:val="Pro-Inwest"/>
        <w:numPr>
          <w:ilvl w:val="0"/>
          <w:numId w:val="235"/>
        </w:numPr>
        <w:jc w:val="both"/>
        <w:rPr>
          <w:rFonts w:asciiTheme="minorHAnsi" w:hAnsiTheme="minorHAnsi"/>
          <w:sz w:val="16"/>
          <w:szCs w:val="16"/>
        </w:rPr>
      </w:pPr>
      <w:r w:rsidRPr="007D4A73">
        <w:rPr>
          <w:rFonts w:asciiTheme="minorHAnsi" w:hAnsiTheme="minorHAnsi"/>
          <w:sz w:val="16"/>
          <w:szCs w:val="16"/>
        </w:rPr>
        <w:t>o</w:t>
      </w:r>
      <w:r w:rsidR="00D156B5" w:rsidRPr="007D4A73">
        <w:rPr>
          <w:rFonts w:asciiTheme="minorHAnsi" w:hAnsiTheme="minorHAnsi"/>
          <w:sz w:val="16"/>
          <w:szCs w:val="16"/>
        </w:rPr>
        <w:t>brzeż</w:t>
      </w:r>
      <w:r w:rsidR="00EE257F" w:rsidRPr="007D4A73">
        <w:rPr>
          <w:rFonts w:asciiTheme="minorHAnsi" w:hAnsiTheme="minorHAnsi"/>
          <w:sz w:val="16"/>
          <w:szCs w:val="16"/>
        </w:rPr>
        <w:t>e</w:t>
      </w:r>
      <w:r w:rsidR="00D156B5" w:rsidRPr="007D4A73">
        <w:rPr>
          <w:rFonts w:asciiTheme="minorHAnsi" w:hAnsiTheme="minorHAnsi"/>
          <w:sz w:val="16"/>
          <w:szCs w:val="16"/>
        </w:rPr>
        <w:t xml:space="preserve"> </w:t>
      </w:r>
      <w:r w:rsidR="00EE257F" w:rsidRPr="007D4A73">
        <w:rPr>
          <w:rFonts w:asciiTheme="minorHAnsi" w:hAnsiTheme="minorHAnsi"/>
          <w:sz w:val="16"/>
          <w:szCs w:val="16"/>
        </w:rPr>
        <w:t xml:space="preserve">stalowego </w:t>
      </w:r>
      <w:proofErr w:type="spellStart"/>
      <w:r w:rsidR="00EE257F" w:rsidRPr="007D4A73">
        <w:rPr>
          <w:rFonts w:asciiTheme="minorHAnsi" w:hAnsiTheme="minorHAnsi"/>
          <w:sz w:val="16"/>
          <w:szCs w:val="16"/>
        </w:rPr>
        <w:t>cortenowskie</w:t>
      </w:r>
      <w:proofErr w:type="spellEnd"/>
      <w:r w:rsidR="00EE257F" w:rsidRPr="007D4A73">
        <w:rPr>
          <w:rFonts w:asciiTheme="minorHAnsi" w:hAnsiTheme="minorHAnsi"/>
          <w:sz w:val="16"/>
          <w:szCs w:val="16"/>
        </w:rPr>
        <w:t xml:space="preserve"> </w:t>
      </w:r>
      <w:r w:rsidRPr="007D4A73">
        <w:rPr>
          <w:rFonts w:asciiTheme="minorHAnsi" w:hAnsiTheme="minorHAnsi"/>
          <w:sz w:val="16"/>
          <w:szCs w:val="16"/>
        </w:rPr>
        <w:t>gr. 2mm wys. 20cm;</w:t>
      </w:r>
    </w:p>
    <w:p w14:paraId="1EA047B6" w14:textId="2D00AEB1" w:rsidR="00322173" w:rsidRPr="007D4A73" w:rsidRDefault="00322173" w:rsidP="00EE257F">
      <w:pPr>
        <w:pStyle w:val="Pro-Inwest"/>
        <w:numPr>
          <w:ilvl w:val="0"/>
          <w:numId w:val="235"/>
        </w:numPr>
        <w:jc w:val="both"/>
        <w:rPr>
          <w:rFonts w:asciiTheme="minorHAnsi" w:hAnsiTheme="minorHAnsi"/>
          <w:sz w:val="16"/>
          <w:szCs w:val="16"/>
        </w:rPr>
      </w:pPr>
      <w:r w:rsidRPr="007D4A73">
        <w:rPr>
          <w:rFonts w:asciiTheme="minorHAnsi" w:hAnsiTheme="minorHAnsi"/>
          <w:sz w:val="16"/>
          <w:szCs w:val="16"/>
        </w:rPr>
        <w:t>ława betonowa z betonu C12/15.</w:t>
      </w:r>
    </w:p>
    <w:p w14:paraId="76905907" w14:textId="77777777" w:rsidR="00D156B5" w:rsidRPr="007D4A73" w:rsidRDefault="00D156B5" w:rsidP="00D156B5">
      <w:pPr>
        <w:pStyle w:val="Pro-Inwest"/>
        <w:rPr>
          <w:rFonts w:asciiTheme="minorHAnsi" w:hAnsiTheme="minorHAnsi"/>
          <w:b/>
          <w:bCs/>
          <w:sz w:val="16"/>
          <w:szCs w:val="16"/>
        </w:rPr>
      </w:pPr>
    </w:p>
    <w:p w14:paraId="1BFD4CB9" w14:textId="5B2A783C" w:rsidR="00D156B5" w:rsidRPr="007D4A73" w:rsidRDefault="00D156B5" w:rsidP="00D156B5">
      <w:pPr>
        <w:pStyle w:val="Pro-Inwest"/>
        <w:rPr>
          <w:rFonts w:asciiTheme="minorHAnsi" w:hAnsiTheme="minorHAnsi"/>
          <w:sz w:val="16"/>
          <w:szCs w:val="16"/>
        </w:rPr>
      </w:pPr>
      <w:r w:rsidRPr="007D4A73">
        <w:rPr>
          <w:rFonts w:asciiTheme="minorHAnsi" w:hAnsiTheme="minorHAnsi"/>
          <w:b/>
          <w:bCs/>
          <w:sz w:val="16"/>
          <w:szCs w:val="16"/>
        </w:rPr>
        <w:t>2. MATERIAŁY</w:t>
      </w:r>
      <w:r w:rsidRPr="007D4A73">
        <w:rPr>
          <w:rFonts w:asciiTheme="minorHAnsi" w:hAnsiTheme="minorHAnsi"/>
          <w:sz w:val="16"/>
          <w:szCs w:val="16"/>
        </w:rPr>
        <w:br/>
      </w:r>
      <w:r w:rsidRPr="007D4A73">
        <w:rPr>
          <w:rFonts w:asciiTheme="minorHAnsi" w:hAnsiTheme="minorHAnsi"/>
          <w:b/>
          <w:bCs/>
          <w:sz w:val="16"/>
          <w:szCs w:val="16"/>
        </w:rPr>
        <w:t>2.1. Ogólne wymagania dotyczące materiałów</w:t>
      </w:r>
      <w:r w:rsidRPr="007D4A73">
        <w:rPr>
          <w:rFonts w:asciiTheme="minorHAnsi" w:hAnsiTheme="minorHAnsi"/>
          <w:sz w:val="16"/>
          <w:szCs w:val="16"/>
        </w:rPr>
        <w:br/>
        <w:t xml:space="preserve">Ogólne wymagania dotyczące materiałów, ich pozyskiwania i składowania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D-00.01.00 „Wymagania ogólne” pkt 2.</w:t>
      </w:r>
      <w:r w:rsidRPr="007D4A73">
        <w:rPr>
          <w:rFonts w:asciiTheme="minorHAnsi" w:hAnsiTheme="minorHAnsi"/>
          <w:sz w:val="16"/>
          <w:szCs w:val="16"/>
        </w:rPr>
        <w:br/>
      </w:r>
      <w:r w:rsidRPr="007D4A73">
        <w:rPr>
          <w:rFonts w:asciiTheme="minorHAnsi" w:hAnsiTheme="minorHAnsi"/>
          <w:b/>
          <w:bCs/>
          <w:sz w:val="16"/>
          <w:szCs w:val="16"/>
        </w:rPr>
        <w:t>2.2. Obrzeża metalowe</w:t>
      </w:r>
      <w:r w:rsidRPr="007D4A73">
        <w:rPr>
          <w:rFonts w:asciiTheme="minorHAnsi" w:hAnsiTheme="minorHAnsi"/>
          <w:sz w:val="16"/>
          <w:szCs w:val="16"/>
        </w:rPr>
        <w:br/>
        <w:t>- piasek gruby – zgodny z normą PN-B-11113,</w:t>
      </w:r>
      <w:r w:rsidRPr="007D4A73">
        <w:rPr>
          <w:rFonts w:asciiTheme="minorHAnsi" w:hAnsiTheme="minorHAnsi"/>
          <w:sz w:val="16"/>
          <w:szCs w:val="16"/>
        </w:rPr>
        <w:br/>
        <w:t>- podsypka cementowo – piaskowa w proporcji 1:4 (piasek gruby i cement zwykły zgodny z normą PN-EN-197-1),</w:t>
      </w:r>
      <w:r w:rsidRPr="007D4A73">
        <w:rPr>
          <w:rFonts w:asciiTheme="minorHAnsi" w:hAnsiTheme="minorHAnsi"/>
          <w:sz w:val="16"/>
          <w:szCs w:val="16"/>
        </w:rPr>
        <w:br/>
        <w:t>- beton C12/15,</w:t>
      </w:r>
      <w:r w:rsidRPr="007D4A73">
        <w:rPr>
          <w:rFonts w:asciiTheme="minorHAnsi" w:hAnsiTheme="minorHAnsi"/>
          <w:sz w:val="16"/>
          <w:szCs w:val="16"/>
        </w:rPr>
        <w:br/>
        <w:t xml:space="preserve">- obrzeże </w:t>
      </w:r>
      <w:r w:rsidR="00322173" w:rsidRPr="007D4A73">
        <w:rPr>
          <w:rFonts w:asciiTheme="minorHAnsi" w:hAnsiTheme="minorHAnsi"/>
          <w:sz w:val="16"/>
          <w:szCs w:val="16"/>
        </w:rPr>
        <w:t xml:space="preserve">stalowe </w:t>
      </w:r>
      <w:proofErr w:type="spellStart"/>
      <w:r w:rsidR="00322173" w:rsidRPr="007D4A73">
        <w:rPr>
          <w:rFonts w:asciiTheme="minorHAnsi" w:hAnsiTheme="minorHAnsi"/>
          <w:sz w:val="16"/>
          <w:szCs w:val="16"/>
        </w:rPr>
        <w:t>cortenowskie</w:t>
      </w:r>
      <w:proofErr w:type="spellEnd"/>
      <w:r w:rsidR="00322173" w:rsidRPr="007D4A73">
        <w:rPr>
          <w:rFonts w:asciiTheme="minorHAnsi" w:hAnsiTheme="minorHAnsi"/>
          <w:sz w:val="16"/>
          <w:szCs w:val="16"/>
        </w:rPr>
        <w:t xml:space="preserve"> gr 2mm, wys. 20cm</w:t>
      </w:r>
      <w:r w:rsidRPr="007D4A73">
        <w:rPr>
          <w:rFonts w:asciiTheme="minorHAnsi" w:hAnsiTheme="minorHAnsi"/>
          <w:sz w:val="16"/>
          <w:szCs w:val="16"/>
        </w:rPr>
        <w:t>.</w:t>
      </w:r>
      <w:r w:rsidRPr="007D4A73">
        <w:rPr>
          <w:rFonts w:asciiTheme="minorHAnsi" w:hAnsiTheme="minorHAnsi"/>
          <w:sz w:val="16"/>
          <w:szCs w:val="16"/>
        </w:rPr>
        <w:br/>
      </w:r>
    </w:p>
    <w:p w14:paraId="081AE640" w14:textId="77777777"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3. SPRZĘT</w:t>
      </w:r>
    </w:p>
    <w:p w14:paraId="7BAD9DE7" w14:textId="77777777"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3.1. Ogólne wymagania dotyczące sprzętu</w:t>
      </w:r>
    </w:p>
    <w:p w14:paraId="2B1A032A"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xml:space="preserve">Ogólne wymagania dotyczące sprzętu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D-00.01.00 „Wymagania ogólne” pkt 3.</w:t>
      </w:r>
    </w:p>
    <w:p w14:paraId="2D597C00" w14:textId="77777777"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3.2. Sprzęt</w:t>
      </w:r>
    </w:p>
    <w:p w14:paraId="7B77F9D6"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Wykonawca przystępujący do prac związanych z wykonaniem nawierzchni i obrzeży powinien wykazać się możliwością korzystania</w:t>
      </w:r>
      <w:r w:rsidRPr="007D4A73">
        <w:rPr>
          <w:rFonts w:asciiTheme="minorHAnsi" w:hAnsiTheme="minorHAnsi"/>
          <w:sz w:val="16"/>
          <w:szCs w:val="16"/>
        </w:rPr>
        <w:br/>
        <w:t>z niezbędnego sprzętu:</w:t>
      </w:r>
    </w:p>
    <w:p w14:paraId="75192B5E"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samochodu przystosowanego do przewozu materiałów,</w:t>
      </w:r>
    </w:p>
    <w:p w14:paraId="103F6C4A"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koparko – ładowarki,</w:t>
      </w:r>
    </w:p>
    <w:p w14:paraId="7B6A6B74"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betoniarki,</w:t>
      </w:r>
    </w:p>
    <w:p w14:paraId="5773735E"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zagęszczarki,</w:t>
      </w:r>
    </w:p>
    <w:p w14:paraId="7A7AE8DE"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zgrzewarki do blachy</w:t>
      </w:r>
    </w:p>
    <w:p w14:paraId="6CC1C501"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elektronarzędzi budowlanych,</w:t>
      </w:r>
    </w:p>
    <w:p w14:paraId="68350106"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ręcznych narzędzi budowlanych,</w:t>
      </w:r>
    </w:p>
    <w:p w14:paraId="324BB9F7"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przyrządów pomiarowych,</w:t>
      </w:r>
    </w:p>
    <w:p w14:paraId="1B01BE3A"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poziomicy.</w:t>
      </w:r>
    </w:p>
    <w:p w14:paraId="6F2C4B34"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br/>
        <w:t>Sprzęt wykorzystywany przez wykonawcę powinien być sprawny technicznie i spełniać wymagania</w:t>
      </w:r>
      <w:r w:rsidRPr="007D4A73">
        <w:rPr>
          <w:rFonts w:asciiTheme="minorHAnsi" w:hAnsiTheme="minorHAnsi"/>
          <w:sz w:val="16"/>
          <w:szCs w:val="16"/>
        </w:rPr>
        <w:br/>
        <w:t>techniczne w zakresie BHP.</w:t>
      </w:r>
    </w:p>
    <w:p w14:paraId="626E1FF9" w14:textId="554C6785"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sz w:val="16"/>
          <w:szCs w:val="16"/>
        </w:rPr>
        <w:br/>
      </w:r>
      <w:r w:rsidRPr="007D4A73">
        <w:rPr>
          <w:rFonts w:asciiTheme="minorHAnsi" w:hAnsiTheme="minorHAnsi"/>
          <w:b/>
          <w:bCs/>
          <w:sz w:val="16"/>
          <w:szCs w:val="16"/>
        </w:rPr>
        <w:t>4. TRANSPORT</w:t>
      </w:r>
    </w:p>
    <w:p w14:paraId="0E137BD6" w14:textId="77777777"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4.1. Ogólne wymagania dotyczące transportu</w:t>
      </w:r>
    </w:p>
    <w:p w14:paraId="36ACEC57" w14:textId="1CAF23E3"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xml:space="preserve">Ogólne wymagania dotyczące transportu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D-00.01.00 „Wymagania ogólne” pkt4.</w:t>
      </w:r>
    </w:p>
    <w:p w14:paraId="59BE2472" w14:textId="77777777"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4.2. Transport materiałów</w:t>
      </w:r>
    </w:p>
    <w:p w14:paraId="7D588CBF"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Materiały powinny być przewożone środkami transportu dopuszczonymi do ruchu po drogach publicznych, zgodnie z przepisami BHP</w:t>
      </w:r>
      <w:r w:rsidRPr="007D4A73">
        <w:rPr>
          <w:rFonts w:asciiTheme="minorHAnsi" w:hAnsiTheme="minorHAnsi"/>
          <w:sz w:val="16"/>
          <w:szCs w:val="16"/>
        </w:rPr>
        <w:br/>
        <w:t>oraz przepisami o ruchu drogowym. Środki transportu wykorzystywane przez Wykonawcę powinny być sprawne technicznie. Przewożone materiały należy umieścić równomiernie w przestrzeni ładunkowej i zabezpieczyć przed uszkodzeniem, przesunięciem</w:t>
      </w:r>
      <w:r w:rsidRPr="007D4A73">
        <w:rPr>
          <w:rFonts w:asciiTheme="minorHAnsi" w:hAnsiTheme="minorHAnsi"/>
          <w:sz w:val="16"/>
          <w:szCs w:val="16"/>
        </w:rPr>
        <w:br/>
        <w:t>lub wypadnięciem. W rejonie budowy transport materiałów powinien odbywać się z wykorzystaniem tylko lekkiego sprzętu - z uwagi</w:t>
      </w:r>
      <w:r w:rsidRPr="007D4A73">
        <w:rPr>
          <w:rFonts w:asciiTheme="minorHAnsi" w:hAnsiTheme="minorHAnsi"/>
          <w:sz w:val="16"/>
          <w:szCs w:val="16"/>
        </w:rPr>
        <w:br/>
        <w:t>na półnaturalny charakter tego miejsca.</w:t>
      </w:r>
    </w:p>
    <w:p w14:paraId="1B56FC20" w14:textId="77777777" w:rsidR="00D156B5" w:rsidRPr="007D4A73" w:rsidRDefault="00D156B5" w:rsidP="00D156B5">
      <w:pPr>
        <w:pStyle w:val="Pro-Inwest"/>
        <w:jc w:val="both"/>
        <w:rPr>
          <w:rFonts w:asciiTheme="minorHAnsi" w:hAnsiTheme="minorHAnsi"/>
          <w:sz w:val="16"/>
          <w:szCs w:val="16"/>
        </w:rPr>
      </w:pPr>
    </w:p>
    <w:p w14:paraId="340249BE" w14:textId="6CBFF641"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5. WYKONANIE ROBÓT</w:t>
      </w:r>
    </w:p>
    <w:p w14:paraId="34270F8B" w14:textId="77777777"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5.1. Ogólne zasady wykonania robót</w:t>
      </w:r>
    </w:p>
    <w:p w14:paraId="5A1077D9"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xml:space="preserve">Ogólne zasady wykonania robót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S-00.01.00 „Wymagania ogólne” pkt 5.</w:t>
      </w:r>
    </w:p>
    <w:p w14:paraId="69416C32"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Miejsce wykonywania prac należy odpowiednio zabezpieczyć przed ruchem osób nieuprawnionych.</w:t>
      </w:r>
    </w:p>
    <w:p w14:paraId="42DA8BC7"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Przed przystąpieniem do prac należy sprawdzić, czy dostarczony towar jest zgodny ze specyfikacją zamówienia. Wszystkie prace powinny zostać wykonane zgodnie z dokumentacją projektową.</w:t>
      </w:r>
    </w:p>
    <w:p w14:paraId="40B7ECB1" w14:textId="301111BC"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lastRenderedPageBreak/>
        <w:t xml:space="preserve">5.2. Obrzeża </w:t>
      </w:r>
      <w:r w:rsidR="00322173" w:rsidRPr="007D4A73">
        <w:rPr>
          <w:rFonts w:asciiTheme="minorHAnsi" w:hAnsiTheme="minorHAnsi"/>
          <w:b/>
          <w:bCs/>
          <w:sz w:val="16"/>
          <w:szCs w:val="16"/>
        </w:rPr>
        <w:t>stalowe</w:t>
      </w:r>
    </w:p>
    <w:p w14:paraId="590624A2" w14:textId="04E234BE" w:rsidR="00D156B5" w:rsidRPr="007D4A73" w:rsidRDefault="00322173" w:rsidP="00D156B5">
      <w:pPr>
        <w:pStyle w:val="Pro-Inwest"/>
        <w:jc w:val="both"/>
        <w:rPr>
          <w:rFonts w:asciiTheme="minorHAnsi" w:hAnsiTheme="minorHAnsi"/>
          <w:sz w:val="16"/>
          <w:szCs w:val="16"/>
        </w:rPr>
      </w:pPr>
      <w:r w:rsidRPr="007D4A73">
        <w:rPr>
          <w:rFonts w:asciiTheme="minorHAnsi" w:hAnsiTheme="minorHAnsi"/>
          <w:sz w:val="16"/>
          <w:szCs w:val="16"/>
        </w:rPr>
        <w:t>Obrzeże</w:t>
      </w:r>
      <w:r w:rsidR="00D156B5" w:rsidRPr="007D4A73">
        <w:rPr>
          <w:rFonts w:asciiTheme="minorHAnsi" w:hAnsiTheme="minorHAnsi"/>
          <w:sz w:val="16"/>
          <w:szCs w:val="16"/>
        </w:rPr>
        <w:t xml:space="preserve"> należy ułożyć </w:t>
      </w:r>
      <w:r w:rsidRPr="007D4A73">
        <w:rPr>
          <w:rFonts w:asciiTheme="minorHAnsi" w:hAnsiTheme="minorHAnsi"/>
          <w:sz w:val="16"/>
          <w:szCs w:val="16"/>
        </w:rPr>
        <w:t>zgodnie z dokumentacją projektową</w:t>
      </w:r>
      <w:r w:rsidR="00D156B5" w:rsidRPr="007D4A73">
        <w:rPr>
          <w:rFonts w:asciiTheme="minorHAnsi" w:hAnsiTheme="minorHAnsi"/>
          <w:sz w:val="16"/>
          <w:szCs w:val="16"/>
        </w:rPr>
        <w:t xml:space="preserve">. Nadanie określonego nieprostolinijnego kształtu obrzeża uzyskuje się poprzez odpowiednie gięcie. Odcinki blachy należy łączyć </w:t>
      </w:r>
      <w:r w:rsidRPr="007D4A73">
        <w:rPr>
          <w:rFonts w:asciiTheme="minorHAnsi" w:hAnsiTheme="minorHAnsi"/>
          <w:sz w:val="16"/>
          <w:szCs w:val="16"/>
        </w:rPr>
        <w:t>zgodnie z wytycznymi producenta</w:t>
      </w:r>
      <w:r w:rsidR="00D156B5" w:rsidRPr="007D4A73">
        <w:rPr>
          <w:rFonts w:asciiTheme="minorHAnsi" w:hAnsiTheme="minorHAnsi"/>
          <w:sz w:val="16"/>
          <w:szCs w:val="16"/>
        </w:rPr>
        <w:t>.</w:t>
      </w:r>
    </w:p>
    <w:p w14:paraId="1876788D" w14:textId="3A5447B3"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xml:space="preserve">Obrzeże mocuje się i stabilizuje za pomocą betonu C12/15 oraz wbitych </w:t>
      </w:r>
      <w:r w:rsidR="00322173" w:rsidRPr="007D4A73">
        <w:rPr>
          <w:rFonts w:asciiTheme="minorHAnsi" w:hAnsiTheme="minorHAnsi"/>
          <w:sz w:val="16"/>
          <w:szCs w:val="16"/>
        </w:rPr>
        <w:t>kotw zgodnie z zaleceniami producenta</w:t>
      </w:r>
      <w:r w:rsidRPr="007D4A73">
        <w:rPr>
          <w:rFonts w:asciiTheme="minorHAnsi" w:hAnsiTheme="minorHAnsi"/>
          <w:sz w:val="16"/>
          <w:szCs w:val="16"/>
        </w:rPr>
        <w:t>. Pracę kończy wypełnienie powierzchni przylegających do obrzeża.</w:t>
      </w:r>
    </w:p>
    <w:p w14:paraId="2A69923F" w14:textId="77777777" w:rsidR="00D156B5" w:rsidRPr="007D4A73" w:rsidRDefault="00D156B5" w:rsidP="00D156B5">
      <w:pPr>
        <w:pStyle w:val="Pro-Inwest"/>
        <w:jc w:val="both"/>
        <w:rPr>
          <w:rFonts w:asciiTheme="minorHAnsi" w:hAnsiTheme="minorHAnsi"/>
          <w:sz w:val="16"/>
          <w:szCs w:val="16"/>
        </w:rPr>
      </w:pPr>
    </w:p>
    <w:p w14:paraId="69369FEB" w14:textId="5576B0EE"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6. KONTROLA JAKOŚCI ROBÓT</w:t>
      </w:r>
    </w:p>
    <w:p w14:paraId="3ADD8F39" w14:textId="77777777"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6.1. Ogólne zasady kontroli jakości robót</w:t>
      </w:r>
    </w:p>
    <w:p w14:paraId="5A2D23D3"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xml:space="preserve">Ogólne zasady kontroli jakości robót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S-00.01.00 „Wymagania ogólne” pkt 6.</w:t>
      </w:r>
    </w:p>
    <w:p w14:paraId="41281491" w14:textId="77777777"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6.2. Kontrola jakości robót</w:t>
      </w:r>
    </w:p>
    <w:p w14:paraId="18388872" w14:textId="77777777"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Kontrola jakości robót polega na sprawdzeniu czy dostarczony towar jest zgodny ze specyfikacją, czy posiada wymagane certyfikaty oraz czy montaż przebiegł zgodnie z dokumentacją projektową.</w:t>
      </w:r>
    </w:p>
    <w:p w14:paraId="771532F7" w14:textId="77777777" w:rsidR="00D156B5" w:rsidRPr="007D4A73" w:rsidRDefault="00D156B5" w:rsidP="00D156B5">
      <w:pPr>
        <w:pStyle w:val="Pro-Inwest"/>
        <w:jc w:val="both"/>
        <w:rPr>
          <w:rFonts w:asciiTheme="minorHAnsi" w:hAnsiTheme="minorHAnsi"/>
          <w:sz w:val="16"/>
          <w:szCs w:val="16"/>
        </w:rPr>
      </w:pPr>
    </w:p>
    <w:p w14:paraId="14CF51C8" w14:textId="22356FF8"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7. OBMIAR ROBÓT</w:t>
      </w:r>
    </w:p>
    <w:p w14:paraId="5A0EB628" w14:textId="77777777"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7.1. Ogólne zasady obmiaru robót</w:t>
      </w:r>
    </w:p>
    <w:p w14:paraId="57B499E1" w14:textId="556DC37B"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xml:space="preserve">Ogólne zasady obmiaru robót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D-00.01.00 „Wymagania ogólne” pkt 7.</w:t>
      </w:r>
    </w:p>
    <w:p w14:paraId="33D76367" w14:textId="77777777"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7.2. Obrzeża metalowe</w:t>
      </w:r>
    </w:p>
    <w:p w14:paraId="503E40C1" w14:textId="77777777" w:rsidR="00322173"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xml:space="preserve">Jednostką obmiarową jest </w:t>
      </w:r>
      <w:proofErr w:type="spellStart"/>
      <w:r w:rsidRPr="007D4A73">
        <w:rPr>
          <w:rFonts w:asciiTheme="minorHAnsi" w:hAnsiTheme="minorHAnsi"/>
          <w:sz w:val="16"/>
          <w:szCs w:val="16"/>
        </w:rPr>
        <w:t>mb</w:t>
      </w:r>
      <w:proofErr w:type="spellEnd"/>
      <w:r w:rsidRPr="007D4A73">
        <w:rPr>
          <w:rFonts w:asciiTheme="minorHAnsi" w:hAnsiTheme="minorHAnsi"/>
          <w:sz w:val="16"/>
          <w:szCs w:val="16"/>
        </w:rPr>
        <w:t xml:space="preserve"> (metr bieżący) – wykonania obrzeż</w:t>
      </w:r>
      <w:r w:rsidR="00322173" w:rsidRPr="007D4A73">
        <w:rPr>
          <w:rFonts w:asciiTheme="minorHAnsi" w:hAnsiTheme="minorHAnsi"/>
          <w:sz w:val="16"/>
          <w:szCs w:val="16"/>
        </w:rPr>
        <w:t>a</w:t>
      </w:r>
      <w:r w:rsidRPr="007D4A73">
        <w:rPr>
          <w:rFonts w:asciiTheme="minorHAnsi" w:hAnsiTheme="minorHAnsi"/>
          <w:sz w:val="16"/>
          <w:szCs w:val="16"/>
        </w:rPr>
        <w:t xml:space="preserve"> </w:t>
      </w:r>
      <w:r w:rsidR="00322173" w:rsidRPr="007D4A73">
        <w:rPr>
          <w:rFonts w:asciiTheme="minorHAnsi" w:hAnsiTheme="minorHAnsi"/>
          <w:sz w:val="16"/>
          <w:szCs w:val="16"/>
        </w:rPr>
        <w:t>stalowego.</w:t>
      </w:r>
    </w:p>
    <w:p w14:paraId="4B5306F9" w14:textId="7F470E44" w:rsidR="00D156B5" w:rsidRPr="007D4A73" w:rsidRDefault="00D156B5" w:rsidP="00D156B5">
      <w:pPr>
        <w:pStyle w:val="Pro-Inwest"/>
        <w:jc w:val="both"/>
        <w:rPr>
          <w:rFonts w:asciiTheme="minorHAnsi" w:hAnsiTheme="minorHAnsi"/>
          <w:sz w:val="16"/>
          <w:szCs w:val="16"/>
        </w:rPr>
      </w:pPr>
    </w:p>
    <w:p w14:paraId="31548370" w14:textId="368FF266"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8. ODBIÓR ROBÓT</w:t>
      </w:r>
    </w:p>
    <w:p w14:paraId="5AAF1050" w14:textId="77777777" w:rsidR="00D156B5"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8.1. Ogólne zasady odbioru robót</w:t>
      </w:r>
    </w:p>
    <w:p w14:paraId="584FB616" w14:textId="2FE7603A" w:rsidR="00D156B5"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xml:space="preserve">Ogólne zasady odbioru robót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D-00.01.00 „Wymagania ogólne” pkt 8. Roboty uznaje się za wykonane zgodnie</w:t>
      </w:r>
      <w:r w:rsidRPr="007D4A73">
        <w:rPr>
          <w:rFonts w:asciiTheme="minorHAnsi" w:hAnsiTheme="minorHAnsi"/>
          <w:sz w:val="16"/>
          <w:szCs w:val="16"/>
        </w:rPr>
        <w:br/>
        <w:t xml:space="preserve">z dokumentacją projektową i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jeżeli wszystkie pomiary i badania z zachowaniem tolerancji wg pkt. 6 dały wyniki pozytywne.</w:t>
      </w:r>
      <w:r w:rsidRPr="007D4A73">
        <w:rPr>
          <w:rFonts w:asciiTheme="minorHAnsi" w:hAnsiTheme="minorHAnsi"/>
          <w:sz w:val="16"/>
          <w:szCs w:val="16"/>
        </w:rPr>
        <w:br/>
      </w:r>
      <w:r w:rsidRPr="007D4A73">
        <w:rPr>
          <w:rFonts w:asciiTheme="minorHAnsi" w:hAnsiTheme="minorHAnsi"/>
          <w:b/>
          <w:bCs/>
          <w:sz w:val="16"/>
          <w:szCs w:val="16"/>
        </w:rPr>
        <w:t>8.2. Odbiór robót zanikających i ulegających zakryciu</w:t>
      </w:r>
    </w:p>
    <w:p w14:paraId="3273C50B" w14:textId="77777777" w:rsidR="00EE257F"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Roboty takie podlegają odbiorom częściowym w trakcie realizacji prac. Do robót tych zalicza się:</w:t>
      </w:r>
    </w:p>
    <w:p w14:paraId="3C7696BC" w14:textId="7048A096" w:rsidR="00EE257F"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połączenie odcinków obrzeży</w:t>
      </w:r>
    </w:p>
    <w:p w14:paraId="7866B984" w14:textId="7865CCA9" w:rsidR="00EE257F"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stabilizowanie obrzeży betonem</w:t>
      </w:r>
    </w:p>
    <w:p w14:paraId="5B9AD979" w14:textId="77777777" w:rsidR="00EE257F" w:rsidRPr="007D4A73" w:rsidRDefault="00EE257F" w:rsidP="00D156B5">
      <w:pPr>
        <w:pStyle w:val="Pro-Inwest"/>
        <w:jc w:val="both"/>
        <w:rPr>
          <w:rFonts w:asciiTheme="minorHAnsi" w:hAnsiTheme="minorHAnsi"/>
          <w:sz w:val="16"/>
          <w:szCs w:val="16"/>
        </w:rPr>
      </w:pPr>
    </w:p>
    <w:p w14:paraId="60D21AF4" w14:textId="7760E76B" w:rsidR="00EE257F"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9. PODSTAWA PŁATNOŚCI</w:t>
      </w:r>
    </w:p>
    <w:p w14:paraId="5DA74CCC" w14:textId="77777777" w:rsidR="00EE257F"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9.1. Ogólne ustalenia dotyczące podstawy płatności</w:t>
      </w:r>
    </w:p>
    <w:p w14:paraId="75F73D2E" w14:textId="763A1283" w:rsidR="00EE257F"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xml:space="preserve">Ogólne ustalenia dotyczące podstawy płatności podano w </w:t>
      </w:r>
      <w:proofErr w:type="spellStart"/>
      <w:r w:rsidRPr="007D4A73">
        <w:rPr>
          <w:rFonts w:asciiTheme="minorHAnsi" w:hAnsiTheme="minorHAnsi"/>
          <w:sz w:val="16"/>
          <w:szCs w:val="16"/>
        </w:rPr>
        <w:t>STWiORB</w:t>
      </w:r>
      <w:proofErr w:type="spellEnd"/>
      <w:r w:rsidRPr="007D4A73">
        <w:rPr>
          <w:rFonts w:asciiTheme="minorHAnsi" w:hAnsiTheme="minorHAnsi"/>
          <w:sz w:val="16"/>
          <w:szCs w:val="16"/>
        </w:rPr>
        <w:t xml:space="preserve"> </w:t>
      </w:r>
      <w:r w:rsidR="00EE257F" w:rsidRPr="007D4A73">
        <w:rPr>
          <w:rFonts w:asciiTheme="minorHAnsi" w:hAnsiTheme="minorHAnsi"/>
          <w:sz w:val="16"/>
          <w:szCs w:val="16"/>
        </w:rPr>
        <w:t>D</w:t>
      </w:r>
      <w:r w:rsidRPr="007D4A73">
        <w:rPr>
          <w:rFonts w:asciiTheme="minorHAnsi" w:hAnsiTheme="minorHAnsi"/>
          <w:sz w:val="16"/>
          <w:szCs w:val="16"/>
        </w:rPr>
        <w:t>-00.01.00 „Wymagania</w:t>
      </w:r>
      <w:r w:rsidR="00EE257F" w:rsidRPr="007D4A73">
        <w:rPr>
          <w:rFonts w:asciiTheme="minorHAnsi" w:hAnsiTheme="minorHAnsi"/>
          <w:sz w:val="16"/>
          <w:szCs w:val="16"/>
        </w:rPr>
        <w:t xml:space="preserve"> </w:t>
      </w:r>
      <w:r w:rsidRPr="007D4A73">
        <w:rPr>
          <w:rFonts w:asciiTheme="minorHAnsi" w:hAnsiTheme="minorHAnsi"/>
          <w:sz w:val="16"/>
          <w:szCs w:val="16"/>
        </w:rPr>
        <w:t>ogólne” pkt 9.</w:t>
      </w:r>
    </w:p>
    <w:p w14:paraId="7976B211" w14:textId="77777777" w:rsidR="00EE257F"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9.2. Cena jednostki obmiarowej – obrzeża metalowe</w:t>
      </w:r>
    </w:p>
    <w:p w14:paraId="6BCA408F" w14:textId="77777777" w:rsidR="00EE257F"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Cena ułożenia 1mb obrzeża metalowego obejmuje:</w:t>
      </w:r>
    </w:p>
    <w:p w14:paraId="7C3BAE9A" w14:textId="77777777" w:rsidR="00EE257F"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wykonanie wykopu,</w:t>
      </w:r>
    </w:p>
    <w:p w14:paraId="028C47C5" w14:textId="66F0394B" w:rsidR="00EE257F"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xml:space="preserve">- ułożenie i </w:t>
      </w:r>
      <w:r w:rsidR="00322173" w:rsidRPr="007D4A73">
        <w:rPr>
          <w:rFonts w:asciiTheme="minorHAnsi" w:hAnsiTheme="minorHAnsi"/>
          <w:sz w:val="16"/>
          <w:szCs w:val="16"/>
        </w:rPr>
        <w:t>połączenie</w:t>
      </w:r>
      <w:r w:rsidRPr="007D4A73">
        <w:rPr>
          <w:rFonts w:asciiTheme="minorHAnsi" w:hAnsiTheme="minorHAnsi"/>
          <w:sz w:val="16"/>
          <w:szCs w:val="16"/>
        </w:rPr>
        <w:t xml:space="preserve"> odcinków obrzeża</w:t>
      </w:r>
    </w:p>
    <w:p w14:paraId="672E54C6" w14:textId="57F2B063" w:rsidR="00EE257F"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xml:space="preserve">- stabilizacja </w:t>
      </w:r>
      <w:r w:rsidR="00322173" w:rsidRPr="007D4A73">
        <w:rPr>
          <w:rFonts w:asciiTheme="minorHAnsi" w:hAnsiTheme="minorHAnsi"/>
          <w:sz w:val="16"/>
          <w:szCs w:val="16"/>
        </w:rPr>
        <w:t>kotwami</w:t>
      </w:r>
      <w:r w:rsidRPr="007D4A73">
        <w:rPr>
          <w:rFonts w:asciiTheme="minorHAnsi" w:hAnsiTheme="minorHAnsi"/>
          <w:sz w:val="16"/>
          <w:szCs w:val="16"/>
        </w:rPr>
        <w:t xml:space="preserve"> i betonem</w:t>
      </w:r>
    </w:p>
    <w:p w14:paraId="05930A27" w14:textId="77777777" w:rsidR="00EE257F"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 wypełnienie powierzchni przylegających odpowiednim materiałem.</w:t>
      </w:r>
    </w:p>
    <w:p w14:paraId="6B915891" w14:textId="77777777" w:rsidR="00EE257F" w:rsidRPr="007D4A73" w:rsidRDefault="00EE257F" w:rsidP="00D156B5">
      <w:pPr>
        <w:pStyle w:val="Pro-Inwest"/>
        <w:jc w:val="both"/>
        <w:rPr>
          <w:rFonts w:asciiTheme="minorHAnsi" w:hAnsiTheme="minorHAnsi"/>
          <w:sz w:val="16"/>
          <w:szCs w:val="16"/>
        </w:rPr>
      </w:pPr>
    </w:p>
    <w:p w14:paraId="7301E1DC" w14:textId="5A28D572" w:rsidR="00EE257F"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10. PRZEPISY ZWIĄZANE</w:t>
      </w:r>
    </w:p>
    <w:p w14:paraId="093376DA" w14:textId="77777777" w:rsidR="00EE257F" w:rsidRPr="007D4A73" w:rsidRDefault="00D156B5" w:rsidP="00D156B5">
      <w:pPr>
        <w:pStyle w:val="Pro-Inwest"/>
        <w:jc w:val="both"/>
        <w:rPr>
          <w:rFonts w:asciiTheme="minorHAnsi" w:hAnsiTheme="minorHAnsi"/>
          <w:b/>
          <w:bCs/>
          <w:sz w:val="16"/>
          <w:szCs w:val="16"/>
        </w:rPr>
      </w:pPr>
      <w:r w:rsidRPr="007D4A73">
        <w:rPr>
          <w:rFonts w:asciiTheme="minorHAnsi" w:hAnsiTheme="minorHAnsi"/>
          <w:b/>
          <w:bCs/>
          <w:sz w:val="16"/>
          <w:szCs w:val="16"/>
        </w:rPr>
        <w:t>10.1. Normy</w:t>
      </w:r>
    </w:p>
    <w:p w14:paraId="40137E7A" w14:textId="16633B40" w:rsidR="00962978" w:rsidRPr="007D4A73" w:rsidRDefault="00D156B5" w:rsidP="00D156B5">
      <w:pPr>
        <w:pStyle w:val="Pro-Inwest"/>
        <w:jc w:val="both"/>
        <w:rPr>
          <w:rFonts w:asciiTheme="minorHAnsi" w:hAnsiTheme="minorHAnsi"/>
          <w:sz w:val="16"/>
          <w:szCs w:val="16"/>
        </w:rPr>
      </w:pPr>
      <w:r w:rsidRPr="007D4A73">
        <w:rPr>
          <w:rFonts w:asciiTheme="minorHAnsi" w:hAnsiTheme="minorHAnsi"/>
          <w:sz w:val="16"/>
          <w:szCs w:val="16"/>
        </w:rPr>
        <w:t>Należy stosować normy aktualne na dzień trwania robót</w:t>
      </w:r>
    </w:p>
    <w:sectPr w:rsidR="00962978" w:rsidRPr="007D4A73" w:rsidSect="00697D8C">
      <w:headerReference w:type="default" r:id="rId56"/>
      <w:footerReference w:type="default" r:id="rId57"/>
      <w:pgSz w:w="11906" w:h="16838"/>
      <w:pgMar w:top="1134" w:right="1417" w:bottom="1417" w:left="1417" w:header="708" w:footer="809"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387FA6" w14:textId="77777777" w:rsidR="00697D8C" w:rsidRDefault="00697D8C" w:rsidP="00FD4718">
      <w:pPr>
        <w:spacing w:after="0" w:line="240" w:lineRule="auto"/>
      </w:pPr>
      <w:r>
        <w:separator/>
      </w:r>
    </w:p>
  </w:endnote>
  <w:endnote w:type="continuationSeparator" w:id="0">
    <w:p w14:paraId="72C4A830" w14:textId="77777777" w:rsidR="00697D8C" w:rsidRDefault="00697D8C" w:rsidP="00FD47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Arial Unicode MS'">
    <w:altName w:val="OpenSymbol"/>
    <w:charset w:val="00"/>
    <w:family w:val="auto"/>
    <w:pitch w:val="default"/>
  </w:font>
  <w:font w:name="StarSymbol, 'Arial Unicode MS'">
    <w:altName w:val="Calibri"/>
    <w:charset w:val="00"/>
    <w:family w:val="auto"/>
    <w:pitch w:val="default"/>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Bookman Old Style">
    <w:panose1 w:val="02050604050505020204"/>
    <w:charset w:val="EE"/>
    <w:family w:val="roman"/>
    <w:pitch w:val="variable"/>
    <w:sig w:usb0="00000287" w:usb1="00000000" w:usb2="00000000" w:usb3="00000000" w:csb0="0000009F" w:csb1="00000000"/>
  </w:font>
  <w:font w:name="ヒラギノ角ゴ Pro W3">
    <w:charset w:val="00"/>
    <w:family w:val="roman"/>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01EE3" w14:textId="77777777" w:rsidR="00475945" w:rsidRPr="00554463" w:rsidRDefault="00475945" w:rsidP="001915C1">
    <w:pPr>
      <w:pStyle w:val="Stopka"/>
      <w:pBdr>
        <w:top w:val="single" w:sz="4" w:space="1" w:color="auto"/>
      </w:pBdr>
      <w:jc w:val="center"/>
      <w:rPr>
        <w:rFonts w:ascii="Arial Narrow" w:hAnsi="Arial Narrow"/>
        <w:i/>
        <w:sz w:val="16"/>
        <w:szCs w:val="16"/>
      </w:rPr>
    </w:pPr>
    <w:r w:rsidRPr="00F31DE6">
      <w:rPr>
        <w:rFonts w:ascii="Arial Narrow" w:hAnsi="Arial Narrow"/>
        <w:i/>
        <w:sz w:val="16"/>
        <w:szCs w:val="16"/>
      </w:rPr>
      <w:fldChar w:fldCharType="begin"/>
    </w:r>
    <w:r w:rsidRPr="00F31DE6">
      <w:rPr>
        <w:rFonts w:ascii="Arial Narrow" w:hAnsi="Arial Narrow"/>
        <w:i/>
        <w:sz w:val="16"/>
        <w:szCs w:val="16"/>
      </w:rPr>
      <w:instrText>PAGE   \* MERGEFORMAT</w:instrText>
    </w:r>
    <w:r w:rsidRPr="00F31DE6">
      <w:rPr>
        <w:rFonts w:ascii="Arial Narrow" w:hAnsi="Arial Narrow"/>
        <w:i/>
        <w:sz w:val="16"/>
        <w:szCs w:val="16"/>
      </w:rPr>
      <w:fldChar w:fldCharType="separate"/>
    </w:r>
    <w:r>
      <w:rPr>
        <w:rFonts w:ascii="Arial Narrow" w:hAnsi="Arial Narrow"/>
        <w:i/>
        <w:noProof/>
        <w:sz w:val="16"/>
        <w:szCs w:val="16"/>
      </w:rPr>
      <w:t>2</w:t>
    </w:r>
    <w:r w:rsidRPr="00F31DE6">
      <w:rPr>
        <w:rFonts w:ascii="Arial Narrow" w:hAnsi="Arial Narrow"/>
        <w: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441D82" w14:textId="77777777" w:rsidR="00697D8C" w:rsidRDefault="00697D8C" w:rsidP="00FD4718">
      <w:pPr>
        <w:spacing w:after="0" w:line="240" w:lineRule="auto"/>
      </w:pPr>
      <w:r>
        <w:separator/>
      </w:r>
    </w:p>
  </w:footnote>
  <w:footnote w:type="continuationSeparator" w:id="0">
    <w:p w14:paraId="2253BD45" w14:textId="77777777" w:rsidR="00697D8C" w:rsidRDefault="00697D8C" w:rsidP="00FD471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568FF" w14:textId="77777777" w:rsidR="00475945" w:rsidRPr="005E2534" w:rsidRDefault="00475945" w:rsidP="00FD4718">
    <w:pPr>
      <w:pStyle w:val="Nagwek"/>
      <w:pBdr>
        <w:bottom w:val="single" w:sz="4" w:space="1" w:color="auto"/>
      </w:pBdr>
      <w:jc w:val="center"/>
      <w:rPr>
        <w:i/>
        <w:caps/>
        <w:sz w:val="16"/>
        <w:szCs w:val="16"/>
      </w:rPr>
    </w:pPr>
    <w:r w:rsidRPr="005E2534">
      <w:rPr>
        <w:i/>
        <w:caps/>
        <w:sz w:val="16"/>
        <w:szCs w:val="16"/>
      </w:rPr>
      <w:t>Specyfikacja techniczna wykonania i odbioru robót budowlanych</w:t>
    </w:r>
  </w:p>
  <w:p w14:paraId="1A09C107" w14:textId="77777777" w:rsidR="00475945" w:rsidRPr="00760789" w:rsidRDefault="00475945" w:rsidP="007E14C4">
    <w:pPr>
      <w:pStyle w:val="Nagwek"/>
      <w:pBdr>
        <w:bottom w:val="single" w:sz="4" w:space="1" w:color="auto"/>
      </w:pBdr>
      <w:rPr>
        <w:rFonts w:ascii="Arial Narrow" w:hAnsi="Arial Narrow"/>
        <w:i/>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Times New Roman" w:hAnsi="Times New Roman"/>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0000003"/>
    <w:multiLevelType w:val="multilevel"/>
    <w:tmpl w:val="00000003"/>
    <w:name w:val="WW8Num3"/>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4"/>
    <w:multiLevelType w:val="singleLevel"/>
    <w:tmpl w:val="00000004"/>
    <w:name w:val="WW8Num4"/>
    <w:lvl w:ilvl="0">
      <w:start w:val="1"/>
      <w:numFmt w:val="lowerLetter"/>
      <w:lvlText w:val="%1)"/>
      <w:lvlJc w:val="left"/>
      <w:pPr>
        <w:tabs>
          <w:tab w:val="num" w:pos="283"/>
        </w:tabs>
        <w:ind w:left="0" w:firstLine="0"/>
      </w:pPr>
    </w:lvl>
  </w:abstractNum>
  <w:abstractNum w:abstractNumId="3" w15:restartNumberingAfterBreak="0">
    <w:nsid w:val="00000005"/>
    <w:multiLevelType w:val="multilevel"/>
    <w:tmpl w:val="00000005"/>
    <w:name w:val="WW8Num5"/>
    <w:lvl w:ilvl="0">
      <w:start w:val="1"/>
      <w:numFmt w:val="lowerLetter"/>
      <w:lvlText w:val="%1)"/>
      <w:lvlJc w:val="left"/>
      <w:pPr>
        <w:tabs>
          <w:tab w:val="num" w:pos="284"/>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4" w15:restartNumberingAfterBreak="0">
    <w:nsid w:val="00000006"/>
    <w:multiLevelType w:val="multilevel"/>
    <w:tmpl w:val="00000006"/>
    <w:name w:val="WW8Num6"/>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5" w15:restartNumberingAfterBreak="0">
    <w:nsid w:val="00000007"/>
    <w:multiLevelType w:val="multilevel"/>
    <w:tmpl w:val="00000007"/>
    <w:name w:val="WW8Num7"/>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6" w15:restartNumberingAfterBreak="0">
    <w:nsid w:val="00000008"/>
    <w:multiLevelType w:val="multilevel"/>
    <w:tmpl w:val="00000008"/>
    <w:name w:val="WW8Num8"/>
    <w:lvl w:ilvl="0">
      <w:start w:val="2"/>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7" w15:restartNumberingAfterBreak="0">
    <w:nsid w:val="00000009"/>
    <w:multiLevelType w:val="multilevel"/>
    <w:tmpl w:val="00000009"/>
    <w:name w:val="WW8Num9"/>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8" w15:restartNumberingAfterBreak="0">
    <w:nsid w:val="0000000A"/>
    <w:multiLevelType w:val="multilevel"/>
    <w:tmpl w:val="0000000A"/>
    <w:name w:val="WW8Num10"/>
    <w:lvl w:ilvl="0">
      <w:start w:val="1"/>
      <w:numFmt w:val="decimal"/>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9" w15:restartNumberingAfterBreak="0">
    <w:nsid w:val="0000000B"/>
    <w:multiLevelType w:val="multilevel"/>
    <w:tmpl w:val="0000000B"/>
    <w:name w:val="WW8Num11"/>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0" w15:restartNumberingAfterBreak="0">
    <w:nsid w:val="0000000C"/>
    <w:multiLevelType w:val="multilevel"/>
    <w:tmpl w:val="0000000C"/>
    <w:name w:val="WW8Num12"/>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1" w15:restartNumberingAfterBreak="0">
    <w:nsid w:val="0000000D"/>
    <w:multiLevelType w:val="multilevel"/>
    <w:tmpl w:val="0000000D"/>
    <w:name w:val="WW8Num13"/>
    <w:lvl w:ilvl="0">
      <w:start w:val="1"/>
      <w:numFmt w:val="decimal"/>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2" w15:restartNumberingAfterBreak="0">
    <w:nsid w:val="0000000E"/>
    <w:multiLevelType w:val="multilevel"/>
    <w:tmpl w:val="0000000E"/>
    <w:name w:val="WW8Num14"/>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3" w15:restartNumberingAfterBreak="0">
    <w:nsid w:val="0000000F"/>
    <w:multiLevelType w:val="multilevel"/>
    <w:tmpl w:val="0000000F"/>
    <w:name w:val="WW8Num15"/>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4" w15:restartNumberingAfterBreak="0">
    <w:nsid w:val="00000010"/>
    <w:multiLevelType w:val="multilevel"/>
    <w:tmpl w:val="00000010"/>
    <w:name w:val="WW8Num16"/>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5" w15:restartNumberingAfterBreak="0">
    <w:nsid w:val="00000011"/>
    <w:multiLevelType w:val="multilevel"/>
    <w:tmpl w:val="00000011"/>
    <w:name w:val="WW8Num17"/>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6" w15:restartNumberingAfterBreak="0">
    <w:nsid w:val="00000012"/>
    <w:multiLevelType w:val="multilevel"/>
    <w:tmpl w:val="00000012"/>
    <w:name w:val="WW8Num18"/>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7" w15:restartNumberingAfterBreak="0">
    <w:nsid w:val="00000013"/>
    <w:multiLevelType w:val="multilevel"/>
    <w:tmpl w:val="00000013"/>
    <w:name w:val="WW8Num19"/>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8" w15:restartNumberingAfterBreak="0">
    <w:nsid w:val="00000014"/>
    <w:multiLevelType w:val="multilevel"/>
    <w:tmpl w:val="00000014"/>
    <w:name w:val="WW8Num20"/>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9" w15:restartNumberingAfterBreak="0">
    <w:nsid w:val="00000015"/>
    <w:multiLevelType w:val="multilevel"/>
    <w:tmpl w:val="00000015"/>
    <w:name w:val="WW8Num21"/>
    <w:lvl w:ilvl="0">
      <w:start w:val="1"/>
      <w:numFmt w:val="decimal"/>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0" w15:restartNumberingAfterBreak="0">
    <w:nsid w:val="00000016"/>
    <w:multiLevelType w:val="multilevel"/>
    <w:tmpl w:val="00000016"/>
    <w:name w:val="WW8Num22"/>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1" w15:restartNumberingAfterBreak="0">
    <w:nsid w:val="00000017"/>
    <w:multiLevelType w:val="multilevel"/>
    <w:tmpl w:val="00000017"/>
    <w:name w:val="WW8Num23"/>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2" w15:restartNumberingAfterBreak="0">
    <w:nsid w:val="00000018"/>
    <w:multiLevelType w:val="multilevel"/>
    <w:tmpl w:val="00000018"/>
    <w:name w:val="WW8Num24"/>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3" w15:restartNumberingAfterBreak="0">
    <w:nsid w:val="00000019"/>
    <w:multiLevelType w:val="multilevel"/>
    <w:tmpl w:val="00000019"/>
    <w:name w:val="WW8Num25"/>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4" w15:restartNumberingAfterBreak="0">
    <w:nsid w:val="0000001A"/>
    <w:multiLevelType w:val="singleLevel"/>
    <w:tmpl w:val="0000001A"/>
    <w:name w:val="WW8Num26"/>
    <w:lvl w:ilvl="0">
      <w:numFmt w:val="bullet"/>
      <w:lvlText w:val=""/>
      <w:lvlJc w:val="left"/>
      <w:pPr>
        <w:tabs>
          <w:tab w:val="num" w:pos="283"/>
        </w:tabs>
        <w:ind w:left="0" w:firstLine="0"/>
      </w:pPr>
      <w:rPr>
        <w:rFonts w:ascii="Symbol" w:hAnsi="Symbol"/>
      </w:rPr>
    </w:lvl>
  </w:abstractNum>
  <w:abstractNum w:abstractNumId="25" w15:restartNumberingAfterBreak="0">
    <w:nsid w:val="0000001B"/>
    <w:multiLevelType w:val="singleLevel"/>
    <w:tmpl w:val="0000001B"/>
    <w:name w:val="WW8Num27"/>
    <w:lvl w:ilvl="0">
      <w:numFmt w:val="bullet"/>
      <w:lvlText w:val=""/>
      <w:lvlJc w:val="left"/>
      <w:pPr>
        <w:tabs>
          <w:tab w:val="num" w:pos="283"/>
        </w:tabs>
        <w:ind w:left="0" w:firstLine="0"/>
      </w:pPr>
      <w:rPr>
        <w:rFonts w:ascii="Symbol" w:hAnsi="Symbol"/>
      </w:rPr>
    </w:lvl>
  </w:abstractNum>
  <w:abstractNum w:abstractNumId="26" w15:restartNumberingAfterBreak="0">
    <w:nsid w:val="0000001C"/>
    <w:multiLevelType w:val="singleLevel"/>
    <w:tmpl w:val="0000001C"/>
    <w:name w:val="WW8Num28"/>
    <w:lvl w:ilvl="0">
      <w:start w:val="1"/>
      <w:numFmt w:val="bullet"/>
      <w:lvlText w:val=""/>
      <w:lvlJc w:val="left"/>
      <w:pPr>
        <w:tabs>
          <w:tab w:val="num" w:pos="283"/>
        </w:tabs>
        <w:ind w:left="0" w:firstLine="0"/>
      </w:pPr>
      <w:rPr>
        <w:rFonts w:ascii="Symbol" w:hAnsi="Symbol"/>
      </w:rPr>
    </w:lvl>
  </w:abstractNum>
  <w:abstractNum w:abstractNumId="27" w15:restartNumberingAfterBreak="0">
    <w:nsid w:val="0000001D"/>
    <w:multiLevelType w:val="multilevel"/>
    <w:tmpl w:val="0000001D"/>
    <w:name w:val="WW8Num29"/>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8" w15:restartNumberingAfterBreak="0">
    <w:nsid w:val="0000001E"/>
    <w:multiLevelType w:val="multilevel"/>
    <w:tmpl w:val="0000001E"/>
    <w:name w:val="WW8Num30"/>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9" w15:restartNumberingAfterBreak="0">
    <w:nsid w:val="0000001F"/>
    <w:multiLevelType w:val="singleLevel"/>
    <w:tmpl w:val="0000001F"/>
    <w:name w:val="WW8Num31"/>
    <w:lvl w:ilvl="0">
      <w:start w:val="1"/>
      <w:numFmt w:val="bullet"/>
      <w:lvlText w:val=""/>
      <w:lvlJc w:val="left"/>
      <w:pPr>
        <w:tabs>
          <w:tab w:val="num" w:pos="283"/>
        </w:tabs>
        <w:ind w:left="0" w:firstLine="0"/>
      </w:pPr>
      <w:rPr>
        <w:rFonts w:ascii="Symbol" w:hAnsi="Symbol"/>
      </w:rPr>
    </w:lvl>
  </w:abstractNum>
  <w:abstractNum w:abstractNumId="30" w15:restartNumberingAfterBreak="0">
    <w:nsid w:val="00000020"/>
    <w:multiLevelType w:val="multilevel"/>
    <w:tmpl w:val="00000020"/>
    <w:name w:val="WW8Num32"/>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31" w15:restartNumberingAfterBreak="0">
    <w:nsid w:val="00000021"/>
    <w:multiLevelType w:val="multilevel"/>
    <w:tmpl w:val="00000021"/>
    <w:name w:val="WW8Num33"/>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32" w15:restartNumberingAfterBreak="0">
    <w:nsid w:val="00000023"/>
    <w:multiLevelType w:val="multilevel"/>
    <w:tmpl w:val="00000023"/>
    <w:name w:val="WW8Num35"/>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33" w15:restartNumberingAfterBreak="0">
    <w:nsid w:val="00000025"/>
    <w:multiLevelType w:val="multilevel"/>
    <w:tmpl w:val="00000025"/>
    <w:name w:val="WW8Num37"/>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34" w15:restartNumberingAfterBreak="0">
    <w:nsid w:val="00000026"/>
    <w:multiLevelType w:val="multilevel"/>
    <w:tmpl w:val="00000026"/>
    <w:name w:val="WW8Num38"/>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35" w15:restartNumberingAfterBreak="0">
    <w:nsid w:val="00000027"/>
    <w:multiLevelType w:val="multilevel"/>
    <w:tmpl w:val="00000027"/>
    <w:name w:val="WW8Num39"/>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36" w15:restartNumberingAfterBreak="0">
    <w:nsid w:val="00000028"/>
    <w:multiLevelType w:val="multilevel"/>
    <w:tmpl w:val="00000028"/>
    <w:name w:val="WW8Num40"/>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37" w15:restartNumberingAfterBreak="0">
    <w:nsid w:val="00000029"/>
    <w:multiLevelType w:val="multilevel"/>
    <w:tmpl w:val="00000029"/>
    <w:name w:val="WW8Num41"/>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38" w15:restartNumberingAfterBreak="0">
    <w:nsid w:val="0000002A"/>
    <w:multiLevelType w:val="multilevel"/>
    <w:tmpl w:val="0000002A"/>
    <w:name w:val="WW8Num42"/>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39" w15:restartNumberingAfterBreak="0">
    <w:nsid w:val="0000002F"/>
    <w:multiLevelType w:val="singleLevel"/>
    <w:tmpl w:val="0000002F"/>
    <w:name w:val="WW8Num47"/>
    <w:lvl w:ilvl="0">
      <w:start w:val="1"/>
      <w:numFmt w:val="bullet"/>
      <w:lvlText w:val=""/>
      <w:lvlJc w:val="left"/>
      <w:pPr>
        <w:tabs>
          <w:tab w:val="num" w:pos="283"/>
        </w:tabs>
        <w:ind w:left="283" w:hanging="283"/>
      </w:pPr>
      <w:rPr>
        <w:rFonts w:ascii="Symbol" w:hAnsi="Symbol"/>
        <w:sz w:val="20"/>
      </w:rPr>
    </w:lvl>
  </w:abstractNum>
  <w:abstractNum w:abstractNumId="40" w15:restartNumberingAfterBreak="0">
    <w:nsid w:val="00000030"/>
    <w:multiLevelType w:val="singleLevel"/>
    <w:tmpl w:val="00000030"/>
    <w:name w:val="WW8Num48"/>
    <w:lvl w:ilvl="0">
      <w:start w:val="1"/>
      <w:numFmt w:val="bullet"/>
      <w:lvlText w:val=""/>
      <w:lvlJc w:val="left"/>
      <w:pPr>
        <w:tabs>
          <w:tab w:val="num" w:pos="283"/>
        </w:tabs>
        <w:ind w:left="283" w:hanging="283"/>
      </w:pPr>
      <w:rPr>
        <w:rFonts w:ascii="Symbol" w:hAnsi="Symbol"/>
      </w:rPr>
    </w:lvl>
  </w:abstractNum>
  <w:abstractNum w:abstractNumId="41" w15:restartNumberingAfterBreak="0">
    <w:nsid w:val="00000031"/>
    <w:multiLevelType w:val="multilevel"/>
    <w:tmpl w:val="00000031"/>
    <w:name w:val="WW8Num49"/>
    <w:lvl w:ilvl="0">
      <w:start w:val="1"/>
      <w:numFmt w:val="lowerLetter"/>
      <w:lvlText w:val="%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2" w15:restartNumberingAfterBreak="0">
    <w:nsid w:val="00000036"/>
    <w:multiLevelType w:val="singleLevel"/>
    <w:tmpl w:val="00000036"/>
    <w:name w:val="WW8Num54"/>
    <w:lvl w:ilvl="0">
      <w:numFmt w:val="bullet"/>
      <w:lvlText w:val=""/>
      <w:lvlJc w:val="left"/>
      <w:pPr>
        <w:tabs>
          <w:tab w:val="num" w:pos="0"/>
        </w:tabs>
        <w:ind w:left="0" w:firstLine="0"/>
      </w:pPr>
      <w:rPr>
        <w:rFonts w:ascii="Symbol" w:hAnsi="Symbol"/>
      </w:rPr>
    </w:lvl>
  </w:abstractNum>
  <w:abstractNum w:abstractNumId="43" w15:restartNumberingAfterBreak="0">
    <w:nsid w:val="0000003D"/>
    <w:multiLevelType w:val="multilevel"/>
    <w:tmpl w:val="0000003D"/>
    <w:name w:val="WW8Num61"/>
    <w:lvl w:ilvl="0">
      <w:start w:val="1"/>
      <w:numFmt w:val="decimal"/>
      <w:lvlText w:val="1.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4" w15:restartNumberingAfterBreak="0">
    <w:nsid w:val="0000003F"/>
    <w:multiLevelType w:val="multilevel"/>
    <w:tmpl w:val="0000003F"/>
    <w:name w:val="WW8Num63"/>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 w15:restartNumberingAfterBreak="0">
    <w:nsid w:val="00000040"/>
    <w:multiLevelType w:val="multilevel"/>
    <w:tmpl w:val="00000040"/>
    <w:name w:val="WW8Num64"/>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6" w15:restartNumberingAfterBreak="0">
    <w:nsid w:val="00000041"/>
    <w:multiLevelType w:val="multilevel"/>
    <w:tmpl w:val="00000041"/>
    <w:name w:val="WW8Num6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 w15:restartNumberingAfterBreak="0">
    <w:nsid w:val="00000042"/>
    <w:multiLevelType w:val="multilevel"/>
    <w:tmpl w:val="00000042"/>
    <w:name w:val="WW8Num6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8" w15:restartNumberingAfterBreak="0">
    <w:nsid w:val="00000043"/>
    <w:multiLevelType w:val="multilevel"/>
    <w:tmpl w:val="00000043"/>
    <w:name w:val="WW8Num6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9" w15:restartNumberingAfterBreak="0">
    <w:nsid w:val="00000044"/>
    <w:multiLevelType w:val="multilevel"/>
    <w:tmpl w:val="00000044"/>
    <w:name w:val="WW8Num68"/>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15:restartNumberingAfterBreak="0">
    <w:nsid w:val="00000045"/>
    <w:multiLevelType w:val="multilevel"/>
    <w:tmpl w:val="00000045"/>
    <w:name w:val="WW8Num69"/>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1" w15:restartNumberingAfterBreak="0">
    <w:nsid w:val="00000046"/>
    <w:multiLevelType w:val="multilevel"/>
    <w:tmpl w:val="00000046"/>
    <w:name w:val="WW8Num70"/>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15:restartNumberingAfterBreak="0">
    <w:nsid w:val="00000047"/>
    <w:multiLevelType w:val="multilevel"/>
    <w:tmpl w:val="00000047"/>
    <w:name w:val="WW8Num7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3" w15:restartNumberingAfterBreak="0">
    <w:nsid w:val="00000048"/>
    <w:multiLevelType w:val="multilevel"/>
    <w:tmpl w:val="00000048"/>
    <w:name w:val="WW8Num72"/>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4" w15:restartNumberingAfterBreak="0">
    <w:nsid w:val="00000049"/>
    <w:multiLevelType w:val="multilevel"/>
    <w:tmpl w:val="00000049"/>
    <w:name w:val="WW8Num73"/>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5" w15:restartNumberingAfterBreak="0">
    <w:nsid w:val="0000004A"/>
    <w:multiLevelType w:val="multilevel"/>
    <w:tmpl w:val="0000004A"/>
    <w:name w:val="WW8Num74"/>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6" w15:restartNumberingAfterBreak="0">
    <w:nsid w:val="0000004B"/>
    <w:multiLevelType w:val="multilevel"/>
    <w:tmpl w:val="0000004B"/>
    <w:name w:val="WW8Num7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7" w15:restartNumberingAfterBreak="0">
    <w:nsid w:val="0000004C"/>
    <w:multiLevelType w:val="multilevel"/>
    <w:tmpl w:val="0000004C"/>
    <w:name w:val="WW8Num7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8" w15:restartNumberingAfterBreak="0">
    <w:nsid w:val="0000004D"/>
    <w:multiLevelType w:val="multilevel"/>
    <w:tmpl w:val="0000004D"/>
    <w:name w:val="WW8Num7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9" w15:restartNumberingAfterBreak="0">
    <w:nsid w:val="0000004E"/>
    <w:multiLevelType w:val="multilevel"/>
    <w:tmpl w:val="0000004E"/>
    <w:name w:val="WW8Num78"/>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0" w15:restartNumberingAfterBreak="0">
    <w:nsid w:val="0000004F"/>
    <w:multiLevelType w:val="multilevel"/>
    <w:tmpl w:val="0000004F"/>
    <w:name w:val="WW8Num79"/>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00000050"/>
    <w:multiLevelType w:val="multilevel"/>
    <w:tmpl w:val="00000050"/>
    <w:name w:val="WW8Num80"/>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2" w15:restartNumberingAfterBreak="0">
    <w:nsid w:val="00000051"/>
    <w:multiLevelType w:val="multilevel"/>
    <w:tmpl w:val="00000051"/>
    <w:name w:val="WW8Num8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3" w15:restartNumberingAfterBreak="0">
    <w:nsid w:val="00000052"/>
    <w:multiLevelType w:val="multilevel"/>
    <w:tmpl w:val="00000052"/>
    <w:name w:val="WW8Num82"/>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4" w15:restartNumberingAfterBreak="0">
    <w:nsid w:val="00000053"/>
    <w:multiLevelType w:val="multilevel"/>
    <w:tmpl w:val="00000053"/>
    <w:name w:val="WW8Num83"/>
    <w:lvl w:ilvl="0">
      <w:start w:val="4"/>
      <w:numFmt w:val="decimal"/>
      <w:lvlText w:val="6.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5" w15:restartNumberingAfterBreak="0">
    <w:nsid w:val="00000054"/>
    <w:multiLevelType w:val="multilevel"/>
    <w:tmpl w:val="00000054"/>
    <w:name w:val="WW8Num84"/>
    <w:lvl w:ilvl="0">
      <w:start w:val="5"/>
      <w:numFmt w:val="decimal"/>
      <w:lvlText w:val="6.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6" w15:restartNumberingAfterBreak="0">
    <w:nsid w:val="00000055"/>
    <w:multiLevelType w:val="multilevel"/>
    <w:tmpl w:val="00000055"/>
    <w:name w:val="WW8Num8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7" w15:restartNumberingAfterBreak="0">
    <w:nsid w:val="00000056"/>
    <w:multiLevelType w:val="multilevel"/>
    <w:tmpl w:val="00000056"/>
    <w:name w:val="WW8Num8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8" w15:restartNumberingAfterBreak="0">
    <w:nsid w:val="00000057"/>
    <w:multiLevelType w:val="multilevel"/>
    <w:tmpl w:val="00000057"/>
    <w:name w:val="WW8Num87"/>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9" w15:restartNumberingAfterBreak="0">
    <w:nsid w:val="00000058"/>
    <w:multiLevelType w:val="multilevel"/>
    <w:tmpl w:val="00000058"/>
    <w:name w:val="WW8Num88"/>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0" w15:restartNumberingAfterBreak="0">
    <w:nsid w:val="00000059"/>
    <w:multiLevelType w:val="multilevel"/>
    <w:tmpl w:val="00000059"/>
    <w:name w:val="WW8Num89"/>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1" w15:restartNumberingAfterBreak="0">
    <w:nsid w:val="0000005A"/>
    <w:multiLevelType w:val="multilevel"/>
    <w:tmpl w:val="0000005A"/>
    <w:name w:val="WW8Num90"/>
    <w:lvl w:ilvl="0">
      <w:start w:val="21"/>
      <w:numFmt w:val="decimal"/>
      <w:lvlText w:val="%1."/>
      <w:lvlJc w:val="left"/>
      <w:pPr>
        <w:tabs>
          <w:tab w:val="num" w:pos="340"/>
        </w:tabs>
        <w:ind w:left="340" w:hanging="34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2" w15:restartNumberingAfterBreak="0">
    <w:nsid w:val="00000064"/>
    <w:multiLevelType w:val="multilevel"/>
    <w:tmpl w:val="00000064"/>
    <w:name w:val="WW8Num100"/>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3" w15:restartNumberingAfterBreak="0">
    <w:nsid w:val="00000065"/>
    <w:multiLevelType w:val="multilevel"/>
    <w:tmpl w:val="00000065"/>
    <w:name w:val="WW8Num10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4" w15:restartNumberingAfterBreak="0">
    <w:nsid w:val="00000066"/>
    <w:multiLevelType w:val="multilevel"/>
    <w:tmpl w:val="00000066"/>
    <w:name w:val="WW8Num102"/>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5" w15:restartNumberingAfterBreak="0">
    <w:nsid w:val="00000067"/>
    <w:multiLevelType w:val="multilevel"/>
    <w:tmpl w:val="00000067"/>
    <w:name w:val="WW8Num103"/>
    <w:lvl w:ilvl="0">
      <w:start w:val="31"/>
      <w:numFmt w:val="decimal"/>
      <w:lvlText w:val="%1."/>
      <w:lvlJc w:val="left"/>
      <w:pPr>
        <w:tabs>
          <w:tab w:val="num" w:pos="454"/>
        </w:tabs>
        <w:ind w:left="454" w:hanging="454"/>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6" w15:restartNumberingAfterBreak="0">
    <w:nsid w:val="00000069"/>
    <w:multiLevelType w:val="multilevel"/>
    <w:tmpl w:val="00000069"/>
    <w:name w:val="WW8Num105"/>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7" w15:restartNumberingAfterBreak="0">
    <w:nsid w:val="0000006A"/>
    <w:multiLevelType w:val="multilevel"/>
    <w:tmpl w:val="0000006A"/>
    <w:name w:val="WW8Num10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8" w15:restartNumberingAfterBreak="0">
    <w:nsid w:val="0000006B"/>
    <w:multiLevelType w:val="singleLevel"/>
    <w:tmpl w:val="0000006B"/>
    <w:name w:val="WW8Num107"/>
    <w:lvl w:ilvl="0">
      <w:numFmt w:val="bullet"/>
      <w:lvlText w:val=""/>
      <w:lvlJc w:val="left"/>
      <w:pPr>
        <w:tabs>
          <w:tab w:val="num" w:pos="0"/>
        </w:tabs>
        <w:ind w:left="283" w:hanging="283"/>
      </w:pPr>
      <w:rPr>
        <w:rFonts w:ascii="Symbol" w:hAnsi="Symbol"/>
      </w:rPr>
    </w:lvl>
  </w:abstractNum>
  <w:abstractNum w:abstractNumId="79" w15:restartNumberingAfterBreak="0">
    <w:nsid w:val="0000006C"/>
    <w:multiLevelType w:val="multilevel"/>
    <w:tmpl w:val="0000006C"/>
    <w:name w:val="WW8Num10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80" w15:restartNumberingAfterBreak="0">
    <w:nsid w:val="0000006D"/>
    <w:multiLevelType w:val="multilevel"/>
    <w:tmpl w:val="0000006D"/>
    <w:name w:val="WW8Num109"/>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81" w15:restartNumberingAfterBreak="0">
    <w:nsid w:val="0000006E"/>
    <w:multiLevelType w:val="multilevel"/>
    <w:tmpl w:val="0000006E"/>
    <w:name w:val="WW8Num11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82" w15:restartNumberingAfterBreak="0">
    <w:nsid w:val="0000006F"/>
    <w:multiLevelType w:val="singleLevel"/>
    <w:tmpl w:val="0000006F"/>
    <w:name w:val="WW8Num113"/>
    <w:lvl w:ilvl="0">
      <w:numFmt w:val="bullet"/>
      <w:lvlText w:val=""/>
      <w:lvlJc w:val="left"/>
      <w:pPr>
        <w:tabs>
          <w:tab w:val="num" w:pos="0"/>
        </w:tabs>
        <w:ind w:left="283" w:hanging="283"/>
      </w:pPr>
      <w:rPr>
        <w:rFonts w:ascii="Symbol" w:hAnsi="Symbol"/>
      </w:rPr>
    </w:lvl>
  </w:abstractNum>
  <w:abstractNum w:abstractNumId="83" w15:restartNumberingAfterBreak="0">
    <w:nsid w:val="00000070"/>
    <w:multiLevelType w:val="singleLevel"/>
    <w:tmpl w:val="00000070"/>
    <w:name w:val="WW8Num114"/>
    <w:lvl w:ilvl="0">
      <w:numFmt w:val="bullet"/>
      <w:lvlText w:val=""/>
      <w:lvlJc w:val="left"/>
      <w:pPr>
        <w:tabs>
          <w:tab w:val="num" w:pos="0"/>
        </w:tabs>
        <w:ind w:left="619" w:hanging="283"/>
      </w:pPr>
      <w:rPr>
        <w:rFonts w:ascii="Symbol" w:hAnsi="Symbol"/>
      </w:rPr>
    </w:lvl>
  </w:abstractNum>
  <w:abstractNum w:abstractNumId="84" w15:restartNumberingAfterBreak="0">
    <w:nsid w:val="00000073"/>
    <w:multiLevelType w:val="multilevel"/>
    <w:tmpl w:val="00000073"/>
    <w:name w:val="WW8Num11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5" w15:restartNumberingAfterBreak="0">
    <w:nsid w:val="00000074"/>
    <w:multiLevelType w:val="multilevel"/>
    <w:tmpl w:val="00000074"/>
    <w:name w:val="WW8Num11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86" w15:restartNumberingAfterBreak="0">
    <w:nsid w:val="00000075"/>
    <w:multiLevelType w:val="multilevel"/>
    <w:tmpl w:val="00000075"/>
    <w:name w:val="WW8Num119"/>
    <w:lvl w:ilvl="0">
      <w:start w:val="1"/>
      <w:numFmt w:val="decimal"/>
      <w:lvlText w:val="6.2.%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7" w15:restartNumberingAfterBreak="0">
    <w:nsid w:val="00000076"/>
    <w:multiLevelType w:val="multilevel"/>
    <w:tmpl w:val="00000076"/>
    <w:name w:val="WW8Num120"/>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8" w15:restartNumberingAfterBreak="0">
    <w:nsid w:val="00000079"/>
    <w:multiLevelType w:val="multilevel"/>
    <w:tmpl w:val="00000079"/>
    <w:name w:val="WW8Num121"/>
    <w:lvl w:ilvl="0">
      <w:start w:val="3"/>
      <w:numFmt w:val="decimal"/>
      <w:lvlText w:val="2.2.%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9" w15:restartNumberingAfterBreak="0">
    <w:nsid w:val="0000007A"/>
    <w:multiLevelType w:val="multilevel"/>
    <w:tmpl w:val="0000007A"/>
    <w:name w:val="WW8Num122"/>
    <w:lvl w:ilvl="0">
      <w:start w:val="1"/>
      <w:numFmt w:val="decimal"/>
      <w:lvlText w:val="2.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0" w15:restartNumberingAfterBreak="0">
    <w:nsid w:val="0000007B"/>
    <w:multiLevelType w:val="multilevel"/>
    <w:tmpl w:val="0000007B"/>
    <w:name w:val="WW8Num123"/>
    <w:lvl w:ilvl="0">
      <w:start w:val="2"/>
      <w:numFmt w:val="decimal"/>
      <w:lvlText w:val="2.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1" w15:restartNumberingAfterBreak="0">
    <w:nsid w:val="0000007C"/>
    <w:multiLevelType w:val="multilevel"/>
    <w:tmpl w:val="0000007C"/>
    <w:name w:val="WW8Num124"/>
    <w:lvl w:ilvl="0">
      <w:start w:val="1"/>
      <w:numFmt w:val="decimal"/>
      <w:lvlText w:val="2.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2" w15:restartNumberingAfterBreak="0">
    <w:nsid w:val="0000007D"/>
    <w:multiLevelType w:val="multilevel"/>
    <w:tmpl w:val="0000007D"/>
    <w:name w:val="WW8Num125"/>
    <w:lvl w:ilvl="0">
      <w:start w:val="2"/>
      <w:numFmt w:val="decimal"/>
      <w:lvlText w:val="2.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3" w15:restartNumberingAfterBreak="0">
    <w:nsid w:val="0000007E"/>
    <w:multiLevelType w:val="multilevel"/>
    <w:tmpl w:val="0000007E"/>
    <w:name w:val="WW8Num12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4" w15:restartNumberingAfterBreak="0">
    <w:nsid w:val="0000007F"/>
    <w:multiLevelType w:val="multilevel"/>
    <w:tmpl w:val="0000007F"/>
    <w:name w:val="WW8Num127"/>
    <w:lvl w:ilvl="0">
      <w:start w:val="3"/>
      <w:numFmt w:val="decimal"/>
      <w:lvlText w:val="2.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5" w15:restartNumberingAfterBreak="0">
    <w:nsid w:val="00000080"/>
    <w:multiLevelType w:val="multilevel"/>
    <w:tmpl w:val="00000080"/>
    <w:name w:val="WW8Num128"/>
    <w:lvl w:ilvl="0">
      <w:start w:val="4"/>
      <w:numFmt w:val="decimal"/>
      <w:lvlText w:val="2.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6" w15:restartNumberingAfterBreak="0">
    <w:nsid w:val="00000081"/>
    <w:multiLevelType w:val="multilevel"/>
    <w:tmpl w:val="00000081"/>
    <w:name w:val="WW8Num129"/>
    <w:lvl w:ilvl="0">
      <w:start w:val="5"/>
      <w:numFmt w:val="decimal"/>
      <w:lvlText w:val="2.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7" w15:restartNumberingAfterBreak="0">
    <w:nsid w:val="00000082"/>
    <w:multiLevelType w:val="multilevel"/>
    <w:tmpl w:val="00000082"/>
    <w:name w:val="WW8Num130"/>
    <w:lvl w:ilvl="0">
      <w:start w:val="6"/>
      <w:numFmt w:val="decimal"/>
      <w:lvlText w:val="2.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8" w15:restartNumberingAfterBreak="0">
    <w:nsid w:val="00000083"/>
    <w:multiLevelType w:val="multilevel"/>
    <w:tmpl w:val="00000083"/>
    <w:name w:val="WW8Num13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9" w15:restartNumberingAfterBreak="0">
    <w:nsid w:val="00000084"/>
    <w:multiLevelType w:val="multilevel"/>
    <w:tmpl w:val="00000084"/>
    <w:name w:val="WW8Num132"/>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0" w15:restartNumberingAfterBreak="0">
    <w:nsid w:val="00000085"/>
    <w:multiLevelType w:val="multilevel"/>
    <w:tmpl w:val="00000085"/>
    <w:name w:val="WW8Num133"/>
    <w:lvl w:ilvl="0">
      <w:start w:val="3"/>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1" w15:restartNumberingAfterBreak="0">
    <w:nsid w:val="00000086"/>
    <w:multiLevelType w:val="multilevel"/>
    <w:tmpl w:val="00000086"/>
    <w:name w:val="WW8Num13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02" w15:restartNumberingAfterBreak="0">
    <w:nsid w:val="00000087"/>
    <w:multiLevelType w:val="multilevel"/>
    <w:tmpl w:val="00000087"/>
    <w:name w:val="WW8Num13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3" w15:restartNumberingAfterBreak="0">
    <w:nsid w:val="00000088"/>
    <w:multiLevelType w:val="multilevel"/>
    <w:tmpl w:val="00000088"/>
    <w:name w:val="WW8Num13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04" w15:restartNumberingAfterBreak="0">
    <w:nsid w:val="00000089"/>
    <w:multiLevelType w:val="multilevel"/>
    <w:tmpl w:val="00000089"/>
    <w:name w:val="WW8Num139"/>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05" w15:restartNumberingAfterBreak="0">
    <w:nsid w:val="0000008A"/>
    <w:multiLevelType w:val="multilevel"/>
    <w:tmpl w:val="0000008A"/>
    <w:name w:val="WW8Num140"/>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06" w15:restartNumberingAfterBreak="0">
    <w:nsid w:val="0000008B"/>
    <w:multiLevelType w:val="multilevel"/>
    <w:tmpl w:val="0000008B"/>
    <w:name w:val="WW8Num141"/>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07" w15:restartNumberingAfterBreak="0">
    <w:nsid w:val="0000008C"/>
    <w:multiLevelType w:val="multilevel"/>
    <w:tmpl w:val="0000008C"/>
    <w:name w:val="WW8Num14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08" w15:restartNumberingAfterBreak="0">
    <w:nsid w:val="0000008E"/>
    <w:multiLevelType w:val="multilevel"/>
    <w:tmpl w:val="ED64AFB2"/>
    <w:lvl w:ilvl="0">
      <w:start w:val="1"/>
      <w:numFmt w:val="decimal"/>
      <w:lvlText w:val="%1."/>
      <w:lvlJc w:val="left"/>
      <w:pPr>
        <w:tabs>
          <w:tab w:val="num" w:pos="283"/>
        </w:tabs>
        <w:ind w:left="283" w:hanging="283"/>
      </w:pPr>
      <w:rPr>
        <w:rFonts w:asciiTheme="minorHAnsi" w:eastAsiaTheme="minorHAnsi" w:hAnsiTheme="minorHAnsi" w:cstheme="minorBid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9" w15:restartNumberingAfterBreak="0">
    <w:nsid w:val="0000008F"/>
    <w:multiLevelType w:val="multilevel"/>
    <w:tmpl w:val="0000008F"/>
    <w:name w:val="WW8Num143"/>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0" w15:restartNumberingAfterBreak="0">
    <w:nsid w:val="00000090"/>
    <w:multiLevelType w:val="multilevel"/>
    <w:tmpl w:val="00000090"/>
    <w:name w:val="WW8Num144"/>
    <w:lvl w:ilvl="0">
      <w:start w:val="6"/>
      <w:numFmt w:val="decimal"/>
      <w:lvlText w:val="5.1.1.%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1" w15:restartNumberingAfterBreak="0">
    <w:nsid w:val="00000091"/>
    <w:multiLevelType w:val="multilevel"/>
    <w:tmpl w:val="00000091"/>
    <w:name w:val="WW8Num145"/>
    <w:lvl w:ilvl="0">
      <w:start w:val="7"/>
      <w:numFmt w:val="decimal"/>
      <w:lvlText w:val="5.1.1.%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2" w15:restartNumberingAfterBreak="0">
    <w:nsid w:val="00000092"/>
    <w:multiLevelType w:val="multilevel"/>
    <w:tmpl w:val="00000092"/>
    <w:name w:val="WW8Num146"/>
    <w:lvl w:ilvl="0">
      <w:start w:val="2"/>
      <w:numFmt w:val="decimal"/>
      <w:lvlText w:val="5.1.1.7.%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3" w15:restartNumberingAfterBreak="0">
    <w:nsid w:val="00000093"/>
    <w:multiLevelType w:val="multilevel"/>
    <w:tmpl w:val="00000093"/>
    <w:name w:val="WW8Num147"/>
    <w:lvl w:ilvl="0">
      <w:start w:val="3"/>
      <w:numFmt w:val="decimal"/>
      <w:lvlText w:val="5.1.1.7.%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4" w15:restartNumberingAfterBreak="0">
    <w:nsid w:val="00000094"/>
    <w:multiLevelType w:val="multilevel"/>
    <w:tmpl w:val="00000094"/>
    <w:name w:val="WW8Num148"/>
    <w:lvl w:ilvl="0">
      <w:start w:val="8"/>
      <w:numFmt w:val="decimal"/>
      <w:lvlText w:val="5.1.%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5" w15:restartNumberingAfterBreak="0">
    <w:nsid w:val="00000095"/>
    <w:multiLevelType w:val="multilevel"/>
    <w:tmpl w:val="00000095"/>
    <w:name w:val="WW8Num149"/>
    <w:lvl w:ilvl="0">
      <w:start w:val="2"/>
      <w:numFmt w:val="decimal"/>
      <w:lvlText w:val="5.1.8.%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6" w15:restartNumberingAfterBreak="0">
    <w:nsid w:val="00000096"/>
    <w:multiLevelType w:val="multilevel"/>
    <w:tmpl w:val="00000096"/>
    <w:name w:val="WW8Num150"/>
    <w:lvl w:ilvl="0">
      <w:start w:val="3"/>
      <w:numFmt w:val="decimal"/>
      <w:lvlText w:val="5.1.8.%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7" w15:restartNumberingAfterBreak="0">
    <w:nsid w:val="00000097"/>
    <w:multiLevelType w:val="multilevel"/>
    <w:tmpl w:val="00000097"/>
    <w:name w:val="WW8Num151"/>
    <w:lvl w:ilvl="0">
      <w:start w:val="4"/>
      <w:numFmt w:val="decimal"/>
      <w:lvlText w:val="5.1.8.%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8" w15:restartNumberingAfterBreak="0">
    <w:nsid w:val="00000098"/>
    <w:multiLevelType w:val="multilevel"/>
    <w:tmpl w:val="00000098"/>
    <w:name w:val="WW8Num152"/>
    <w:lvl w:ilvl="0">
      <w:start w:val="5"/>
      <w:numFmt w:val="decimal"/>
      <w:lvlText w:val="5.1.8.%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9" w15:restartNumberingAfterBreak="0">
    <w:nsid w:val="00000099"/>
    <w:multiLevelType w:val="multilevel"/>
    <w:tmpl w:val="00000099"/>
    <w:name w:val="WW8Num153"/>
    <w:lvl w:ilvl="0">
      <w:start w:val="9"/>
      <w:numFmt w:val="decimal"/>
      <w:lvlText w:val="5.1.%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0" w15:restartNumberingAfterBreak="0">
    <w:nsid w:val="0000009A"/>
    <w:multiLevelType w:val="multilevel"/>
    <w:tmpl w:val="0000009A"/>
    <w:name w:val="WW8Num154"/>
    <w:lvl w:ilvl="0">
      <w:start w:val="2"/>
      <w:numFmt w:val="decimal"/>
      <w:lvlText w:val="5.1.9.%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1" w15:restartNumberingAfterBreak="0">
    <w:nsid w:val="0000009B"/>
    <w:multiLevelType w:val="multilevel"/>
    <w:tmpl w:val="0000009B"/>
    <w:name w:val="WW8Num155"/>
    <w:lvl w:ilvl="0">
      <w:start w:val="10"/>
      <w:numFmt w:val="decimal"/>
      <w:lvlText w:val="5.1.%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2" w15:restartNumberingAfterBreak="0">
    <w:nsid w:val="0000009C"/>
    <w:multiLevelType w:val="multilevel"/>
    <w:tmpl w:val="0000009C"/>
    <w:name w:val="WW8Num156"/>
    <w:lvl w:ilvl="0">
      <w:start w:val="2"/>
      <w:numFmt w:val="decimal"/>
      <w:lvlText w:val="5.1.10.%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3" w15:restartNumberingAfterBreak="0">
    <w:nsid w:val="0000009D"/>
    <w:multiLevelType w:val="multilevel"/>
    <w:tmpl w:val="0000009D"/>
    <w:name w:val="WW8Num157"/>
    <w:lvl w:ilvl="0">
      <w:start w:val="11"/>
      <w:numFmt w:val="decimal"/>
      <w:lvlText w:val="5.1.%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4" w15:restartNumberingAfterBreak="0">
    <w:nsid w:val="0000009E"/>
    <w:multiLevelType w:val="multilevel"/>
    <w:tmpl w:val="0000009E"/>
    <w:name w:val="WW8Num158"/>
    <w:lvl w:ilvl="0">
      <w:start w:val="12"/>
      <w:numFmt w:val="decimal"/>
      <w:lvlText w:val="5.1.%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5" w15:restartNumberingAfterBreak="0">
    <w:nsid w:val="0000009F"/>
    <w:multiLevelType w:val="multilevel"/>
    <w:tmpl w:val="0000009F"/>
    <w:name w:val="WW8Num159"/>
    <w:lvl w:ilvl="0">
      <w:start w:val="2"/>
      <w:numFmt w:val="decimal"/>
      <w:lvlText w:val="5.1.12.%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6" w15:restartNumberingAfterBreak="0">
    <w:nsid w:val="000000A0"/>
    <w:multiLevelType w:val="multilevel"/>
    <w:tmpl w:val="000000A0"/>
    <w:name w:val="WW8Num160"/>
    <w:lvl w:ilvl="0">
      <w:start w:val="1"/>
      <w:numFmt w:val="decimal"/>
      <w:lvlText w:val="5.2.%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7" w15:restartNumberingAfterBreak="0">
    <w:nsid w:val="000000A1"/>
    <w:multiLevelType w:val="multilevel"/>
    <w:tmpl w:val="000000A1"/>
    <w:name w:val="WW8Num161"/>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8" w15:restartNumberingAfterBreak="0">
    <w:nsid w:val="000000A2"/>
    <w:multiLevelType w:val="multilevel"/>
    <w:tmpl w:val="000000A2"/>
    <w:name w:val="WW8Num162"/>
    <w:lvl w:ilvl="0">
      <w:start w:val="1"/>
      <w:numFmt w:val="decimal"/>
      <w:lvlText w:val="5.2.1.%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9" w15:restartNumberingAfterBreak="0">
    <w:nsid w:val="000000A3"/>
    <w:multiLevelType w:val="multilevel"/>
    <w:tmpl w:val="000000A3"/>
    <w:name w:val="WW8Num163"/>
    <w:lvl w:ilvl="0">
      <w:start w:val="2"/>
      <w:numFmt w:val="decimal"/>
      <w:lvlText w:val="5.2.1.%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0" w15:restartNumberingAfterBreak="0">
    <w:nsid w:val="000000A4"/>
    <w:multiLevelType w:val="multilevel"/>
    <w:tmpl w:val="000000A4"/>
    <w:name w:val="WW8Num164"/>
    <w:lvl w:ilvl="0">
      <w:start w:val="1"/>
      <w:numFmt w:val="decimal"/>
      <w:lvlText w:val="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1" w15:restartNumberingAfterBreak="0">
    <w:nsid w:val="000000A5"/>
    <w:multiLevelType w:val="multilevel"/>
    <w:tmpl w:val="000000A5"/>
    <w:name w:val="WW8Num165"/>
    <w:lvl w:ilvl="0">
      <w:start w:val="2"/>
      <w:numFmt w:val="decimal"/>
      <w:lvlText w:val="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2" w15:restartNumberingAfterBreak="0">
    <w:nsid w:val="000000A6"/>
    <w:multiLevelType w:val="multilevel"/>
    <w:tmpl w:val="000000A6"/>
    <w:name w:val="WW8Num166"/>
    <w:lvl w:ilvl="0">
      <w:start w:val="3"/>
      <w:numFmt w:val="decimal"/>
      <w:lvlText w:val="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3" w15:restartNumberingAfterBreak="0">
    <w:nsid w:val="000000A7"/>
    <w:multiLevelType w:val="multilevel"/>
    <w:tmpl w:val="000000A7"/>
    <w:name w:val="WW8Num167"/>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4" w15:restartNumberingAfterBreak="0">
    <w:nsid w:val="000000A8"/>
    <w:multiLevelType w:val="multilevel"/>
    <w:tmpl w:val="000000A8"/>
    <w:name w:val="WW8Num168"/>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5" w15:restartNumberingAfterBreak="0">
    <w:nsid w:val="000000A9"/>
    <w:multiLevelType w:val="multilevel"/>
    <w:tmpl w:val="000000A9"/>
    <w:name w:val="WW8Num169"/>
    <w:lvl w:ilvl="0">
      <w:start w:val="2"/>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6" w15:restartNumberingAfterBreak="0">
    <w:nsid w:val="000000AA"/>
    <w:multiLevelType w:val="multilevel"/>
    <w:tmpl w:val="000000AA"/>
    <w:name w:val="WW8Num170"/>
    <w:lvl w:ilvl="0">
      <w:start w:val="5"/>
      <w:numFmt w:val="decimal"/>
      <w:lvlText w:val="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7" w15:restartNumberingAfterBreak="0">
    <w:nsid w:val="000000AB"/>
    <w:multiLevelType w:val="multilevel"/>
    <w:tmpl w:val="000000AB"/>
    <w:name w:val="WW8Num17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8" w15:restartNumberingAfterBreak="0">
    <w:nsid w:val="000000AC"/>
    <w:multiLevelType w:val="multilevel"/>
    <w:tmpl w:val="000000AC"/>
    <w:name w:val="WW8Num172"/>
    <w:lvl w:ilvl="0">
      <w:start w:val="6"/>
      <w:numFmt w:val="decimal"/>
      <w:lvlText w:val="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9" w15:restartNumberingAfterBreak="0">
    <w:nsid w:val="000000AD"/>
    <w:multiLevelType w:val="multilevel"/>
    <w:tmpl w:val="000000AD"/>
    <w:name w:val="WW8Num173"/>
    <w:lvl w:ilvl="0">
      <w:start w:val="7"/>
      <w:numFmt w:val="decimal"/>
      <w:lvlText w:val="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0" w15:restartNumberingAfterBreak="0">
    <w:nsid w:val="000000AE"/>
    <w:multiLevelType w:val="multilevel"/>
    <w:tmpl w:val="000000AE"/>
    <w:name w:val="WW8Num174"/>
    <w:lvl w:ilvl="0">
      <w:start w:val="8"/>
      <w:numFmt w:val="decimal"/>
      <w:lvlText w:val="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1" w15:restartNumberingAfterBreak="0">
    <w:nsid w:val="000000AF"/>
    <w:multiLevelType w:val="multilevel"/>
    <w:tmpl w:val="000000AF"/>
    <w:name w:val="WW8Num175"/>
    <w:lvl w:ilvl="0">
      <w:start w:val="2"/>
      <w:numFmt w:val="decimal"/>
      <w:lvlText w:val="5.3.8.%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2" w15:restartNumberingAfterBreak="0">
    <w:nsid w:val="000000B0"/>
    <w:multiLevelType w:val="multilevel"/>
    <w:tmpl w:val="000000B0"/>
    <w:name w:val="WW8Num176"/>
    <w:lvl w:ilvl="0">
      <w:start w:val="3"/>
      <w:numFmt w:val="decimal"/>
      <w:lvlText w:val="5.3.8.%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3" w15:restartNumberingAfterBreak="0">
    <w:nsid w:val="000000B1"/>
    <w:multiLevelType w:val="multilevel"/>
    <w:tmpl w:val="000000B1"/>
    <w:name w:val="WW8Num177"/>
    <w:lvl w:ilvl="0">
      <w:start w:val="4"/>
      <w:numFmt w:val="decimal"/>
      <w:lvlText w:val="5.3.8.%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4" w15:restartNumberingAfterBreak="0">
    <w:nsid w:val="000000B2"/>
    <w:multiLevelType w:val="multilevel"/>
    <w:tmpl w:val="000000B2"/>
    <w:name w:val="WW8Num178"/>
    <w:lvl w:ilvl="0">
      <w:start w:val="5"/>
      <w:numFmt w:val="decimal"/>
      <w:lvlText w:val="5.3.8.%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5" w15:restartNumberingAfterBreak="0">
    <w:nsid w:val="000000B3"/>
    <w:multiLevelType w:val="multilevel"/>
    <w:tmpl w:val="000000B3"/>
    <w:name w:val="WW8Num179"/>
    <w:lvl w:ilvl="0">
      <w:start w:val="6"/>
      <w:numFmt w:val="decimal"/>
      <w:lvlText w:val="5.3.8.%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6" w15:restartNumberingAfterBreak="0">
    <w:nsid w:val="000000B4"/>
    <w:multiLevelType w:val="multilevel"/>
    <w:tmpl w:val="000000B4"/>
    <w:name w:val="WW8Num180"/>
    <w:lvl w:ilvl="0">
      <w:start w:val="9"/>
      <w:numFmt w:val="decimal"/>
      <w:lvlText w:val="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7" w15:restartNumberingAfterBreak="0">
    <w:nsid w:val="000000B5"/>
    <w:multiLevelType w:val="multilevel"/>
    <w:tmpl w:val="000000B5"/>
    <w:name w:val="WW8Num181"/>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8" w15:restartNumberingAfterBreak="0">
    <w:nsid w:val="000000B6"/>
    <w:multiLevelType w:val="multilevel"/>
    <w:tmpl w:val="000000B6"/>
    <w:name w:val="WW8Num182"/>
    <w:lvl w:ilvl="0">
      <w:start w:val="3"/>
      <w:numFmt w:val="decimal"/>
      <w:lvlText w:val="5.3.9.%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9" w15:restartNumberingAfterBreak="0">
    <w:nsid w:val="000000B7"/>
    <w:multiLevelType w:val="multilevel"/>
    <w:tmpl w:val="000000B7"/>
    <w:name w:val="WW8Num183"/>
    <w:lvl w:ilvl="0">
      <w:start w:val="10"/>
      <w:numFmt w:val="decimal"/>
      <w:lvlText w:val="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0" w15:restartNumberingAfterBreak="0">
    <w:nsid w:val="000000B8"/>
    <w:multiLevelType w:val="multilevel"/>
    <w:tmpl w:val="000000B8"/>
    <w:name w:val="WW8Num184"/>
    <w:lvl w:ilvl="0">
      <w:start w:val="2"/>
      <w:numFmt w:val="decimal"/>
      <w:lvlText w:val="5.3.10.%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1" w15:restartNumberingAfterBreak="0">
    <w:nsid w:val="000000B9"/>
    <w:multiLevelType w:val="multilevel"/>
    <w:tmpl w:val="000000B9"/>
    <w:name w:val="WW8Num185"/>
    <w:lvl w:ilvl="0">
      <w:start w:val="1"/>
      <w:numFmt w:val="decimal"/>
      <w:lvlText w:val="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2" w15:restartNumberingAfterBreak="0">
    <w:nsid w:val="000000BA"/>
    <w:multiLevelType w:val="multilevel"/>
    <w:tmpl w:val="000000BA"/>
    <w:name w:val="WW8Num186"/>
    <w:lvl w:ilvl="0">
      <w:start w:val="3"/>
      <w:numFmt w:val="decimal"/>
      <w:lvlText w:val="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3" w15:restartNumberingAfterBreak="0">
    <w:nsid w:val="000000BB"/>
    <w:multiLevelType w:val="multilevel"/>
    <w:tmpl w:val="000000BB"/>
    <w:name w:val="WW8Num18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4" w15:restartNumberingAfterBreak="0">
    <w:nsid w:val="000000BC"/>
    <w:multiLevelType w:val="multilevel"/>
    <w:tmpl w:val="000000BC"/>
    <w:name w:val="WW8Num188"/>
    <w:lvl w:ilvl="0">
      <w:start w:val="4"/>
      <w:numFmt w:val="decimal"/>
      <w:lvlText w:val="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5" w15:restartNumberingAfterBreak="0">
    <w:nsid w:val="000000BD"/>
    <w:multiLevelType w:val="multilevel"/>
    <w:tmpl w:val="000000BD"/>
    <w:name w:val="WW8Num189"/>
    <w:lvl w:ilvl="0">
      <w:start w:val="5"/>
      <w:numFmt w:val="decimal"/>
      <w:lvlText w:val="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6" w15:restartNumberingAfterBreak="0">
    <w:nsid w:val="000000BE"/>
    <w:multiLevelType w:val="multilevel"/>
    <w:tmpl w:val="000000BE"/>
    <w:name w:val="WW8Num190"/>
    <w:lvl w:ilvl="0">
      <w:start w:val="6"/>
      <w:numFmt w:val="decimal"/>
      <w:lvlText w:val="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7" w15:restartNumberingAfterBreak="0">
    <w:nsid w:val="000000BF"/>
    <w:multiLevelType w:val="multilevel"/>
    <w:tmpl w:val="000000BF"/>
    <w:name w:val="WW8Num19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8" w15:restartNumberingAfterBreak="0">
    <w:nsid w:val="000000C0"/>
    <w:multiLevelType w:val="multilevel"/>
    <w:tmpl w:val="000000C0"/>
    <w:name w:val="WW8Num192"/>
    <w:lvl w:ilvl="0">
      <w:start w:val="2"/>
      <w:numFmt w:val="decimal"/>
      <w:lvlText w:val="5.4.6.%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9" w15:restartNumberingAfterBreak="0">
    <w:nsid w:val="000000C1"/>
    <w:multiLevelType w:val="multilevel"/>
    <w:tmpl w:val="000000C1"/>
    <w:name w:val="WW8Num193"/>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0" w15:restartNumberingAfterBreak="0">
    <w:nsid w:val="000000C2"/>
    <w:multiLevelType w:val="multilevel"/>
    <w:tmpl w:val="000000C2"/>
    <w:name w:val="WW8Num194"/>
    <w:lvl w:ilvl="0">
      <w:start w:val="3"/>
      <w:numFmt w:val="decimal"/>
      <w:lvlText w:val="5.4.6.%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1" w15:restartNumberingAfterBreak="0">
    <w:nsid w:val="000000C3"/>
    <w:multiLevelType w:val="multilevel"/>
    <w:tmpl w:val="000000C3"/>
    <w:name w:val="WW8Num19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2" w15:restartNumberingAfterBreak="0">
    <w:nsid w:val="000000C4"/>
    <w:multiLevelType w:val="multilevel"/>
    <w:tmpl w:val="000000C4"/>
    <w:name w:val="WW8Num196"/>
    <w:lvl w:ilvl="0">
      <w:start w:val="4"/>
      <w:numFmt w:val="decimal"/>
      <w:lvlText w:val="5.4.6.%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3" w15:restartNumberingAfterBreak="0">
    <w:nsid w:val="000000C5"/>
    <w:multiLevelType w:val="multilevel"/>
    <w:tmpl w:val="000000C5"/>
    <w:name w:val="WW8Num19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4" w15:restartNumberingAfterBreak="0">
    <w:nsid w:val="000000C6"/>
    <w:multiLevelType w:val="multilevel"/>
    <w:tmpl w:val="000000C6"/>
    <w:name w:val="WW8Num198"/>
    <w:lvl w:ilvl="0">
      <w:start w:val="7"/>
      <w:numFmt w:val="decimal"/>
      <w:lvlText w:val="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5" w15:restartNumberingAfterBreak="0">
    <w:nsid w:val="000000C7"/>
    <w:multiLevelType w:val="multilevel"/>
    <w:tmpl w:val="000000C7"/>
    <w:name w:val="WW8Num199"/>
    <w:lvl w:ilvl="0">
      <w:start w:val="8"/>
      <w:numFmt w:val="decimal"/>
      <w:lvlText w:val="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6" w15:restartNumberingAfterBreak="0">
    <w:nsid w:val="000000C8"/>
    <w:multiLevelType w:val="multilevel"/>
    <w:tmpl w:val="000000C8"/>
    <w:name w:val="WW8Num200"/>
    <w:lvl w:ilvl="0">
      <w:start w:val="9"/>
      <w:numFmt w:val="decimal"/>
      <w:lvlText w:val="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7" w15:restartNumberingAfterBreak="0">
    <w:nsid w:val="000000C9"/>
    <w:multiLevelType w:val="multilevel"/>
    <w:tmpl w:val="000000C9"/>
    <w:name w:val="WW8Num201"/>
    <w:lvl w:ilvl="0">
      <w:start w:val="2"/>
      <w:numFmt w:val="decimal"/>
      <w:lvlText w:val="5.4.9.%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8" w15:restartNumberingAfterBreak="0">
    <w:nsid w:val="000000CA"/>
    <w:multiLevelType w:val="multilevel"/>
    <w:tmpl w:val="000000CA"/>
    <w:name w:val="WW8Num202"/>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9" w15:restartNumberingAfterBreak="0">
    <w:nsid w:val="000000CB"/>
    <w:multiLevelType w:val="multilevel"/>
    <w:tmpl w:val="000000CB"/>
    <w:name w:val="WW8Num203"/>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0" w15:restartNumberingAfterBreak="0">
    <w:nsid w:val="000000CC"/>
    <w:multiLevelType w:val="multilevel"/>
    <w:tmpl w:val="000000CC"/>
    <w:name w:val="WW8Num204"/>
    <w:lvl w:ilvl="0">
      <w:start w:val="3"/>
      <w:numFmt w:val="decimal"/>
      <w:lvlText w:val="5.4.9.%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1" w15:restartNumberingAfterBreak="0">
    <w:nsid w:val="000000CD"/>
    <w:multiLevelType w:val="multilevel"/>
    <w:tmpl w:val="000000CD"/>
    <w:name w:val="WW8Num205"/>
    <w:lvl w:ilvl="0">
      <w:start w:val="4"/>
      <w:numFmt w:val="decimal"/>
      <w:lvlText w:val="5.4.9.%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2" w15:restartNumberingAfterBreak="0">
    <w:nsid w:val="000000CE"/>
    <w:multiLevelType w:val="multilevel"/>
    <w:tmpl w:val="000000CE"/>
    <w:name w:val="WW8Num206"/>
    <w:lvl w:ilvl="0">
      <w:start w:val="5"/>
      <w:numFmt w:val="decimal"/>
      <w:lvlText w:val="5.4.9.%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3" w15:restartNumberingAfterBreak="0">
    <w:nsid w:val="000000CF"/>
    <w:multiLevelType w:val="multilevel"/>
    <w:tmpl w:val="000000CF"/>
    <w:name w:val="WW8Num207"/>
    <w:lvl w:ilvl="0">
      <w:start w:val="10"/>
      <w:numFmt w:val="decimal"/>
      <w:lvlText w:val="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4" w15:restartNumberingAfterBreak="0">
    <w:nsid w:val="000000D0"/>
    <w:multiLevelType w:val="multilevel"/>
    <w:tmpl w:val="000000D0"/>
    <w:name w:val="WW8Num208"/>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5" w15:restartNumberingAfterBreak="0">
    <w:nsid w:val="000000D1"/>
    <w:multiLevelType w:val="multilevel"/>
    <w:tmpl w:val="000000D1"/>
    <w:name w:val="WW8Num209"/>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6" w15:restartNumberingAfterBreak="0">
    <w:nsid w:val="000000D2"/>
    <w:multiLevelType w:val="multilevel"/>
    <w:tmpl w:val="000000D2"/>
    <w:name w:val="WW8Num210"/>
    <w:lvl w:ilvl="0">
      <w:start w:val="2"/>
      <w:numFmt w:val="decimal"/>
      <w:lvlText w:val="5.4.10.%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7" w15:restartNumberingAfterBreak="0">
    <w:nsid w:val="000000D3"/>
    <w:multiLevelType w:val="multilevel"/>
    <w:tmpl w:val="000000D3"/>
    <w:name w:val="WW8Num211"/>
    <w:lvl w:ilvl="0">
      <w:start w:val="3"/>
      <w:numFmt w:val="decimal"/>
      <w:lvlText w:val="5.4.10.%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8" w15:restartNumberingAfterBreak="0">
    <w:nsid w:val="000000D4"/>
    <w:multiLevelType w:val="multilevel"/>
    <w:tmpl w:val="000000D4"/>
    <w:name w:val="WW8Num212"/>
    <w:lvl w:ilvl="0">
      <w:start w:val="4"/>
      <w:numFmt w:val="decimal"/>
      <w:lvlText w:val="5.4.10.%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9" w15:restartNumberingAfterBreak="0">
    <w:nsid w:val="000000D5"/>
    <w:multiLevelType w:val="multilevel"/>
    <w:tmpl w:val="000000D5"/>
    <w:name w:val="WW8Num213"/>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0" w15:restartNumberingAfterBreak="0">
    <w:nsid w:val="000000D6"/>
    <w:multiLevelType w:val="multilevel"/>
    <w:tmpl w:val="000000D6"/>
    <w:name w:val="WW8Num214"/>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1" w15:restartNumberingAfterBreak="0">
    <w:nsid w:val="000000D7"/>
    <w:multiLevelType w:val="multilevel"/>
    <w:tmpl w:val="000000D7"/>
    <w:name w:val="WW8Num21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2" w15:restartNumberingAfterBreak="0">
    <w:nsid w:val="000000D8"/>
    <w:multiLevelType w:val="multilevel"/>
    <w:tmpl w:val="000000D8"/>
    <w:name w:val="WW8Num21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3" w15:restartNumberingAfterBreak="0">
    <w:nsid w:val="000000D9"/>
    <w:multiLevelType w:val="multilevel"/>
    <w:tmpl w:val="000000D9"/>
    <w:name w:val="WW8Num21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4" w15:restartNumberingAfterBreak="0">
    <w:nsid w:val="000000DA"/>
    <w:multiLevelType w:val="multilevel"/>
    <w:tmpl w:val="000000DA"/>
    <w:name w:val="WW8Num218"/>
    <w:lvl w:ilvl="0">
      <w:start w:val="53"/>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5" w15:restartNumberingAfterBreak="0">
    <w:nsid w:val="000000DB"/>
    <w:multiLevelType w:val="multilevel"/>
    <w:tmpl w:val="000000DB"/>
    <w:name w:val="WW8Num219"/>
    <w:lvl w:ilvl="0">
      <w:start w:val="1"/>
      <w:numFmt w:val="decimal"/>
      <w:lvlText w:val="1.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6" w15:restartNumberingAfterBreak="0">
    <w:nsid w:val="000000DE"/>
    <w:multiLevelType w:val="multilevel"/>
    <w:tmpl w:val="000000DE"/>
    <w:name w:val="WW8Num222"/>
    <w:lvl w:ilvl="0">
      <w:start w:val="1"/>
      <w:numFmt w:val="decimal"/>
      <w:lvlText w:val="2.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7" w15:restartNumberingAfterBreak="0">
    <w:nsid w:val="000000DF"/>
    <w:multiLevelType w:val="multilevel"/>
    <w:tmpl w:val="000000DF"/>
    <w:name w:val="WW8Num223"/>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8" w15:restartNumberingAfterBreak="0">
    <w:nsid w:val="000000E0"/>
    <w:multiLevelType w:val="multilevel"/>
    <w:tmpl w:val="000000E0"/>
    <w:name w:val="WW8Num224"/>
    <w:lvl w:ilvl="0">
      <w:start w:val="2"/>
      <w:numFmt w:val="decimal"/>
      <w:lvlText w:val="2.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9" w15:restartNumberingAfterBreak="0">
    <w:nsid w:val="000000E1"/>
    <w:multiLevelType w:val="multilevel"/>
    <w:tmpl w:val="000000E1"/>
    <w:name w:val="WW8Num22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0" w15:restartNumberingAfterBreak="0">
    <w:nsid w:val="000000E2"/>
    <w:multiLevelType w:val="multilevel"/>
    <w:tmpl w:val="000000E2"/>
    <w:name w:val="WW8Num226"/>
    <w:lvl w:ilvl="0">
      <w:start w:val="3"/>
      <w:numFmt w:val="decimal"/>
      <w:lvlText w:val="2.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1" w15:restartNumberingAfterBreak="0">
    <w:nsid w:val="000000E3"/>
    <w:multiLevelType w:val="multilevel"/>
    <w:tmpl w:val="000000E3"/>
    <w:name w:val="WW8Num22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2" w15:restartNumberingAfterBreak="0">
    <w:nsid w:val="000000FE"/>
    <w:multiLevelType w:val="multilevel"/>
    <w:tmpl w:val="000000FE"/>
    <w:name w:val="WW8Num254"/>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3" w15:restartNumberingAfterBreak="0">
    <w:nsid w:val="000000FF"/>
    <w:multiLevelType w:val="multilevel"/>
    <w:tmpl w:val="000000FF"/>
    <w:name w:val="WW8Num25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4" w15:restartNumberingAfterBreak="0">
    <w:nsid w:val="00000101"/>
    <w:multiLevelType w:val="multilevel"/>
    <w:tmpl w:val="00000101"/>
    <w:name w:val="WW8Num257"/>
    <w:lvl w:ilvl="0">
      <w:start w:val="1"/>
      <w:numFmt w:val="decimal"/>
      <w:lvlText w:val="2.1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5" w15:restartNumberingAfterBreak="0">
    <w:nsid w:val="00000102"/>
    <w:multiLevelType w:val="multilevel"/>
    <w:tmpl w:val="00000102"/>
    <w:name w:val="WW8Num258"/>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6" w15:restartNumberingAfterBreak="0">
    <w:nsid w:val="00000103"/>
    <w:multiLevelType w:val="multilevel"/>
    <w:tmpl w:val="00000103"/>
    <w:name w:val="WW8Num259"/>
    <w:lvl w:ilvl="0">
      <w:start w:val="3"/>
      <w:numFmt w:val="decimal"/>
      <w:lvlText w:val="2.1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7" w15:restartNumberingAfterBreak="0">
    <w:nsid w:val="00000104"/>
    <w:multiLevelType w:val="multilevel"/>
    <w:tmpl w:val="00000104"/>
    <w:name w:val="WW8Num260"/>
    <w:lvl w:ilvl="0">
      <w:start w:val="4"/>
      <w:numFmt w:val="decimal"/>
      <w:lvlText w:val="2.1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8" w15:restartNumberingAfterBreak="0">
    <w:nsid w:val="00000105"/>
    <w:multiLevelType w:val="multilevel"/>
    <w:tmpl w:val="00000105"/>
    <w:name w:val="WW8Num261"/>
    <w:lvl w:ilvl="0">
      <w:start w:val="5"/>
      <w:numFmt w:val="decimal"/>
      <w:lvlText w:val="2.1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9" w15:restartNumberingAfterBreak="0">
    <w:nsid w:val="00000106"/>
    <w:multiLevelType w:val="multilevel"/>
    <w:tmpl w:val="00000106"/>
    <w:name w:val="WW8Num262"/>
    <w:lvl w:ilvl="0">
      <w:start w:val="6"/>
      <w:numFmt w:val="decimal"/>
      <w:lvlText w:val="2.1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0" w15:restartNumberingAfterBreak="0">
    <w:nsid w:val="00000107"/>
    <w:multiLevelType w:val="multilevel"/>
    <w:tmpl w:val="00000107"/>
    <w:name w:val="WW8Num263"/>
    <w:lvl w:ilvl="0">
      <w:start w:val="7"/>
      <w:numFmt w:val="decimal"/>
      <w:lvlText w:val="2.1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1" w15:restartNumberingAfterBreak="0">
    <w:nsid w:val="00000108"/>
    <w:multiLevelType w:val="multilevel"/>
    <w:tmpl w:val="00000108"/>
    <w:name w:val="WW8Num264"/>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2" w15:restartNumberingAfterBreak="0">
    <w:nsid w:val="00000109"/>
    <w:multiLevelType w:val="multilevel"/>
    <w:tmpl w:val="00000109"/>
    <w:name w:val="WW8Num26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3" w15:restartNumberingAfterBreak="0">
    <w:nsid w:val="0000010A"/>
    <w:multiLevelType w:val="multilevel"/>
    <w:tmpl w:val="0000010A"/>
    <w:name w:val="WW8Num26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4" w15:restartNumberingAfterBreak="0">
    <w:nsid w:val="0000010B"/>
    <w:multiLevelType w:val="multilevel"/>
    <w:tmpl w:val="0000010B"/>
    <w:name w:val="WW8Num267"/>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5" w15:restartNumberingAfterBreak="0">
    <w:nsid w:val="0000010C"/>
    <w:multiLevelType w:val="multilevel"/>
    <w:tmpl w:val="0000010C"/>
    <w:name w:val="WW8Num268"/>
    <w:lvl w:ilvl="0">
      <w:start w:val="1"/>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6" w15:restartNumberingAfterBreak="0">
    <w:nsid w:val="0000010D"/>
    <w:multiLevelType w:val="multilevel"/>
    <w:tmpl w:val="0000010D"/>
    <w:name w:val="WW8Num269"/>
    <w:lvl w:ilvl="0">
      <w:start w:val="1"/>
      <w:numFmt w:val="bullet"/>
      <w:lvlText w:val="-"/>
      <w:lvlJc w:val="left"/>
      <w:pPr>
        <w:tabs>
          <w:tab w:val="num" w:pos="0"/>
        </w:tabs>
        <w:ind w:left="0" w:firstLine="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7" w15:restartNumberingAfterBreak="0">
    <w:nsid w:val="0000010E"/>
    <w:multiLevelType w:val="multilevel"/>
    <w:tmpl w:val="0000010E"/>
    <w:name w:val="WW8Num270"/>
    <w:lvl w:ilvl="0">
      <w:start w:val="2"/>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8" w15:restartNumberingAfterBreak="0">
    <w:nsid w:val="0000010F"/>
    <w:multiLevelType w:val="multilevel"/>
    <w:tmpl w:val="0000010F"/>
    <w:name w:val="WW8Num27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9" w15:restartNumberingAfterBreak="0">
    <w:nsid w:val="00000110"/>
    <w:multiLevelType w:val="multilevel"/>
    <w:tmpl w:val="00000110"/>
    <w:name w:val="WW8Num272"/>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0" w15:restartNumberingAfterBreak="0">
    <w:nsid w:val="00000111"/>
    <w:multiLevelType w:val="multilevel"/>
    <w:tmpl w:val="00000111"/>
    <w:name w:val="WW8Num273"/>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1" w15:restartNumberingAfterBreak="0">
    <w:nsid w:val="00000112"/>
    <w:multiLevelType w:val="multilevel"/>
    <w:tmpl w:val="00000112"/>
    <w:name w:val="WW8Num274"/>
    <w:lvl w:ilvl="0">
      <w:start w:val="3"/>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2" w15:restartNumberingAfterBreak="0">
    <w:nsid w:val="00000113"/>
    <w:multiLevelType w:val="multilevel"/>
    <w:tmpl w:val="00000113"/>
    <w:name w:val="WW8Num275"/>
    <w:lvl w:ilvl="0">
      <w:start w:val="4"/>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3" w15:restartNumberingAfterBreak="0">
    <w:nsid w:val="00000114"/>
    <w:multiLevelType w:val="multilevel"/>
    <w:tmpl w:val="00000114"/>
    <w:name w:val="WW8Num27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4" w15:restartNumberingAfterBreak="0">
    <w:nsid w:val="00000115"/>
    <w:multiLevelType w:val="multilevel"/>
    <w:tmpl w:val="00000115"/>
    <w:name w:val="WW8Num277"/>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5" w15:restartNumberingAfterBreak="0">
    <w:nsid w:val="00000116"/>
    <w:multiLevelType w:val="multilevel"/>
    <w:tmpl w:val="00000116"/>
    <w:name w:val="WW8Num278"/>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6" w15:restartNumberingAfterBreak="0">
    <w:nsid w:val="00000117"/>
    <w:multiLevelType w:val="multilevel"/>
    <w:tmpl w:val="00000117"/>
    <w:name w:val="WW8Num279"/>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7" w15:restartNumberingAfterBreak="0">
    <w:nsid w:val="00000118"/>
    <w:multiLevelType w:val="multilevel"/>
    <w:tmpl w:val="00000118"/>
    <w:name w:val="WW8Num280"/>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8" w15:restartNumberingAfterBreak="0">
    <w:nsid w:val="00000119"/>
    <w:multiLevelType w:val="multilevel"/>
    <w:tmpl w:val="00000119"/>
    <w:name w:val="WW8Num281"/>
    <w:lvl w:ilvl="0">
      <w:start w:val="2"/>
      <w:numFmt w:val="decimal"/>
      <w:lvlText w:val="5.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9" w15:restartNumberingAfterBreak="0">
    <w:nsid w:val="0000011A"/>
    <w:multiLevelType w:val="multilevel"/>
    <w:tmpl w:val="0000011A"/>
    <w:name w:val="WW8Num282"/>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0" w15:restartNumberingAfterBreak="0">
    <w:nsid w:val="0000011B"/>
    <w:multiLevelType w:val="multilevel"/>
    <w:tmpl w:val="0000011B"/>
    <w:name w:val="WW8Num283"/>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1" w15:restartNumberingAfterBreak="0">
    <w:nsid w:val="0000011C"/>
    <w:multiLevelType w:val="multilevel"/>
    <w:tmpl w:val="0000011C"/>
    <w:name w:val="WW8Num284"/>
    <w:lvl w:ilvl="0">
      <w:start w:val="5"/>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2" w15:restartNumberingAfterBreak="0">
    <w:nsid w:val="0000011D"/>
    <w:multiLevelType w:val="multilevel"/>
    <w:tmpl w:val="0000011D"/>
    <w:name w:val="WW8Num285"/>
    <w:lvl w:ilvl="0">
      <w:start w:val="2"/>
      <w:numFmt w:val="decimal"/>
      <w:lvlText w:val="5.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3" w15:restartNumberingAfterBreak="0">
    <w:nsid w:val="0000011E"/>
    <w:multiLevelType w:val="multilevel"/>
    <w:tmpl w:val="0000011E"/>
    <w:name w:val="WW8Num28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4" w15:restartNumberingAfterBreak="0">
    <w:nsid w:val="0000011F"/>
    <w:multiLevelType w:val="multilevel"/>
    <w:tmpl w:val="0000011F"/>
    <w:name w:val="WW8Num287"/>
    <w:lvl w:ilvl="0">
      <w:start w:val="6"/>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5" w15:restartNumberingAfterBreak="0">
    <w:nsid w:val="00000120"/>
    <w:multiLevelType w:val="multilevel"/>
    <w:tmpl w:val="00000120"/>
    <w:name w:val="WW8Num288"/>
    <w:lvl w:ilvl="0">
      <w:start w:val="7"/>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6" w15:restartNumberingAfterBreak="0">
    <w:nsid w:val="00000121"/>
    <w:multiLevelType w:val="multilevel"/>
    <w:tmpl w:val="00000121"/>
    <w:name w:val="WW8Num289"/>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7" w15:restartNumberingAfterBreak="0">
    <w:nsid w:val="00000122"/>
    <w:multiLevelType w:val="multilevel"/>
    <w:tmpl w:val="00000122"/>
    <w:name w:val="WW8Num290"/>
    <w:lvl w:ilvl="0">
      <w:start w:val="8"/>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8" w15:restartNumberingAfterBreak="0">
    <w:nsid w:val="00000123"/>
    <w:multiLevelType w:val="multilevel"/>
    <w:tmpl w:val="00000123"/>
    <w:name w:val="WW8Num29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9" w15:restartNumberingAfterBreak="0">
    <w:nsid w:val="00000124"/>
    <w:multiLevelType w:val="multilevel"/>
    <w:tmpl w:val="00000124"/>
    <w:name w:val="WW8Num292"/>
    <w:lvl w:ilvl="0">
      <w:start w:val="9"/>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0" w15:restartNumberingAfterBreak="0">
    <w:nsid w:val="00000125"/>
    <w:multiLevelType w:val="multilevel"/>
    <w:tmpl w:val="00000125"/>
    <w:name w:val="WW8Num293"/>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1" w15:restartNumberingAfterBreak="0">
    <w:nsid w:val="00000126"/>
    <w:multiLevelType w:val="multilevel"/>
    <w:tmpl w:val="00000126"/>
    <w:name w:val="WW8Num294"/>
    <w:lvl w:ilvl="0">
      <w:start w:val="10"/>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2" w15:restartNumberingAfterBreak="0">
    <w:nsid w:val="00000127"/>
    <w:multiLevelType w:val="multilevel"/>
    <w:tmpl w:val="00000127"/>
    <w:name w:val="WW8Num295"/>
    <w:lvl w:ilvl="0">
      <w:start w:val="2"/>
      <w:numFmt w:val="decimal"/>
      <w:lvlText w:val="5.5.10.%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3" w15:restartNumberingAfterBreak="0">
    <w:nsid w:val="00000128"/>
    <w:multiLevelType w:val="multilevel"/>
    <w:tmpl w:val="00000128"/>
    <w:name w:val="WW8Num29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4" w15:restartNumberingAfterBreak="0">
    <w:nsid w:val="00000129"/>
    <w:multiLevelType w:val="multilevel"/>
    <w:tmpl w:val="00000129"/>
    <w:name w:val="WW8Num297"/>
    <w:lvl w:ilvl="0">
      <w:start w:val="11"/>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5" w15:restartNumberingAfterBreak="0">
    <w:nsid w:val="0000012A"/>
    <w:multiLevelType w:val="multilevel"/>
    <w:tmpl w:val="0000012A"/>
    <w:name w:val="WW8Num298"/>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6" w15:restartNumberingAfterBreak="0">
    <w:nsid w:val="0000012B"/>
    <w:multiLevelType w:val="multilevel"/>
    <w:tmpl w:val="0000012B"/>
    <w:name w:val="WW8Num299"/>
    <w:lvl w:ilvl="0">
      <w:start w:val="1"/>
      <w:numFmt w:val="decimal"/>
      <w:lvlText w:val="6.2.%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7" w15:restartNumberingAfterBreak="0">
    <w:nsid w:val="0000012C"/>
    <w:multiLevelType w:val="multilevel"/>
    <w:tmpl w:val="0000012C"/>
    <w:name w:val="WW8Num300"/>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8" w15:restartNumberingAfterBreak="0">
    <w:nsid w:val="0000012D"/>
    <w:multiLevelType w:val="multilevel"/>
    <w:tmpl w:val="0000012D"/>
    <w:name w:val="WW8Num301"/>
    <w:lvl w:ilvl="0">
      <w:start w:val="2"/>
      <w:numFmt w:val="decimal"/>
      <w:lvlText w:val="6.2.%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9" w15:restartNumberingAfterBreak="0">
    <w:nsid w:val="0000012E"/>
    <w:multiLevelType w:val="multilevel"/>
    <w:tmpl w:val="0000012E"/>
    <w:name w:val="WW8Num302"/>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0" w15:restartNumberingAfterBreak="0">
    <w:nsid w:val="0000012F"/>
    <w:multiLevelType w:val="multilevel"/>
    <w:tmpl w:val="0000012F"/>
    <w:name w:val="WW8Num303"/>
    <w:lvl w:ilvl="0">
      <w:start w:val="3"/>
      <w:numFmt w:val="decimal"/>
      <w:lvlText w:val="6.2.%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1" w15:restartNumberingAfterBreak="0">
    <w:nsid w:val="00000130"/>
    <w:multiLevelType w:val="multilevel"/>
    <w:tmpl w:val="00000130"/>
    <w:name w:val="WW8Num304"/>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2" w15:restartNumberingAfterBreak="0">
    <w:nsid w:val="00000131"/>
    <w:multiLevelType w:val="multilevel"/>
    <w:tmpl w:val="00000131"/>
    <w:name w:val="WW8Num30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3" w15:restartNumberingAfterBreak="0">
    <w:nsid w:val="00000132"/>
    <w:multiLevelType w:val="multilevel"/>
    <w:tmpl w:val="00000132"/>
    <w:name w:val="WW8Num30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4" w15:restartNumberingAfterBreak="0">
    <w:nsid w:val="00000133"/>
    <w:multiLevelType w:val="multilevel"/>
    <w:tmpl w:val="00000133"/>
    <w:name w:val="WW8Num30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5" w15:restartNumberingAfterBreak="0">
    <w:nsid w:val="00000134"/>
    <w:multiLevelType w:val="multilevel"/>
    <w:tmpl w:val="00000134"/>
    <w:name w:val="WW8Num308"/>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6" w15:restartNumberingAfterBreak="0">
    <w:nsid w:val="00000135"/>
    <w:multiLevelType w:val="multilevel"/>
    <w:tmpl w:val="00000135"/>
    <w:name w:val="WW8Num309"/>
    <w:lvl w:ilvl="0">
      <w:start w:val="60"/>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7" w15:restartNumberingAfterBreak="0">
    <w:nsid w:val="00000136"/>
    <w:multiLevelType w:val="multilevel"/>
    <w:tmpl w:val="00000136"/>
    <w:name w:val="WW8Num310"/>
    <w:lvl w:ilvl="0">
      <w:start w:val="1"/>
      <w:numFmt w:val="decimal"/>
      <w:lvlText w:val="1.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8" w15:restartNumberingAfterBreak="0">
    <w:nsid w:val="00000137"/>
    <w:multiLevelType w:val="multilevel"/>
    <w:tmpl w:val="00000137"/>
    <w:name w:val="WW8Num31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9" w15:restartNumberingAfterBreak="0">
    <w:nsid w:val="00000138"/>
    <w:multiLevelType w:val="multilevel"/>
    <w:tmpl w:val="00000138"/>
    <w:name w:val="WW8Num312"/>
    <w:lvl w:ilvl="0">
      <w:start w:val="1"/>
      <w:numFmt w:val="decimal"/>
      <w:lvlText w:val="2.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0" w15:restartNumberingAfterBreak="0">
    <w:nsid w:val="00000139"/>
    <w:multiLevelType w:val="multilevel"/>
    <w:tmpl w:val="00000139"/>
    <w:name w:val="WW8Num313"/>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1" w15:restartNumberingAfterBreak="0">
    <w:nsid w:val="0000013A"/>
    <w:multiLevelType w:val="multilevel"/>
    <w:tmpl w:val="0000013A"/>
    <w:name w:val="WW8Num314"/>
    <w:lvl w:ilvl="0">
      <w:start w:val="2"/>
      <w:numFmt w:val="decimal"/>
      <w:lvlText w:val="2.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2" w15:restartNumberingAfterBreak="0">
    <w:nsid w:val="0000013B"/>
    <w:multiLevelType w:val="multilevel"/>
    <w:tmpl w:val="0000013B"/>
    <w:name w:val="WW8Num31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3" w15:restartNumberingAfterBreak="0">
    <w:nsid w:val="0000013C"/>
    <w:multiLevelType w:val="multilevel"/>
    <w:tmpl w:val="0000013C"/>
    <w:name w:val="WW8Num316"/>
    <w:lvl w:ilvl="0">
      <w:start w:val="3"/>
      <w:numFmt w:val="decimal"/>
      <w:lvlText w:val="2.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4" w15:restartNumberingAfterBreak="0">
    <w:nsid w:val="0000013D"/>
    <w:multiLevelType w:val="multilevel"/>
    <w:tmpl w:val="0000013D"/>
    <w:name w:val="WW8Num31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5" w15:restartNumberingAfterBreak="0">
    <w:nsid w:val="0000013E"/>
    <w:multiLevelType w:val="multilevel"/>
    <w:tmpl w:val="0000013E"/>
    <w:name w:val="WW8Num318"/>
    <w:lvl w:ilvl="0">
      <w:start w:val="4"/>
      <w:numFmt w:val="decimal"/>
      <w:lvlText w:val="2.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6" w15:restartNumberingAfterBreak="0">
    <w:nsid w:val="0000013F"/>
    <w:multiLevelType w:val="multilevel"/>
    <w:tmpl w:val="0000013F"/>
    <w:name w:val="WW8Num319"/>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7" w15:restartNumberingAfterBreak="0">
    <w:nsid w:val="00000140"/>
    <w:multiLevelType w:val="multilevel"/>
    <w:tmpl w:val="00000140"/>
    <w:name w:val="WW8Num320"/>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8" w15:restartNumberingAfterBreak="0">
    <w:nsid w:val="00000141"/>
    <w:multiLevelType w:val="multilevel"/>
    <w:tmpl w:val="00000141"/>
    <w:name w:val="WW8Num32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9" w15:restartNumberingAfterBreak="0">
    <w:nsid w:val="00000142"/>
    <w:multiLevelType w:val="multilevel"/>
    <w:tmpl w:val="00000142"/>
    <w:name w:val="WW8Num322"/>
    <w:lvl w:ilvl="0">
      <w:start w:val="3"/>
      <w:numFmt w:val="decimal"/>
      <w:lvlText w:val="2.7.%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0" w15:restartNumberingAfterBreak="0">
    <w:nsid w:val="00000143"/>
    <w:multiLevelType w:val="multilevel"/>
    <w:tmpl w:val="00000143"/>
    <w:name w:val="WW8Num323"/>
    <w:lvl w:ilvl="0">
      <w:start w:val="4"/>
      <w:numFmt w:val="decimal"/>
      <w:lvlText w:val="2.7.%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1" w15:restartNumberingAfterBreak="0">
    <w:nsid w:val="00000144"/>
    <w:multiLevelType w:val="multilevel"/>
    <w:tmpl w:val="00000144"/>
    <w:name w:val="WW8Num324"/>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2" w15:restartNumberingAfterBreak="0">
    <w:nsid w:val="00000145"/>
    <w:multiLevelType w:val="multilevel"/>
    <w:tmpl w:val="00000145"/>
    <w:name w:val="WW8Num32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3" w15:restartNumberingAfterBreak="0">
    <w:nsid w:val="00000146"/>
    <w:multiLevelType w:val="multilevel"/>
    <w:tmpl w:val="00000146"/>
    <w:name w:val="WW8Num326"/>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4" w15:restartNumberingAfterBreak="0">
    <w:nsid w:val="00000147"/>
    <w:multiLevelType w:val="multilevel"/>
    <w:tmpl w:val="00000147"/>
    <w:name w:val="WW8Num327"/>
    <w:lvl w:ilvl="0">
      <w:start w:val="1"/>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5" w15:restartNumberingAfterBreak="0">
    <w:nsid w:val="00000148"/>
    <w:multiLevelType w:val="multilevel"/>
    <w:tmpl w:val="00000148"/>
    <w:name w:val="WW8Num328"/>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6" w15:restartNumberingAfterBreak="0">
    <w:nsid w:val="00000149"/>
    <w:multiLevelType w:val="multilevel"/>
    <w:tmpl w:val="00000149"/>
    <w:name w:val="WW8Num329"/>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7" w15:restartNumberingAfterBreak="0">
    <w:nsid w:val="0000014A"/>
    <w:multiLevelType w:val="multilevel"/>
    <w:tmpl w:val="0000014A"/>
    <w:name w:val="WW8Num330"/>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8" w15:restartNumberingAfterBreak="0">
    <w:nsid w:val="0000014B"/>
    <w:multiLevelType w:val="multilevel"/>
    <w:tmpl w:val="0000014B"/>
    <w:name w:val="WW8Num33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9" w15:restartNumberingAfterBreak="0">
    <w:nsid w:val="0000014C"/>
    <w:multiLevelType w:val="multilevel"/>
    <w:tmpl w:val="0000014C"/>
    <w:name w:val="WW8Num332"/>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0" w15:restartNumberingAfterBreak="0">
    <w:nsid w:val="0000014D"/>
    <w:multiLevelType w:val="multilevel"/>
    <w:tmpl w:val="0000014D"/>
    <w:name w:val="WW8Num333"/>
    <w:lvl w:ilvl="0">
      <w:start w:val="2"/>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1" w15:restartNumberingAfterBreak="0">
    <w:nsid w:val="0000014E"/>
    <w:multiLevelType w:val="multilevel"/>
    <w:tmpl w:val="0000014E"/>
    <w:name w:val="WW8Num334"/>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2" w15:restartNumberingAfterBreak="0">
    <w:nsid w:val="0000014F"/>
    <w:multiLevelType w:val="multilevel"/>
    <w:tmpl w:val="0000014F"/>
    <w:name w:val="WW8Num335"/>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3" w15:restartNumberingAfterBreak="0">
    <w:nsid w:val="00000150"/>
    <w:multiLevelType w:val="multilevel"/>
    <w:tmpl w:val="00000150"/>
    <w:name w:val="WW8Num33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4" w15:restartNumberingAfterBreak="0">
    <w:nsid w:val="00000151"/>
    <w:multiLevelType w:val="multilevel"/>
    <w:tmpl w:val="00000151"/>
    <w:name w:val="WW8Num33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5" w15:restartNumberingAfterBreak="0">
    <w:nsid w:val="00000152"/>
    <w:multiLevelType w:val="multilevel"/>
    <w:tmpl w:val="00000152"/>
    <w:name w:val="WW8Num338"/>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6" w15:restartNumberingAfterBreak="0">
    <w:nsid w:val="00000153"/>
    <w:multiLevelType w:val="multilevel"/>
    <w:tmpl w:val="00000153"/>
    <w:name w:val="WW8Num339"/>
    <w:lvl w:ilvl="0">
      <w:start w:val="3"/>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7" w15:restartNumberingAfterBreak="0">
    <w:nsid w:val="00000154"/>
    <w:multiLevelType w:val="multilevel"/>
    <w:tmpl w:val="00000154"/>
    <w:name w:val="WW8Num340"/>
    <w:lvl w:ilvl="0">
      <w:start w:val="1"/>
      <w:numFmt w:val="decimal"/>
      <w:lvlText w:val="5.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8" w15:restartNumberingAfterBreak="0">
    <w:nsid w:val="00000155"/>
    <w:multiLevelType w:val="multilevel"/>
    <w:tmpl w:val="00000155"/>
    <w:name w:val="WW8Num34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9" w15:restartNumberingAfterBreak="0">
    <w:nsid w:val="00000156"/>
    <w:multiLevelType w:val="multilevel"/>
    <w:tmpl w:val="00000156"/>
    <w:name w:val="WW8Num342"/>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0" w15:restartNumberingAfterBreak="0">
    <w:nsid w:val="00000157"/>
    <w:multiLevelType w:val="multilevel"/>
    <w:tmpl w:val="00000157"/>
    <w:name w:val="WW8Num343"/>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1" w15:restartNumberingAfterBreak="0">
    <w:nsid w:val="00000158"/>
    <w:multiLevelType w:val="multilevel"/>
    <w:tmpl w:val="00000158"/>
    <w:name w:val="WW8Num344"/>
    <w:lvl w:ilvl="0">
      <w:start w:val="2"/>
      <w:numFmt w:val="decimal"/>
      <w:lvlText w:val="5.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2" w15:restartNumberingAfterBreak="0">
    <w:nsid w:val="00000159"/>
    <w:multiLevelType w:val="multilevel"/>
    <w:tmpl w:val="00000159"/>
    <w:name w:val="WW8Num34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3" w15:restartNumberingAfterBreak="0">
    <w:nsid w:val="0000015A"/>
    <w:multiLevelType w:val="multilevel"/>
    <w:tmpl w:val="0000015A"/>
    <w:name w:val="WW8Num346"/>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4" w15:restartNumberingAfterBreak="0">
    <w:nsid w:val="0000015B"/>
    <w:multiLevelType w:val="multilevel"/>
    <w:tmpl w:val="0000015B"/>
    <w:name w:val="WW8Num34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5" w15:restartNumberingAfterBreak="0">
    <w:nsid w:val="0000015C"/>
    <w:multiLevelType w:val="multilevel"/>
    <w:tmpl w:val="0000015C"/>
    <w:name w:val="WW8Num348"/>
    <w:lvl w:ilvl="0">
      <w:start w:val="2"/>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6" w15:restartNumberingAfterBreak="0">
    <w:nsid w:val="0000015D"/>
    <w:multiLevelType w:val="multilevel"/>
    <w:tmpl w:val="0000015D"/>
    <w:name w:val="WW8Num349"/>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7" w15:restartNumberingAfterBreak="0">
    <w:nsid w:val="0000015E"/>
    <w:multiLevelType w:val="multilevel"/>
    <w:tmpl w:val="0000015E"/>
    <w:name w:val="WW8Num350"/>
    <w:lvl w:ilvl="0">
      <w:start w:val="3"/>
      <w:numFmt w:val="decimal"/>
      <w:lvlText w:val="5.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8" w15:restartNumberingAfterBreak="0">
    <w:nsid w:val="0000015F"/>
    <w:multiLevelType w:val="multilevel"/>
    <w:tmpl w:val="0000015F"/>
    <w:name w:val="WW8Num35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9" w15:restartNumberingAfterBreak="0">
    <w:nsid w:val="00000160"/>
    <w:multiLevelType w:val="multilevel"/>
    <w:tmpl w:val="00000160"/>
    <w:name w:val="WW8Num352"/>
    <w:lvl w:ilvl="0">
      <w:start w:val="4"/>
      <w:numFmt w:val="decimal"/>
      <w:lvlText w:val="5.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0" w15:restartNumberingAfterBreak="0">
    <w:nsid w:val="00000161"/>
    <w:multiLevelType w:val="multilevel"/>
    <w:tmpl w:val="00000161"/>
    <w:name w:val="WW8Num353"/>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1" w15:restartNumberingAfterBreak="0">
    <w:nsid w:val="00000162"/>
    <w:multiLevelType w:val="multilevel"/>
    <w:tmpl w:val="00000162"/>
    <w:name w:val="WW8Num354"/>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2" w15:restartNumberingAfterBreak="0">
    <w:nsid w:val="00000163"/>
    <w:multiLevelType w:val="multilevel"/>
    <w:tmpl w:val="00000163"/>
    <w:name w:val="WW8Num35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3" w15:restartNumberingAfterBreak="0">
    <w:nsid w:val="00000164"/>
    <w:multiLevelType w:val="multilevel"/>
    <w:tmpl w:val="00000164"/>
    <w:name w:val="WW8Num356"/>
    <w:lvl w:ilvl="0">
      <w:start w:val="5"/>
      <w:numFmt w:val="decimal"/>
      <w:lvlText w:val="5.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4" w15:restartNumberingAfterBreak="0">
    <w:nsid w:val="00000165"/>
    <w:multiLevelType w:val="multilevel"/>
    <w:tmpl w:val="00000165"/>
    <w:name w:val="WW8Num357"/>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5" w15:restartNumberingAfterBreak="0">
    <w:nsid w:val="00000166"/>
    <w:multiLevelType w:val="multilevel"/>
    <w:tmpl w:val="00000166"/>
    <w:name w:val="WW8Num358"/>
    <w:lvl w:ilvl="0">
      <w:start w:val="6"/>
      <w:numFmt w:val="decimal"/>
      <w:lvlText w:val="5.5.3.%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6" w15:restartNumberingAfterBreak="0">
    <w:nsid w:val="00000167"/>
    <w:multiLevelType w:val="multilevel"/>
    <w:tmpl w:val="00000167"/>
    <w:name w:val="WW8Num359"/>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7" w15:restartNumberingAfterBreak="0">
    <w:nsid w:val="00000168"/>
    <w:multiLevelType w:val="multilevel"/>
    <w:tmpl w:val="00000168"/>
    <w:name w:val="WW8Num360"/>
    <w:lvl w:ilvl="0">
      <w:start w:val="4"/>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8" w15:restartNumberingAfterBreak="0">
    <w:nsid w:val="00000169"/>
    <w:multiLevelType w:val="multilevel"/>
    <w:tmpl w:val="00000169"/>
    <w:name w:val="WW8Num361"/>
    <w:lvl w:ilvl="0">
      <w:start w:val="1"/>
      <w:numFmt w:val="decimal"/>
      <w:lvlText w:val="5.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9" w15:restartNumberingAfterBreak="0">
    <w:nsid w:val="0000016A"/>
    <w:multiLevelType w:val="multilevel"/>
    <w:tmpl w:val="0000016A"/>
    <w:name w:val="WW8Num362"/>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0" w15:restartNumberingAfterBreak="0">
    <w:nsid w:val="0000016B"/>
    <w:multiLevelType w:val="multilevel"/>
    <w:tmpl w:val="0000016B"/>
    <w:name w:val="WW8Num363"/>
    <w:lvl w:ilvl="0">
      <w:start w:val="3"/>
      <w:numFmt w:val="decimal"/>
      <w:lvlText w:val="5.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1" w15:restartNumberingAfterBreak="0">
    <w:nsid w:val="0000016C"/>
    <w:multiLevelType w:val="multilevel"/>
    <w:tmpl w:val="0000016C"/>
    <w:name w:val="WW8Num364"/>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2" w15:restartNumberingAfterBreak="0">
    <w:nsid w:val="0000016D"/>
    <w:multiLevelType w:val="multilevel"/>
    <w:tmpl w:val="0000016D"/>
    <w:name w:val="WW8Num36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3" w15:restartNumberingAfterBreak="0">
    <w:nsid w:val="0000016E"/>
    <w:multiLevelType w:val="multilevel"/>
    <w:tmpl w:val="0000016E"/>
    <w:name w:val="WW8Num366"/>
    <w:lvl w:ilvl="0">
      <w:start w:val="4"/>
      <w:numFmt w:val="decimal"/>
      <w:lvlText w:val="5.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4" w15:restartNumberingAfterBreak="0">
    <w:nsid w:val="0000016F"/>
    <w:multiLevelType w:val="multilevel"/>
    <w:tmpl w:val="0000016F"/>
    <w:name w:val="WW8Num36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5" w15:restartNumberingAfterBreak="0">
    <w:nsid w:val="00000170"/>
    <w:multiLevelType w:val="multilevel"/>
    <w:tmpl w:val="00000170"/>
    <w:name w:val="WW8Num368"/>
    <w:lvl w:ilvl="0">
      <w:start w:val="5"/>
      <w:numFmt w:val="decimal"/>
      <w:lvlText w:val="5.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6" w15:restartNumberingAfterBreak="0">
    <w:nsid w:val="00000171"/>
    <w:multiLevelType w:val="multilevel"/>
    <w:tmpl w:val="00000171"/>
    <w:name w:val="WW8Num369"/>
    <w:lvl w:ilvl="0">
      <w:start w:val="6"/>
      <w:numFmt w:val="decimal"/>
      <w:lvlText w:val="5.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7" w15:restartNumberingAfterBreak="0">
    <w:nsid w:val="00000172"/>
    <w:multiLevelType w:val="multilevel"/>
    <w:tmpl w:val="00000172"/>
    <w:name w:val="WW8Num370"/>
    <w:lvl w:ilvl="0">
      <w:start w:val="7"/>
      <w:numFmt w:val="decimal"/>
      <w:lvlText w:val="5.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8" w15:restartNumberingAfterBreak="0">
    <w:nsid w:val="00000173"/>
    <w:multiLevelType w:val="multilevel"/>
    <w:tmpl w:val="00000173"/>
    <w:name w:val="WW8Num37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9" w15:restartNumberingAfterBreak="0">
    <w:nsid w:val="00000174"/>
    <w:multiLevelType w:val="multilevel"/>
    <w:tmpl w:val="00000174"/>
    <w:name w:val="WW8Num372"/>
    <w:lvl w:ilvl="0">
      <w:start w:val="8"/>
      <w:numFmt w:val="decimal"/>
      <w:lvlText w:val="5.5.4.%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0" w15:restartNumberingAfterBreak="0">
    <w:nsid w:val="00000175"/>
    <w:multiLevelType w:val="multilevel"/>
    <w:tmpl w:val="00000175"/>
    <w:name w:val="WW8Num373"/>
    <w:lvl w:ilvl="0">
      <w:start w:val="5"/>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1" w15:restartNumberingAfterBreak="0">
    <w:nsid w:val="00000176"/>
    <w:multiLevelType w:val="multilevel"/>
    <w:tmpl w:val="00000176"/>
    <w:name w:val="WW8Num374"/>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2" w15:restartNumberingAfterBreak="0">
    <w:nsid w:val="00000177"/>
    <w:multiLevelType w:val="multilevel"/>
    <w:tmpl w:val="00000177"/>
    <w:name w:val="WW8Num37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3" w15:restartNumberingAfterBreak="0">
    <w:nsid w:val="00000178"/>
    <w:multiLevelType w:val="multilevel"/>
    <w:tmpl w:val="00000178"/>
    <w:name w:val="WW8Num376"/>
    <w:lvl w:ilvl="0">
      <w:start w:val="6"/>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4" w15:restartNumberingAfterBreak="0">
    <w:nsid w:val="00000179"/>
    <w:multiLevelType w:val="multilevel"/>
    <w:tmpl w:val="00000179"/>
    <w:name w:val="WW8Num37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5" w15:restartNumberingAfterBreak="0">
    <w:nsid w:val="0000017A"/>
    <w:multiLevelType w:val="multilevel"/>
    <w:tmpl w:val="0000017A"/>
    <w:name w:val="WW8Num378"/>
    <w:lvl w:ilvl="0">
      <w:start w:val="7"/>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6" w15:restartNumberingAfterBreak="0">
    <w:nsid w:val="0000017B"/>
    <w:multiLevelType w:val="multilevel"/>
    <w:tmpl w:val="0000017B"/>
    <w:name w:val="WW8Num379"/>
    <w:lvl w:ilvl="0">
      <w:start w:val="8"/>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7" w15:restartNumberingAfterBreak="0">
    <w:nsid w:val="0000017C"/>
    <w:multiLevelType w:val="multilevel"/>
    <w:tmpl w:val="0000017C"/>
    <w:name w:val="WW8Num380"/>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8" w15:restartNumberingAfterBreak="0">
    <w:nsid w:val="0000017D"/>
    <w:multiLevelType w:val="multilevel"/>
    <w:tmpl w:val="0000017D"/>
    <w:name w:val="WW8Num381"/>
    <w:lvl w:ilvl="0">
      <w:start w:val="2"/>
      <w:numFmt w:val="decimal"/>
      <w:lvlText w:val="5.5.8.%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9" w15:restartNumberingAfterBreak="0">
    <w:nsid w:val="0000017E"/>
    <w:multiLevelType w:val="multilevel"/>
    <w:tmpl w:val="0000017E"/>
    <w:name w:val="WW8Num382"/>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0" w15:restartNumberingAfterBreak="0">
    <w:nsid w:val="0000017F"/>
    <w:multiLevelType w:val="multilevel"/>
    <w:tmpl w:val="0000017F"/>
    <w:name w:val="WW8Num383"/>
    <w:lvl w:ilvl="0">
      <w:start w:val="9"/>
      <w:numFmt w:val="decimal"/>
      <w:lvlText w:val="5.5.%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1" w15:restartNumberingAfterBreak="0">
    <w:nsid w:val="00000180"/>
    <w:multiLevelType w:val="multilevel"/>
    <w:tmpl w:val="00000180"/>
    <w:name w:val="WW8Num384"/>
    <w:lvl w:ilvl="0">
      <w:start w:val="1"/>
      <w:numFmt w:val="decimal"/>
      <w:lvlText w:val="6.2.%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2" w15:restartNumberingAfterBreak="0">
    <w:nsid w:val="00000181"/>
    <w:multiLevelType w:val="multilevel"/>
    <w:tmpl w:val="00000181"/>
    <w:name w:val="WW8Num385"/>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3" w15:restartNumberingAfterBreak="0">
    <w:nsid w:val="00000182"/>
    <w:multiLevelType w:val="multilevel"/>
    <w:tmpl w:val="00000182"/>
    <w:name w:val="WW8Num386"/>
    <w:lvl w:ilvl="0">
      <w:start w:val="2"/>
      <w:numFmt w:val="decimal"/>
      <w:lvlText w:val="6.2.%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4" w15:restartNumberingAfterBreak="0">
    <w:nsid w:val="00000183"/>
    <w:multiLevelType w:val="multilevel"/>
    <w:tmpl w:val="00000183"/>
    <w:name w:val="WW8Num387"/>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5" w15:restartNumberingAfterBreak="0">
    <w:nsid w:val="00000184"/>
    <w:multiLevelType w:val="multilevel"/>
    <w:tmpl w:val="00000184"/>
    <w:name w:val="WW8Num388"/>
    <w:lvl w:ilvl="0">
      <w:start w:val="3"/>
      <w:numFmt w:val="decimal"/>
      <w:lvlText w:val="6.2.%1. "/>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6" w15:restartNumberingAfterBreak="0">
    <w:nsid w:val="00000185"/>
    <w:multiLevelType w:val="multilevel"/>
    <w:tmpl w:val="00000185"/>
    <w:name w:val="WW8Num389"/>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7" w15:restartNumberingAfterBreak="0">
    <w:nsid w:val="00000186"/>
    <w:multiLevelType w:val="multilevel"/>
    <w:tmpl w:val="00000186"/>
    <w:name w:val="WW8Num390"/>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8" w15:restartNumberingAfterBreak="0">
    <w:nsid w:val="00000187"/>
    <w:multiLevelType w:val="multilevel"/>
    <w:tmpl w:val="00000187"/>
    <w:name w:val="WW8Num39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9" w15:restartNumberingAfterBreak="0">
    <w:nsid w:val="00000188"/>
    <w:multiLevelType w:val="multilevel"/>
    <w:tmpl w:val="00000188"/>
    <w:name w:val="WW8Num392"/>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0" w15:restartNumberingAfterBreak="0">
    <w:nsid w:val="00000189"/>
    <w:multiLevelType w:val="multilevel"/>
    <w:tmpl w:val="00000189"/>
    <w:name w:val="WW8Num393"/>
    <w:lvl w:ilvl="0">
      <w:start w:val="67"/>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1" w15:restartNumberingAfterBreak="0">
    <w:nsid w:val="004038C2"/>
    <w:multiLevelType w:val="hybridMultilevel"/>
    <w:tmpl w:val="928807C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007002CC"/>
    <w:multiLevelType w:val="hybridMultilevel"/>
    <w:tmpl w:val="9D16C11E"/>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01041B1F"/>
    <w:multiLevelType w:val="hybridMultilevel"/>
    <w:tmpl w:val="E7EE5BAA"/>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012C11F3"/>
    <w:multiLevelType w:val="hybridMultilevel"/>
    <w:tmpl w:val="FFC48944"/>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022875D4"/>
    <w:multiLevelType w:val="hybridMultilevel"/>
    <w:tmpl w:val="349476D8"/>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6" w15:restartNumberingAfterBreak="0">
    <w:nsid w:val="02330FBB"/>
    <w:multiLevelType w:val="hybridMultilevel"/>
    <w:tmpl w:val="6E6A37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0252218F"/>
    <w:multiLevelType w:val="hybridMultilevel"/>
    <w:tmpl w:val="5944E872"/>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025B07D0"/>
    <w:multiLevelType w:val="hybridMultilevel"/>
    <w:tmpl w:val="951A9DDE"/>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02C14774"/>
    <w:multiLevelType w:val="hybridMultilevel"/>
    <w:tmpl w:val="F3A6DA82"/>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040E2F8C"/>
    <w:multiLevelType w:val="hybridMultilevel"/>
    <w:tmpl w:val="C3C297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041011F5"/>
    <w:multiLevelType w:val="hybridMultilevel"/>
    <w:tmpl w:val="D9EA9D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047A65F7"/>
    <w:multiLevelType w:val="hybridMultilevel"/>
    <w:tmpl w:val="17F44E32"/>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05A35F62"/>
    <w:multiLevelType w:val="hybridMultilevel"/>
    <w:tmpl w:val="A0D6B286"/>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44" w15:restartNumberingAfterBreak="0">
    <w:nsid w:val="05C45986"/>
    <w:multiLevelType w:val="hybridMultilevel"/>
    <w:tmpl w:val="E690CE92"/>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070340C0"/>
    <w:multiLevelType w:val="hybridMultilevel"/>
    <w:tmpl w:val="952066F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083876DC"/>
    <w:multiLevelType w:val="hybridMultilevel"/>
    <w:tmpl w:val="5FD84D1C"/>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47" w15:restartNumberingAfterBreak="0">
    <w:nsid w:val="085D7A36"/>
    <w:multiLevelType w:val="hybridMultilevel"/>
    <w:tmpl w:val="AFB410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8" w15:restartNumberingAfterBreak="0">
    <w:nsid w:val="08B25445"/>
    <w:multiLevelType w:val="hybridMultilevel"/>
    <w:tmpl w:val="E772C0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09500100"/>
    <w:multiLevelType w:val="hybridMultilevel"/>
    <w:tmpl w:val="0E9A7992"/>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09B62D00"/>
    <w:multiLevelType w:val="hybridMultilevel"/>
    <w:tmpl w:val="6554AB2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0C6A6282"/>
    <w:multiLevelType w:val="hybridMultilevel"/>
    <w:tmpl w:val="300ED68E"/>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0C7100E2"/>
    <w:multiLevelType w:val="hybridMultilevel"/>
    <w:tmpl w:val="39B2D6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0D54040C"/>
    <w:multiLevelType w:val="hybridMultilevel"/>
    <w:tmpl w:val="8AF2FC9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0D89613B"/>
    <w:multiLevelType w:val="hybridMultilevel"/>
    <w:tmpl w:val="C3A657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0DA34F50"/>
    <w:multiLevelType w:val="hybridMultilevel"/>
    <w:tmpl w:val="57D63F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6" w15:restartNumberingAfterBreak="0">
    <w:nsid w:val="0DD26579"/>
    <w:multiLevelType w:val="hybridMultilevel"/>
    <w:tmpl w:val="48925B4A"/>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0E323EF8"/>
    <w:multiLevelType w:val="hybridMultilevel"/>
    <w:tmpl w:val="A170DD7A"/>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0E4A66FC"/>
    <w:multiLevelType w:val="multilevel"/>
    <w:tmpl w:val="24088F9E"/>
    <w:styleLink w:val="WW8Num6"/>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59" w15:restartNumberingAfterBreak="0">
    <w:nsid w:val="0E8B17E4"/>
    <w:multiLevelType w:val="hybridMultilevel"/>
    <w:tmpl w:val="82486E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15:restartNumberingAfterBreak="0">
    <w:nsid w:val="0EE942C4"/>
    <w:multiLevelType w:val="hybridMultilevel"/>
    <w:tmpl w:val="1C5EC2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1" w15:restartNumberingAfterBreak="0">
    <w:nsid w:val="0F240538"/>
    <w:multiLevelType w:val="hybridMultilevel"/>
    <w:tmpl w:val="C838A3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10327E98"/>
    <w:multiLevelType w:val="hybridMultilevel"/>
    <w:tmpl w:val="D15E79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10BE0B8C"/>
    <w:multiLevelType w:val="hybridMultilevel"/>
    <w:tmpl w:val="825EE0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11300204"/>
    <w:multiLevelType w:val="hybridMultilevel"/>
    <w:tmpl w:val="9F7E3D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11CA38FA"/>
    <w:multiLevelType w:val="hybridMultilevel"/>
    <w:tmpl w:val="402C67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14037BF7"/>
    <w:multiLevelType w:val="hybridMultilevel"/>
    <w:tmpl w:val="043A7062"/>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14FE0DC2"/>
    <w:multiLevelType w:val="multilevel"/>
    <w:tmpl w:val="FDB8019E"/>
    <w:styleLink w:val="WW8Num79"/>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68" w15:restartNumberingAfterBreak="0">
    <w:nsid w:val="1643406C"/>
    <w:multiLevelType w:val="hybridMultilevel"/>
    <w:tmpl w:val="597205B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9" w15:restartNumberingAfterBreak="0">
    <w:nsid w:val="17322045"/>
    <w:multiLevelType w:val="hybridMultilevel"/>
    <w:tmpl w:val="C0C4A5FE"/>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173D4306"/>
    <w:multiLevelType w:val="hybridMultilevel"/>
    <w:tmpl w:val="69E885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1" w15:restartNumberingAfterBreak="0">
    <w:nsid w:val="17AF37E6"/>
    <w:multiLevelType w:val="hybridMultilevel"/>
    <w:tmpl w:val="D102DA1A"/>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2" w15:restartNumberingAfterBreak="0">
    <w:nsid w:val="17BB205C"/>
    <w:multiLevelType w:val="multilevel"/>
    <w:tmpl w:val="2AB84ED0"/>
    <w:styleLink w:val="WW8Num90"/>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73" w15:restartNumberingAfterBreak="0">
    <w:nsid w:val="18535D0A"/>
    <w:multiLevelType w:val="hybridMultilevel"/>
    <w:tmpl w:val="D87A6480"/>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1857717D"/>
    <w:multiLevelType w:val="hybridMultilevel"/>
    <w:tmpl w:val="B5C00B7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18965E78"/>
    <w:multiLevelType w:val="hybridMultilevel"/>
    <w:tmpl w:val="0A826538"/>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6" w15:restartNumberingAfterBreak="0">
    <w:nsid w:val="18F65959"/>
    <w:multiLevelType w:val="hybridMultilevel"/>
    <w:tmpl w:val="48AC43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194E69FA"/>
    <w:multiLevelType w:val="hybridMultilevel"/>
    <w:tmpl w:val="E3FCB880"/>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78" w15:restartNumberingAfterBreak="0">
    <w:nsid w:val="19546F83"/>
    <w:multiLevelType w:val="hybridMultilevel"/>
    <w:tmpl w:val="A0C2A746"/>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19F214BA"/>
    <w:multiLevelType w:val="hybridMultilevel"/>
    <w:tmpl w:val="0632E63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1ABD01A7"/>
    <w:multiLevelType w:val="hybridMultilevel"/>
    <w:tmpl w:val="112E643A"/>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1ABD6CB5"/>
    <w:multiLevelType w:val="multilevel"/>
    <w:tmpl w:val="0000007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2" w15:restartNumberingAfterBreak="0">
    <w:nsid w:val="1B53650D"/>
    <w:multiLevelType w:val="hybridMultilevel"/>
    <w:tmpl w:val="BD8880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1CA354EF"/>
    <w:multiLevelType w:val="hybridMultilevel"/>
    <w:tmpl w:val="DF4C0D0E"/>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1D197FAD"/>
    <w:multiLevelType w:val="hybridMultilevel"/>
    <w:tmpl w:val="60AACB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5" w15:restartNumberingAfterBreak="0">
    <w:nsid w:val="1D9F03D7"/>
    <w:multiLevelType w:val="hybridMultilevel"/>
    <w:tmpl w:val="B43E327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6" w15:restartNumberingAfterBreak="0">
    <w:nsid w:val="1DB13361"/>
    <w:multiLevelType w:val="hybridMultilevel"/>
    <w:tmpl w:val="EA127CEE"/>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87" w15:restartNumberingAfterBreak="0">
    <w:nsid w:val="1E9A3E25"/>
    <w:multiLevelType w:val="hybridMultilevel"/>
    <w:tmpl w:val="749C2698"/>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88" w15:restartNumberingAfterBreak="0">
    <w:nsid w:val="1F506AA2"/>
    <w:multiLevelType w:val="hybridMultilevel"/>
    <w:tmpl w:val="59822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1FFA73E4"/>
    <w:multiLevelType w:val="hybridMultilevel"/>
    <w:tmpl w:val="8D30DB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0" w15:restartNumberingAfterBreak="0">
    <w:nsid w:val="205A5193"/>
    <w:multiLevelType w:val="hybridMultilevel"/>
    <w:tmpl w:val="7CE27D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216606DD"/>
    <w:multiLevelType w:val="hybridMultilevel"/>
    <w:tmpl w:val="88A80D70"/>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2" w15:restartNumberingAfterBreak="0">
    <w:nsid w:val="21F149ED"/>
    <w:multiLevelType w:val="hybridMultilevel"/>
    <w:tmpl w:val="8F1E0B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22AE3895"/>
    <w:multiLevelType w:val="hybridMultilevel"/>
    <w:tmpl w:val="95927D2A"/>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23342E54"/>
    <w:multiLevelType w:val="hybridMultilevel"/>
    <w:tmpl w:val="31BA083E"/>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24395432"/>
    <w:multiLevelType w:val="hybridMultilevel"/>
    <w:tmpl w:val="A3244BD6"/>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6" w15:restartNumberingAfterBreak="0">
    <w:nsid w:val="25FB3DAB"/>
    <w:multiLevelType w:val="hybridMultilevel"/>
    <w:tmpl w:val="C9EE41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26170C85"/>
    <w:multiLevelType w:val="hybridMultilevel"/>
    <w:tmpl w:val="21225BC6"/>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8" w15:restartNumberingAfterBreak="0">
    <w:nsid w:val="269D1977"/>
    <w:multiLevelType w:val="hybridMultilevel"/>
    <w:tmpl w:val="F054479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9" w15:restartNumberingAfterBreak="0">
    <w:nsid w:val="26F711BE"/>
    <w:multiLevelType w:val="hybridMultilevel"/>
    <w:tmpl w:val="86CCC6A8"/>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0" w15:restartNumberingAfterBreak="0">
    <w:nsid w:val="272859CC"/>
    <w:multiLevelType w:val="hybridMultilevel"/>
    <w:tmpl w:val="227C67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272A42B7"/>
    <w:multiLevelType w:val="hybridMultilevel"/>
    <w:tmpl w:val="7EB42BBA"/>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275B7C51"/>
    <w:multiLevelType w:val="hybridMultilevel"/>
    <w:tmpl w:val="1500E372"/>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3" w15:restartNumberingAfterBreak="0">
    <w:nsid w:val="27BF1434"/>
    <w:multiLevelType w:val="hybridMultilevel"/>
    <w:tmpl w:val="AB881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27F938DA"/>
    <w:multiLevelType w:val="hybridMultilevel"/>
    <w:tmpl w:val="326A6C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5" w15:restartNumberingAfterBreak="0">
    <w:nsid w:val="283E19C8"/>
    <w:multiLevelType w:val="hybridMultilevel"/>
    <w:tmpl w:val="86AE54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6" w15:restartNumberingAfterBreak="0">
    <w:nsid w:val="283F306C"/>
    <w:multiLevelType w:val="hybridMultilevel"/>
    <w:tmpl w:val="127442B8"/>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29C24390"/>
    <w:multiLevelType w:val="multilevel"/>
    <w:tmpl w:val="78EEB2D4"/>
    <w:styleLink w:val="WW8Num82"/>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08" w15:restartNumberingAfterBreak="0">
    <w:nsid w:val="2A844A07"/>
    <w:multiLevelType w:val="hybridMultilevel"/>
    <w:tmpl w:val="D6B0C390"/>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9" w15:restartNumberingAfterBreak="0">
    <w:nsid w:val="2AAC53C1"/>
    <w:multiLevelType w:val="hybridMultilevel"/>
    <w:tmpl w:val="FAA2BAB6"/>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2AF06549"/>
    <w:multiLevelType w:val="hybridMultilevel"/>
    <w:tmpl w:val="75047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2AF53779"/>
    <w:multiLevelType w:val="hybridMultilevel"/>
    <w:tmpl w:val="C97AEA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2" w15:restartNumberingAfterBreak="0">
    <w:nsid w:val="2B314127"/>
    <w:multiLevelType w:val="hybridMultilevel"/>
    <w:tmpl w:val="A2809594"/>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3" w15:restartNumberingAfterBreak="0">
    <w:nsid w:val="2B593081"/>
    <w:multiLevelType w:val="hybridMultilevel"/>
    <w:tmpl w:val="6DB29F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2B837A1A"/>
    <w:multiLevelType w:val="hybridMultilevel"/>
    <w:tmpl w:val="D8282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15:restartNumberingAfterBreak="0">
    <w:nsid w:val="2B8C54A9"/>
    <w:multiLevelType w:val="hybridMultilevel"/>
    <w:tmpl w:val="77D0D2B4"/>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2C05007A"/>
    <w:multiLevelType w:val="hybridMultilevel"/>
    <w:tmpl w:val="263644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2CF26DE2"/>
    <w:multiLevelType w:val="hybridMultilevel"/>
    <w:tmpl w:val="BC0473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8" w15:restartNumberingAfterBreak="0">
    <w:nsid w:val="2DAE2A55"/>
    <w:multiLevelType w:val="hybridMultilevel"/>
    <w:tmpl w:val="C226A1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2DE30956"/>
    <w:multiLevelType w:val="multilevel"/>
    <w:tmpl w:val="0000007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20" w15:restartNumberingAfterBreak="0">
    <w:nsid w:val="2F3E223B"/>
    <w:multiLevelType w:val="hybridMultilevel"/>
    <w:tmpl w:val="E1889B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309F755C"/>
    <w:multiLevelType w:val="hybridMultilevel"/>
    <w:tmpl w:val="46FA716E"/>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15:restartNumberingAfterBreak="0">
    <w:nsid w:val="30B37B90"/>
    <w:multiLevelType w:val="hybridMultilevel"/>
    <w:tmpl w:val="05641240"/>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30D05250"/>
    <w:multiLevelType w:val="hybridMultilevel"/>
    <w:tmpl w:val="806413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30E75D03"/>
    <w:multiLevelType w:val="hybridMultilevel"/>
    <w:tmpl w:val="EC42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312F2750"/>
    <w:multiLevelType w:val="hybridMultilevel"/>
    <w:tmpl w:val="C862E7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314E4D12"/>
    <w:multiLevelType w:val="hybridMultilevel"/>
    <w:tmpl w:val="1A548CEE"/>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32772C99"/>
    <w:multiLevelType w:val="hybridMultilevel"/>
    <w:tmpl w:val="01DC9432"/>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32AB7C30"/>
    <w:multiLevelType w:val="hybridMultilevel"/>
    <w:tmpl w:val="97983B36"/>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3391005A"/>
    <w:multiLevelType w:val="hybridMultilevel"/>
    <w:tmpl w:val="99B0A464"/>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34043AC5"/>
    <w:multiLevelType w:val="hybridMultilevel"/>
    <w:tmpl w:val="2D7C4B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1" w15:restartNumberingAfterBreak="0">
    <w:nsid w:val="347E0D8B"/>
    <w:multiLevelType w:val="hybridMultilevel"/>
    <w:tmpl w:val="96AE16EC"/>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2" w15:restartNumberingAfterBreak="0">
    <w:nsid w:val="34A0103D"/>
    <w:multiLevelType w:val="hybridMultilevel"/>
    <w:tmpl w:val="88188C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355A076A"/>
    <w:multiLevelType w:val="hybridMultilevel"/>
    <w:tmpl w:val="EF8A1A28"/>
    <w:lvl w:ilvl="0" w:tplc="04150001">
      <w:start w:val="1"/>
      <w:numFmt w:val="bullet"/>
      <w:lvlText w:val=""/>
      <w:lvlJc w:val="left"/>
      <w:pPr>
        <w:ind w:left="1426" w:hanging="360"/>
      </w:pPr>
      <w:rPr>
        <w:rFonts w:ascii="Symbol" w:hAnsi="Symbol" w:hint="default"/>
      </w:rPr>
    </w:lvl>
    <w:lvl w:ilvl="1" w:tplc="04150003" w:tentative="1">
      <w:start w:val="1"/>
      <w:numFmt w:val="bullet"/>
      <w:lvlText w:val="o"/>
      <w:lvlJc w:val="left"/>
      <w:pPr>
        <w:ind w:left="2146" w:hanging="360"/>
      </w:pPr>
      <w:rPr>
        <w:rFonts w:ascii="Courier New" w:hAnsi="Courier New" w:cs="Courier New" w:hint="default"/>
      </w:rPr>
    </w:lvl>
    <w:lvl w:ilvl="2" w:tplc="04150005" w:tentative="1">
      <w:start w:val="1"/>
      <w:numFmt w:val="bullet"/>
      <w:lvlText w:val=""/>
      <w:lvlJc w:val="left"/>
      <w:pPr>
        <w:ind w:left="2866" w:hanging="360"/>
      </w:pPr>
      <w:rPr>
        <w:rFonts w:ascii="Wingdings" w:hAnsi="Wingdings" w:hint="default"/>
      </w:rPr>
    </w:lvl>
    <w:lvl w:ilvl="3" w:tplc="04150001" w:tentative="1">
      <w:start w:val="1"/>
      <w:numFmt w:val="bullet"/>
      <w:lvlText w:val=""/>
      <w:lvlJc w:val="left"/>
      <w:pPr>
        <w:ind w:left="3586" w:hanging="360"/>
      </w:pPr>
      <w:rPr>
        <w:rFonts w:ascii="Symbol" w:hAnsi="Symbol" w:hint="default"/>
      </w:rPr>
    </w:lvl>
    <w:lvl w:ilvl="4" w:tplc="04150003" w:tentative="1">
      <w:start w:val="1"/>
      <w:numFmt w:val="bullet"/>
      <w:lvlText w:val="o"/>
      <w:lvlJc w:val="left"/>
      <w:pPr>
        <w:ind w:left="4306" w:hanging="360"/>
      </w:pPr>
      <w:rPr>
        <w:rFonts w:ascii="Courier New" w:hAnsi="Courier New" w:cs="Courier New" w:hint="default"/>
      </w:rPr>
    </w:lvl>
    <w:lvl w:ilvl="5" w:tplc="04150005" w:tentative="1">
      <w:start w:val="1"/>
      <w:numFmt w:val="bullet"/>
      <w:lvlText w:val=""/>
      <w:lvlJc w:val="left"/>
      <w:pPr>
        <w:ind w:left="5026" w:hanging="360"/>
      </w:pPr>
      <w:rPr>
        <w:rFonts w:ascii="Wingdings" w:hAnsi="Wingdings" w:hint="default"/>
      </w:rPr>
    </w:lvl>
    <w:lvl w:ilvl="6" w:tplc="04150001" w:tentative="1">
      <w:start w:val="1"/>
      <w:numFmt w:val="bullet"/>
      <w:lvlText w:val=""/>
      <w:lvlJc w:val="left"/>
      <w:pPr>
        <w:ind w:left="5746" w:hanging="360"/>
      </w:pPr>
      <w:rPr>
        <w:rFonts w:ascii="Symbol" w:hAnsi="Symbol" w:hint="default"/>
      </w:rPr>
    </w:lvl>
    <w:lvl w:ilvl="7" w:tplc="04150003" w:tentative="1">
      <w:start w:val="1"/>
      <w:numFmt w:val="bullet"/>
      <w:lvlText w:val="o"/>
      <w:lvlJc w:val="left"/>
      <w:pPr>
        <w:ind w:left="6466" w:hanging="360"/>
      </w:pPr>
      <w:rPr>
        <w:rFonts w:ascii="Courier New" w:hAnsi="Courier New" w:cs="Courier New" w:hint="default"/>
      </w:rPr>
    </w:lvl>
    <w:lvl w:ilvl="8" w:tplc="04150005" w:tentative="1">
      <w:start w:val="1"/>
      <w:numFmt w:val="bullet"/>
      <w:lvlText w:val=""/>
      <w:lvlJc w:val="left"/>
      <w:pPr>
        <w:ind w:left="7186" w:hanging="360"/>
      </w:pPr>
      <w:rPr>
        <w:rFonts w:ascii="Wingdings" w:hAnsi="Wingdings" w:hint="default"/>
      </w:rPr>
    </w:lvl>
  </w:abstractNum>
  <w:abstractNum w:abstractNumId="434" w15:restartNumberingAfterBreak="0">
    <w:nsid w:val="356D5666"/>
    <w:multiLevelType w:val="hybridMultilevel"/>
    <w:tmpl w:val="594ABDB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359A1D9D"/>
    <w:multiLevelType w:val="hybridMultilevel"/>
    <w:tmpl w:val="B0E033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6" w15:restartNumberingAfterBreak="0">
    <w:nsid w:val="363F4BB9"/>
    <w:multiLevelType w:val="hybridMultilevel"/>
    <w:tmpl w:val="945C1A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7" w15:restartNumberingAfterBreak="0">
    <w:nsid w:val="364360E9"/>
    <w:multiLevelType w:val="hybridMultilevel"/>
    <w:tmpl w:val="51802842"/>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8" w15:restartNumberingAfterBreak="0">
    <w:nsid w:val="36D70F48"/>
    <w:multiLevelType w:val="hybridMultilevel"/>
    <w:tmpl w:val="D62A9E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9" w15:restartNumberingAfterBreak="0">
    <w:nsid w:val="372D73EF"/>
    <w:multiLevelType w:val="hybridMultilevel"/>
    <w:tmpl w:val="4C387D2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375332A1"/>
    <w:multiLevelType w:val="hybridMultilevel"/>
    <w:tmpl w:val="5706FDF2"/>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38A43DC7"/>
    <w:multiLevelType w:val="hybridMultilevel"/>
    <w:tmpl w:val="5588A5EE"/>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399E16F7"/>
    <w:multiLevelType w:val="hybridMultilevel"/>
    <w:tmpl w:val="BD7272C8"/>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3A091C20"/>
    <w:multiLevelType w:val="hybridMultilevel"/>
    <w:tmpl w:val="F410A172"/>
    <w:lvl w:ilvl="0" w:tplc="1E761B90">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3A6D269A"/>
    <w:multiLevelType w:val="hybridMultilevel"/>
    <w:tmpl w:val="B8343D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5" w15:restartNumberingAfterBreak="0">
    <w:nsid w:val="3B2B2035"/>
    <w:multiLevelType w:val="hybridMultilevel"/>
    <w:tmpl w:val="6E226C4C"/>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6" w15:restartNumberingAfterBreak="0">
    <w:nsid w:val="3B3A5461"/>
    <w:multiLevelType w:val="hybridMultilevel"/>
    <w:tmpl w:val="7ED05F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7" w15:restartNumberingAfterBreak="0">
    <w:nsid w:val="3BA97DBE"/>
    <w:multiLevelType w:val="multilevel"/>
    <w:tmpl w:val="0000007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48" w15:restartNumberingAfterBreak="0">
    <w:nsid w:val="3BCE7FEC"/>
    <w:multiLevelType w:val="hybridMultilevel"/>
    <w:tmpl w:val="76B6AC1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9" w15:restartNumberingAfterBreak="0">
    <w:nsid w:val="3C105F34"/>
    <w:multiLevelType w:val="hybridMultilevel"/>
    <w:tmpl w:val="ADF2BAB0"/>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3C7934DA"/>
    <w:multiLevelType w:val="hybridMultilevel"/>
    <w:tmpl w:val="BD1EC2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3D081722"/>
    <w:multiLevelType w:val="hybridMultilevel"/>
    <w:tmpl w:val="85E2AD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3EAD3AAB"/>
    <w:multiLevelType w:val="hybridMultilevel"/>
    <w:tmpl w:val="0D82A0D8"/>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3" w15:restartNumberingAfterBreak="0">
    <w:nsid w:val="3ED352C6"/>
    <w:multiLevelType w:val="hybridMultilevel"/>
    <w:tmpl w:val="01F431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3F3E6C49"/>
    <w:multiLevelType w:val="hybridMultilevel"/>
    <w:tmpl w:val="AD18E5AA"/>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3FCD59F3"/>
    <w:multiLevelType w:val="hybridMultilevel"/>
    <w:tmpl w:val="52E82718"/>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56" w15:restartNumberingAfterBreak="0">
    <w:nsid w:val="433F0C51"/>
    <w:multiLevelType w:val="hybridMultilevel"/>
    <w:tmpl w:val="728247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4387609E"/>
    <w:multiLevelType w:val="hybridMultilevel"/>
    <w:tmpl w:val="8B1AE186"/>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8" w15:restartNumberingAfterBreak="0">
    <w:nsid w:val="4398506C"/>
    <w:multiLevelType w:val="hybridMultilevel"/>
    <w:tmpl w:val="89D2B2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9" w15:restartNumberingAfterBreak="0">
    <w:nsid w:val="43C22578"/>
    <w:multiLevelType w:val="hybridMultilevel"/>
    <w:tmpl w:val="336638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43ED1332"/>
    <w:multiLevelType w:val="hybridMultilevel"/>
    <w:tmpl w:val="81D436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45CB4890"/>
    <w:multiLevelType w:val="hybridMultilevel"/>
    <w:tmpl w:val="132830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15:restartNumberingAfterBreak="0">
    <w:nsid w:val="46347EC7"/>
    <w:multiLevelType w:val="hybridMultilevel"/>
    <w:tmpl w:val="6D5835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3" w15:restartNumberingAfterBreak="0">
    <w:nsid w:val="464A4E5C"/>
    <w:multiLevelType w:val="hybridMultilevel"/>
    <w:tmpl w:val="DDEE99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4" w15:restartNumberingAfterBreak="0">
    <w:nsid w:val="47E27830"/>
    <w:multiLevelType w:val="hybridMultilevel"/>
    <w:tmpl w:val="64CA0B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5" w15:restartNumberingAfterBreak="0">
    <w:nsid w:val="48424D89"/>
    <w:multiLevelType w:val="hybridMultilevel"/>
    <w:tmpl w:val="4FCEFB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48564FC4"/>
    <w:multiLevelType w:val="hybridMultilevel"/>
    <w:tmpl w:val="3C40D4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7" w15:restartNumberingAfterBreak="0">
    <w:nsid w:val="487732FD"/>
    <w:multiLevelType w:val="hybridMultilevel"/>
    <w:tmpl w:val="05CA99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48FC24E7"/>
    <w:multiLevelType w:val="hybridMultilevel"/>
    <w:tmpl w:val="9BD60708"/>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9" w15:restartNumberingAfterBreak="0">
    <w:nsid w:val="49742F52"/>
    <w:multiLevelType w:val="hybridMultilevel"/>
    <w:tmpl w:val="DCF892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0" w15:restartNumberingAfterBreak="0">
    <w:nsid w:val="497604B3"/>
    <w:multiLevelType w:val="hybridMultilevel"/>
    <w:tmpl w:val="3C90C5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4AF60947"/>
    <w:multiLevelType w:val="multilevel"/>
    <w:tmpl w:val="1458F020"/>
    <w:styleLink w:val="WW8Num86"/>
    <w:lvl w:ilvl="0">
      <w:numFmt w:val="bullet"/>
      <w:lvlText w:val=""/>
      <w:lvlJc w:val="left"/>
      <w:rPr>
        <w:rFonts w:ascii="Symbol" w:hAnsi="Symbol"/>
      </w:rPr>
    </w:lvl>
    <w:lvl w:ilvl="1">
      <w:numFmt w:val="bullet"/>
      <w:lvlText w:val="◦"/>
      <w:lvlJc w:val="left"/>
      <w:rPr>
        <w:rFonts w:ascii="OpenSymbol, 'Arial Unicode MS'" w:hAnsi="OpenSymbol, 'Arial Unicode MS'" w:cs="StarSymbol, 'Arial Unicode MS'"/>
        <w:sz w:val="18"/>
        <w:szCs w:val="18"/>
      </w:rPr>
    </w:lvl>
    <w:lvl w:ilvl="2">
      <w:numFmt w:val="bullet"/>
      <w:lvlText w:val="▪"/>
      <w:lvlJc w:val="left"/>
      <w:rPr>
        <w:rFonts w:ascii="OpenSymbol, 'Arial Unicode MS'" w:hAnsi="OpenSymbol, 'Arial Unicode MS'" w:cs="StarSymbol, 'Arial Unicode MS'"/>
        <w:sz w:val="18"/>
        <w:szCs w:val="18"/>
      </w:rPr>
    </w:lvl>
    <w:lvl w:ilvl="3">
      <w:numFmt w:val="bullet"/>
      <w:lvlText w:val=""/>
      <w:lvlJc w:val="left"/>
      <w:rPr>
        <w:rFonts w:ascii="Symbol" w:hAnsi="Symbol"/>
      </w:rPr>
    </w:lvl>
    <w:lvl w:ilvl="4">
      <w:numFmt w:val="bullet"/>
      <w:lvlText w:val="◦"/>
      <w:lvlJc w:val="left"/>
      <w:rPr>
        <w:rFonts w:ascii="OpenSymbol, 'Arial Unicode MS'" w:hAnsi="OpenSymbol, 'Arial Unicode MS'" w:cs="StarSymbol, 'Arial Unicode MS'"/>
        <w:sz w:val="18"/>
        <w:szCs w:val="18"/>
      </w:rPr>
    </w:lvl>
    <w:lvl w:ilvl="5">
      <w:numFmt w:val="bullet"/>
      <w:lvlText w:val="▪"/>
      <w:lvlJc w:val="left"/>
      <w:rPr>
        <w:rFonts w:ascii="OpenSymbol, 'Arial Unicode MS'" w:hAnsi="OpenSymbol, 'Arial Unicode MS'" w:cs="StarSymbol, 'Arial Unicode MS'"/>
        <w:sz w:val="18"/>
        <w:szCs w:val="18"/>
      </w:rPr>
    </w:lvl>
    <w:lvl w:ilvl="6">
      <w:numFmt w:val="bullet"/>
      <w:lvlText w:val=""/>
      <w:lvlJc w:val="left"/>
      <w:rPr>
        <w:rFonts w:ascii="Symbol" w:hAnsi="Symbol"/>
      </w:rPr>
    </w:lvl>
    <w:lvl w:ilvl="7">
      <w:numFmt w:val="bullet"/>
      <w:lvlText w:val="◦"/>
      <w:lvlJc w:val="left"/>
      <w:rPr>
        <w:rFonts w:ascii="OpenSymbol, 'Arial Unicode MS'" w:hAnsi="OpenSymbol, 'Arial Unicode MS'" w:cs="StarSymbol, 'Arial Unicode MS'"/>
        <w:sz w:val="18"/>
        <w:szCs w:val="18"/>
      </w:rPr>
    </w:lvl>
    <w:lvl w:ilvl="8">
      <w:numFmt w:val="bullet"/>
      <w:lvlText w:val="▪"/>
      <w:lvlJc w:val="left"/>
      <w:rPr>
        <w:rFonts w:ascii="OpenSymbol, 'Arial Unicode MS'" w:hAnsi="OpenSymbol, 'Arial Unicode MS'" w:cs="StarSymbol, 'Arial Unicode MS'"/>
        <w:sz w:val="18"/>
        <w:szCs w:val="18"/>
      </w:rPr>
    </w:lvl>
  </w:abstractNum>
  <w:abstractNum w:abstractNumId="472" w15:restartNumberingAfterBreak="0">
    <w:nsid w:val="4B802C0F"/>
    <w:multiLevelType w:val="hybridMultilevel"/>
    <w:tmpl w:val="776CF36E"/>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3" w15:restartNumberingAfterBreak="0">
    <w:nsid w:val="4BEB2F63"/>
    <w:multiLevelType w:val="multilevel"/>
    <w:tmpl w:val="609A8124"/>
    <w:styleLink w:val="WW8Num84"/>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74" w15:restartNumberingAfterBreak="0">
    <w:nsid w:val="4C5340A7"/>
    <w:multiLevelType w:val="hybridMultilevel"/>
    <w:tmpl w:val="2D2440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4C79135D"/>
    <w:multiLevelType w:val="hybridMultilevel"/>
    <w:tmpl w:val="482654CA"/>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4D8957CA"/>
    <w:multiLevelType w:val="hybridMultilevel"/>
    <w:tmpl w:val="CDE8ED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7" w15:restartNumberingAfterBreak="0">
    <w:nsid w:val="4DDF3978"/>
    <w:multiLevelType w:val="hybridMultilevel"/>
    <w:tmpl w:val="FCCA7A5E"/>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8" w15:restartNumberingAfterBreak="0">
    <w:nsid w:val="4E8F1C6B"/>
    <w:multiLevelType w:val="hybridMultilevel"/>
    <w:tmpl w:val="FEFA4158"/>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4EB82664"/>
    <w:multiLevelType w:val="hybridMultilevel"/>
    <w:tmpl w:val="6FEAD8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504119E5"/>
    <w:multiLevelType w:val="hybridMultilevel"/>
    <w:tmpl w:val="8C564436"/>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15:restartNumberingAfterBreak="0">
    <w:nsid w:val="511A1635"/>
    <w:multiLevelType w:val="multilevel"/>
    <w:tmpl w:val="286894A6"/>
    <w:styleLink w:val="WW8Num89"/>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82" w15:restartNumberingAfterBreak="0">
    <w:nsid w:val="52264749"/>
    <w:multiLevelType w:val="hybridMultilevel"/>
    <w:tmpl w:val="F558BB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3" w15:restartNumberingAfterBreak="0">
    <w:nsid w:val="52F82E67"/>
    <w:multiLevelType w:val="hybridMultilevel"/>
    <w:tmpl w:val="DE527A18"/>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4" w15:restartNumberingAfterBreak="0">
    <w:nsid w:val="539718F6"/>
    <w:multiLevelType w:val="hybridMultilevel"/>
    <w:tmpl w:val="12CEE4B8"/>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5" w15:restartNumberingAfterBreak="0">
    <w:nsid w:val="560B3646"/>
    <w:multiLevelType w:val="hybridMultilevel"/>
    <w:tmpl w:val="A2F63C32"/>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6" w15:restartNumberingAfterBreak="0">
    <w:nsid w:val="56827E55"/>
    <w:multiLevelType w:val="hybridMultilevel"/>
    <w:tmpl w:val="0396E1DA"/>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7" w15:restartNumberingAfterBreak="0">
    <w:nsid w:val="571D46B2"/>
    <w:multiLevelType w:val="multilevel"/>
    <w:tmpl w:val="B11C1CBC"/>
    <w:styleLink w:val="WW8Num88"/>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88" w15:restartNumberingAfterBreak="0">
    <w:nsid w:val="577D15D0"/>
    <w:multiLevelType w:val="hybridMultilevel"/>
    <w:tmpl w:val="974846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59170C88"/>
    <w:multiLevelType w:val="multilevel"/>
    <w:tmpl w:val="CFD01D8A"/>
    <w:styleLink w:val="WW8Num87"/>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90" w15:restartNumberingAfterBreak="0">
    <w:nsid w:val="59DC0B90"/>
    <w:multiLevelType w:val="hybridMultilevel"/>
    <w:tmpl w:val="28ACC52C"/>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1" w15:restartNumberingAfterBreak="0">
    <w:nsid w:val="5A247216"/>
    <w:multiLevelType w:val="hybridMultilevel"/>
    <w:tmpl w:val="7668F2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2" w15:restartNumberingAfterBreak="0">
    <w:nsid w:val="5A925CE9"/>
    <w:multiLevelType w:val="multilevel"/>
    <w:tmpl w:val="3514CC50"/>
    <w:styleLink w:val="WW8Num85"/>
    <w:lvl w:ilvl="0">
      <w:numFmt w:val="bullet"/>
      <w:lvlText w:val=""/>
      <w:lvlJc w:val="left"/>
      <w:rPr>
        <w:rFonts w:ascii="Symbol" w:hAnsi="Symbol"/>
      </w:rPr>
    </w:lvl>
    <w:lvl w:ilvl="1">
      <w:numFmt w:val="bullet"/>
      <w:lvlText w:val="◦"/>
      <w:lvlJc w:val="left"/>
      <w:rPr>
        <w:rFonts w:ascii="OpenSymbol, 'Arial Unicode MS'" w:hAnsi="OpenSymbol, 'Arial Unicode MS'" w:cs="StarSymbol, 'Arial Unicode MS'"/>
        <w:sz w:val="18"/>
        <w:szCs w:val="18"/>
      </w:rPr>
    </w:lvl>
    <w:lvl w:ilvl="2">
      <w:numFmt w:val="bullet"/>
      <w:lvlText w:val="▪"/>
      <w:lvlJc w:val="left"/>
      <w:rPr>
        <w:rFonts w:ascii="OpenSymbol, 'Arial Unicode MS'" w:hAnsi="OpenSymbol, 'Arial Unicode MS'" w:cs="StarSymbol, 'Arial Unicode MS'"/>
        <w:sz w:val="18"/>
        <w:szCs w:val="18"/>
      </w:rPr>
    </w:lvl>
    <w:lvl w:ilvl="3">
      <w:numFmt w:val="bullet"/>
      <w:lvlText w:val=""/>
      <w:lvlJc w:val="left"/>
      <w:rPr>
        <w:rFonts w:ascii="Symbol" w:hAnsi="Symbol"/>
      </w:rPr>
    </w:lvl>
    <w:lvl w:ilvl="4">
      <w:numFmt w:val="bullet"/>
      <w:lvlText w:val="◦"/>
      <w:lvlJc w:val="left"/>
      <w:rPr>
        <w:rFonts w:ascii="OpenSymbol, 'Arial Unicode MS'" w:hAnsi="OpenSymbol, 'Arial Unicode MS'" w:cs="StarSymbol, 'Arial Unicode MS'"/>
        <w:sz w:val="18"/>
        <w:szCs w:val="18"/>
      </w:rPr>
    </w:lvl>
    <w:lvl w:ilvl="5">
      <w:numFmt w:val="bullet"/>
      <w:lvlText w:val="▪"/>
      <w:lvlJc w:val="left"/>
      <w:rPr>
        <w:rFonts w:ascii="OpenSymbol, 'Arial Unicode MS'" w:hAnsi="OpenSymbol, 'Arial Unicode MS'" w:cs="StarSymbol, 'Arial Unicode MS'"/>
        <w:sz w:val="18"/>
        <w:szCs w:val="18"/>
      </w:rPr>
    </w:lvl>
    <w:lvl w:ilvl="6">
      <w:numFmt w:val="bullet"/>
      <w:lvlText w:val=""/>
      <w:lvlJc w:val="left"/>
      <w:rPr>
        <w:rFonts w:ascii="Symbol" w:hAnsi="Symbol"/>
      </w:rPr>
    </w:lvl>
    <w:lvl w:ilvl="7">
      <w:numFmt w:val="bullet"/>
      <w:lvlText w:val="◦"/>
      <w:lvlJc w:val="left"/>
      <w:rPr>
        <w:rFonts w:ascii="OpenSymbol, 'Arial Unicode MS'" w:hAnsi="OpenSymbol, 'Arial Unicode MS'" w:cs="StarSymbol, 'Arial Unicode MS'"/>
        <w:sz w:val="18"/>
        <w:szCs w:val="18"/>
      </w:rPr>
    </w:lvl>
    <w:lvl w:ilvl="8">
      <w:numFmt w:val="bullet"/>
      <w:lvlText w:val="▪"/>
      <w:lvlJc w:val="left"/>
      <w:rPr>
        <w:rFonts w:ascii="OpenSymbol, 'Arial Unicode MS'" w:hAnsi="OpenSymbol, 'Arial Unicode MS'" w:cs="StarSymbol, 'Arial Unicode MS'"/>
        <w:sz w:val="18"/>
        <w:szCs w:val="18"/>
      </w:rPr>
    </w:lvl>
  </w:abstractNum>
  <w:abstractNum w:abstractNumId="493" w15:restartNumberingAfterBreak="0">
    <w:nsid w:val="5AE54FE5"/>
    <w:multiLevelType w:val="hybridMultilevel"/>
    <w:tmpl w:val="BDDC2388"/>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5B1E5D3B"/>
    <w:multiLevelType w:val="hybridMultilevel"/>
    <w:tmpl w:val="EC5AF51C"/>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5" w15:restartNumberingAfterBreak="0">
    <w:nsid w:val="5B260E0F"/>
    <w:multiLevelType w:val="hybridMultilevel"/>
    <w:tmpl w:val="1BE8E0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5B522405"/>
    <w:multiLevelType w:val="hybridMultilevel"/>
    <w:tmpl w:val="64A6CA1E"/>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7" w15:restartNumberingAfterBreak="0">
    <w:nsid w:val="5BD6615B"/>
    <w:multiLevelType w:val="hybridMultilevel"/>
    <w:tmpl w:val="A1CC8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5C3475AE"/>
    <w:multiLevelType w:val="hybridMultilevel"/>
    <w:tmpl w:val="EFCAB530"/>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5C3F208E"/>
    <w:multiLevelType w:val="hybridMultilevel"/>
    <w:tmpl w:val="3C90BEC0"/>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5D111E57"/>
    <w:multiLevelType w:val="hybridMultilevel"/>
    <w:tmpl w:val="26E8188E"/>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1" w15:restartNumberingAfterBreak="0">
    <w:nsid w:val="5DAE1582"/>
    <w:multiLevelType w:val="hybridMultilevel"/>
    <w:tmpl w:val="9AA8A1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2" w15:restartNumberingAfterBreak="0">
    <w:nsid w:val="5EE53BDD"/>
    <w:multiLevelType w:val="hybridMultilevel"/>
    <w:tmpl w:val="75444C44"/>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3" w15:restartNumberingAfterBreak="0">
    <w:nsid w:val="5F493AC8"/>
    <w:multiLevelType w:val="hybridMultilevel"/>
    <w:tmpl w:val="AE8CA4A2"/>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4" w15:restartNumberingAfterBreak="0">
    <w:nsid w:val="60171D49"/>
    <w:multiLevelType w:val="hybridMultilevel"/>
    <w:tmpl w:val="E95C13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10A186B"/>
    <w:multiLevelType w:val="hybridMultilevel"/>
    <w:tmpl w:val="B630C6DC"/>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6" w15:restartNumberingAfterBreak="0">
    <w:nsid w:val="62105A09"/>
    <w:multiLevelType w:val="hybridMultilevel"/>
    <w:tmpl w:val="8FD8EDDA"/>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7" w15:restartNumberingAfterBreak="0">
    <w:nsid w:val="623F5220"/>
    <w:multiLevelType w:val="hybridMultilevel"/>
    <w:tmpl w:val="381AB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8" w15:restartNumberingAfterBreak="0">
    <w:nsid w:val="65B04AD5"/>
    <w:multiLevelType w:val="hybridMultilevel"/>
    <w:tmpl w:val="4428139A"/>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65B63340"/>
    <w:multiLevelType w:val="hybridMultilevel"/>
    <w:tmpl w:val="DE0C1F5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0" w15:restartNumberingAfterBreak="0">
    <w:nsid w:val="65F94798"/>
    <w:multiLevelType w:val="multilevel"/>
    <w:tmpl w:val="CBFADBB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360" w:hanging="36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720" w:hanging="72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080" w:hanging="1080"/>
      </w:pPr>
      <w:rPr>
        <w:rFonts w:hint="default"/>
      </w:rPr>
    </w:lvl>
  </w:abstractNum>
  <w:abstractNum w:abstractNumId="511" w15:restartNumberingAfterBreak="0">
    <w:nsid w:val="67737908"/>
    <w:multiLevelType w:val="hybridMultilevel"/>
    <w:tmpl w:val="C84E10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2" w15:restartNumberingAfterBreak="0">
    <w:nsid w:val="67F164B9"/>
    <w:multiLevelType w:val="hybridMultilevel"/>
    <w:tmpl w:val="1054BE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3" w15:restartNumberingAfterBreak="0">
    <w:nsid w:val="684B47D0"/>
    <w:multiLevelType w:val="hybridMultilevel"/>
    <w:tmpl w:val="5EE62830"/>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8B70040"/>
    <w:multiLevelType w:val="hybridMultilevel"/>
    <w:tmpl w:val="7FA20116"/>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5" w15:restartNumberingAfterBreak="0">
    <w:nsid w:val="698F646A"/>
    <w:multiLevelType w:val="hybridMultilevel"/>
    <w:tmpl w:val="E1FE5E6A"/>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6" w15:restartNumberingAfterBreak="0">
    <w:nsid w:val="69F17F51"/>
    <w:multiLevelType w:val="hybridMultilevel"/>
    <w:tmpl w:val="9A3468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A92269B"/>
    <w:multiLevelType w:val="hybridMultilevel"/>
    <w:tmpl w:val="63DEBAAA"/>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6A9534B6"/>
    <w:multiLevelType w:val="hybridMultilevel"/>
    <w:tmpl w:val="6E004F3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9" w15:restartNumberingAfterBreak="0">
    <w:nsid w:val="6AC72FB9"/>
    <w:multiLevelType w:val="hybridMultilevel"/>
    <w:tmpl w:val="0C102E60"/>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0" w15:restartNumberingAfterBreak="0">
    <w:nsid w:val="6BD0493F"/>
    <w:multiLevelType w:val="hybridMultilevel"/>
    <w:tmpl w:val="1190FF1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21" w15:restartNumberingAfterBreak="0">
    <w:nsid w:val="6D40073A"/>
    <w:multiLevelType w:val="hybridMultilevel"/>
    <w:tmpl w:val="F78C3D1C"/>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2" w15:restartNumberingAfterBreak="0">
    <w:nsid w:val="6E3E0693"/>
    <w:multiLevelType w:val="hybridMultilevel"/>
    <w:tmpl w:val="AA2CF1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3" w15:restartNumberingAfterBreak="0">
    <w:nsid w:val="6E6620BB"/>
    <w:multiLevelType w:val="hybridMultilevel"/>
    <w:tmpl w:val="275A1EE4"/>
    <w:lvl w:ilvl="0" w:tplc="04150001">
      <w:start w:val="1"/>
      <w:numFmt w:val="bullet"/>
      <w:lvlText w:val=""/>
      <w:lvlJc w:val="left"/>
      <w:pPr>
        <w:ind w:left="752" w:hanging="360"/>
      </w:pPr>
      <w:rPr>
        <w:rFonts w:ascii="Symbol" w:hAnsi="Symbol" w:hint="default"/>
      </w:rPr>
    </w:lvl>
    <w:lvl w:ilvl="1" w:tplc="04150003" w:tentative="1">
      <w:start w:val="1"/>
      <w:numFmt w:val="bullet"/>
      <w:lvlText w:val="o"/>
      <w:lvlJc w:val="left"/>
      <w:pPr>
        <w:ind w:left="1472" w:hanging="360"/>
      </w:pPr>
      <w:rPr>
        <w:rFonts w:ascii="Courier New" w:hAnsi="Courier New" w:cs="Courier New" w:hint="default"/>
      </w:rPr>
    </w:lvl>
    <w:lvl w:ilvl="2" w:tplc="04150005" w:tentative="1">
      <w:start w:val="1"/>
      <w:numFmt w:val="bullet"/>
      <w:lvlText w:val=""/>
      <w:lvlJc w:val="left"/>
      <w:pPr>
        <w:ind w:left="2192" w:hanging="360"/>
      </w:pPr>
      <w:rPr>
        <w:rFonts w:ascii="Wingdings" w:hAnsi="Wingdings" w:hint="default"/>
      </w:rPr>
    </w:lvl>
    <w:lvl w:ilvl="3" w:tplc="04150001" w:tentative="1">
      <w:start w:val="1"/>
      <w:numFmt w:val="bullet"/>
      <w:lvlText w:val=""/>
      <w:lvlJc w:val="left"/>
      <w:pPr>
        <w:ind w:left="2912" w:hanging="360"/>
      </w:pPr>
      <w:rPr>
        <w:rFonts w:ascii="Symbol" w:hAnsi="Symbol" w:hint="default"/>
      </w:rPr>
    </w:lvl>
    <w:lvl w:ilvl="4" w:tplc="04150003" w:tentative="1">
      <w:start w:val="1"/>
      <w:numFmt w:val="bullet"/>
      <w:lvlText w:val="o"/>
      <w:lvlJc w:val="left"/>
      <w:pPr>
        <w:ind w:left="3632" w:hanging="360"/>
      </w:pPr>
      <w:rPr>
        <w:rFonts w:ascii="Courier New" w:hAnsi="Courier New" w:cs="Courier New" w:hint="default"/>
      </w:rPr>
    </w:lvl>
    <w:lvl w:ilvl="5" w:tplc="04150005" w:tentative="1">
      <w:start w:val="1"/>
      <w:numFmt w:val="bullet"/>
      <w:lvlText w:val=""/>
      <w:lvlJc w:val="left"/>
      <w:pPr>
        <w:ind w:left="4352" w:hanging="360"/>
      </w:pPr>
      <w:rPr>
        <w:rFonts w:ascii="Wingdings" w:hAnsi="Wingdings" w:hint="default"/>
      </w:rPr>
    </w:lvl>
    <w:lvl w:ilvl="6" w:tplc="04150001" w:tentative="1">
      <w:start w:val="1"/>
      <w:numFmt w:val="bullet"/>
      <w:lvlText w:val=""/>
      <w:lvlJc w:val="left"/>
      <w:pPr>
        <w:ind w:left="5072" w:hanging="360"/>
      </w:pPr>
      <w:rPr>
        <w:rFonts w:ascii="Symbol" w:hAnsi="Symbol" w:hint="default"/>
      </w:rPr>
    </w:lvl>
    <w:lvl w:ilvl="7" w:tplc="04150003" w:tentative="1">
      <w:start w:val="1"/>
      <w:numFmt w:val="bullet"/>
      <w:lvlText w:val="o"/>
      <w:lvlJc w:val="left"/>
      <w:pPr>
        <w:ind w:left="5792" w:hanging="360"/>
      </w:pPr>
      <w:rPr>
        <w:rFonts w:ascii="Courier New" w:hAnsi="Courier New" w:cs="Courier New" w:hint="default"/>
      </w:rPr>
    </w:lvl>
    <w:lvl w:ilvl="8" w:tplc="04150005" w:tentative="1">
      <w:start w:val="1"/>
      <w:numFmt w:val="bullet"/>
      <w:lvlText w:val=""/>
      <w:lvlJc w:val="left"/>
      <w:pPr>
        <w:ind w:left="6512" w:hanging="360"/>
      </w:pPr>
      <w:rPr>
        <w:rFonts w:ascii="Wingdings" w:hAnsi="Wingdings" w:hint="default"/>
      </w:rPr>
    </w:lvl>
  </w:abstractNum>
  <w:abstractNum w:abstractNumId="524" w15:restartNumberingAfterBreak="0">
    <w:nsid w:val="6F015288"/>
    <w:multiLevelType w:val="hybridMultilevel"/>
    <w:tmpl w:val="A7A4C6D4"/>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5" w15:restartNumberingAfterBreak="0">
    <w:nsid w:val="6F816BCF"/>
    <w:multiLevelType w:val="hybridMultilevel"/>
    <w:tmpl w:val="901881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6FEB69EC"/>
    <w:multiLevelType w:val="hybridMultilevel"/>
    <w:tmpl w:val="0094706E"/>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7" w15:restartNumberingAfterBreak="0">
    <w:nsid w:val="71C731A9"/>
    <w:multiLevelType w:val="hybridMultilevel"/>
    <w:tmpl w:val="A83A23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8" w15:restartNumberingAfterBreak="0">
    <w:nsid w:val="728D4FFC"/>
    <w:multiLevelType w:val="hybridMultilevel"/>
    <w:tmpl w:val="7A3017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2A43CCA"/>
    <w:multiLevelType w:val="hybridMultilevel"/>
    <w:tmpl w:val="5014A7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0" w15:restartNumberingAfterBreak="0">
    <w:nsid w:val="733E63C8"/>
    <w:multiLevelType w:val="hybridMultilevel"/>
    <w:tmpl w:val="5F00E67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1" w15:restartNumberingAfterBreak="0">
    <w:nsid w:val="748A21C8"/>
    <w:multiLevelType w:val="hybridMultilevel"/>
    <w:tmpl w:val="99BC61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2" w15:restartNumberingAfterBreak="0">
    <w:nsid w:val="748E3499"/>
    <w:multiLevelType w:val="multilevel"/>
    <w:tmpl w:val="341EEFF8"/>
    <w:styleLink w:val="WW8Num2"/>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33" w15:restartNumberingAfterBreak="0">
    <w:nsid w:val="74C5786B"/>
    <w:multiLevelType w:val="multilevel"/>
    <w:tmpl w:val="E27E94D8"/>
    <w:styleLink w:val="WW8Num83"/>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34" w15:restartNumberingAfterBreak="0">
    <w:nsid w:val="753C4212"/>
    <w:multiLevelType w:val="hybridMultilevel"/>
    <w:tmpl w:val="7F72D3F4"/>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5" w15:restartNumberingAfterBreak="0">
    <w:nsid w:val="764348DA"/>
    <w:multiLevelType w:val="hybridMultilevel"/>
    <w:tmpl w:val="48F415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536" w15:restartNumberingAfterBreak="0">
    <w:nsid w:val="767E2129"/>
    <w:multiLevelType w:val="multilevel"/>
    <w:tmpl w:val="00000076"/>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37" w15:restartNumberingAfterBreak="0">
    <w:nsid w:val="768E03E3"/>
    <w:multiLevelType w:val="hybridMultilevel"/>
    <w:tmpl w:val="D0A00A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6F0212E"/>
    <w:multiLevelType w:val="hybridMultilevel"/>
    <w:tmpl w:val="272C266A"/>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7722694"/>
    <w:multiLevelType w:val="hybridMultilevel"/>
    <w:tmpl w:val="A364DE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81F0F5C"/>
    <w:multiLevelType w:val="hybridMultilevel"/>
    <w:tmpl w:val="7FE4D828"/>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1" w15:restartNumberingAfterBreak="0">
    <w:nsid w:val="78540A03"/>
    <w:multiLevelType w:val="hybridMultilevel"/>
    <w:tmpl w:val="1C94BE96"/>
    <w:lvl w:ilvl="0" w:tplc="00000111">
      <w:numFmt w:val="bullet"/>
      <w:lvlText w:val=""/>
      <w:lvlJc w:val="left"/>
      <w:pPr>
        <w:ind w:left="720" w:hanging="36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2" w15:restartNumberingAfterBreak="0">
    <w:nsid w:val="78C86B05"/>
    <w:multiLevelType w:val="hybridMultilevel"/>
    <w:tmpl w:val="2D0A1F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3" w15:restartNumberingAfterBreak="0">
    <w:nsid w:val="78E64F1F"/>
    <w:multiLevelType w:val="hybridMultilevel"/>
    <w:tmpl w:val="3F3C42A4"/>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4" w15:restartNumberingAfterBreak="0">
    <w:nsid w:val="795E6FE4"/>
    <w:multiLevelType w:val="hybridMultilevel"/>
    <w:tmpl w:val="F474B0F2"/>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5" w15:restartNumberingAfterBreak="0">
    <w:nsid w:val="797433CB"/>
    <w:multiLevelType w:val="hybridMultilevel"/>
    <w:tmpl w:val="346457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6" w15:restartNumberingAfterBreak="0">
    <w:nsid w:val="79D36149"/>
    <w:multiLevelType w:val="hybridMultilevel"/>
    <w:tmpl w:val="9EAEF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7" w15:restartNumberingAfterBreak="0">
    <w:nsid w:val="79E10515"/>
    <w:multiLevelType w:val="hybridMultilevel"/>
    <w:tmpl w:val="4E489D94"/>
    <w:lvl w:ilvl="0" w:tplc="340E8B0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8" w15:restartNumberingAfterBreak="0">
    <w:nsid w:val="7A377114"/>
    <w:multiLevelType w:val="hybridMultilevel"/>
    <w:tmpl w:val="3E3E48D0"/>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9" w15:restartNumberingAfterBreak="0">
    <w:nsid w:val="7AE03CC5"/>
    <w:multiLevelType w:val="hybridMultilevel"/>
    <w:tmpl w:val="8EDC21F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0" w15:restartNumberingAfterBreak="0">
    <w:nsid w:val="7B011873"/>
    <w:multiLevelType w:val="hybridMultilevel"/>
    <w:tmpl w:val="48FEB02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1" w15:restartNumberingAfterBreak="0">
    <w:nsid w:val="7B315543"/>
    <w:multiLevelType w:val="hybridMultilevel"/>
    <w:tmpl w:val="0DD897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2" w15:restartNumberingAfterBreak="0">
    <w:nsid w:val="7C163B97"/>
    <w:multiLevelType w:val="hybridMultilevel"/>
    <w:tmpl w:val="47420BC8"/>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3" w15:restartNumberingAfterBreak="0">
    <w:nsid w:val="7C523495"/>
    <w:multiLevelType w:val="hybridMultilevel"/>
    <w:tmpl w:val="03AC23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CC56ED7"/>
    <w:multiLevelType w:val="hybridMultilevel"/>
    <w:tmpl w:val="82A2E62E"/>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5" w15:restartNumberingAfterBreak="0">
    <w:nsid w:val="7D9758CF"/>
    <w:multiLevelType w:val="hybridMultilevel"/>
    <w:tmpl w:val="68842184"/>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6" w15:restartNumberingAfterBreak="0">
    <w:nsid w:val="7DCD706B"/>
    <w:multiLevelType w:val="hybridMultilevel"/>
    <w:tmpl w:val="0B921BCA"/>
    <w:lvl w:ilvl="0" w:tplc="1E761B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7" w15:restartNumberingAfterBreak="0">
    <w:nsid w:val="7DED30B1"/>
    <w:multiLevelType w:val="hybridMultilevel"/>
    <w:tmpl w:val="A042A48C"/>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8" w15:restartNumberingAfterBreak="0">
    <w:nsid w:val="7EAA07E4"/>
    <w:multiLevelType w:val="hybridMultilevel"/>
    <w:tmpl w:val="E402AB06"/>
    <w:lvl w:ilvl="0" w:tplc="00000015">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9" w15:restartNumberingAfterBreak="0">
    <w:nsid w:val="7F6771D5"/>
    <w:multiLevelType w:val="hybridMultilevel"/>
    <w:tmpl w:val="93EA11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0" w15:restartNumberingAfterBreak="0">
    <w:nsid w:val="7F890740"/>
    <w:multiLevelType w:val="hybridMultilevel"/>
    <w:tmpl w:val="23E2E8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7074811">
    <w:abstractNumId w:val="526"/>
  </w:num>
  <w:num w:numId="2" w16cid:durableId="784495623">
    <w:abstractNumId w:val="443"/>
  </w:num>
  <w:num w:numId="3" w16cid:durableId="358287105">
    <w:abstractNumId w:val="556"/>
  </w:num>
  <w:num w:numId="4" w16cid:durableId="1892884441">
    <w:abstractNumId w:val="371"/>
  </w:num>
  <w:num w:numId="5" w16cid:durableId="1017464410">
    <w:abstractNumId w:val="500"/>
  </w:num>
  <w:num w:numId="6" w16cid:durableId="2092695928">
    <w:abstractNumId w:val="534"/>
  </w:num>
  <w:num w:numId="7" w16cid:durableId="582108703">
    <w:abstractNumId w:val="351"/>
  </w:num>
  <w:num w:numId="8" w16cid:durableId="1117330731">
    <w:abstractNumId w:val="486"/>
  </w:num>
  <w:num w:numId="9" w16cid:durableId="2110815080">
    <w:abstractNumId w:val="370"/>
  </w:num>
  <w:num w:numId="10" w16cid:durableId="1617440758">
    <w:abstractNumId w:val="431"/>
  </w:num>
  <w:num w:numId="11" w16cid:durableId="620769198">
    <w:abstractNumId w:val="401"/>
  </w:num>
  <w:num w:numId="12" w16cid:durableId="2066290442">
    <w:abstractNumId w:val="524"/>
  </w:num>
  <w:num w:numId="13" w16cid:durableId="1698963021">
    <w:abstractNumId w:val="395"/>
  </w:num>
  <w:num w:numId="14" w16cid:durableId="1329207053">
    <w:abstractNumId w:val="442"/>
  </w:num>
  <w:num w:numId="15" w16cid:durableId="667827857">
    <w:abstractNumId w:val="342"/>
  </w:num>
  <w:num w:numId="16" w16cid:durableId="868833352">
    <w:abstractNumId w:val="427"/>
  </w:num>
  <w:num w:numId="17" w16cid:durableId="1695809939">
    <w:abstractNumId w:val="415"/>
  </w:num>
  <w:num w:numId="18" w16cid:durableId="1564481940">
    <w:abstractNumId w:val="406"/>
  </w:num>
  <w:num w:numId="19" w16cid:durableId="1816406588">
    <w:abstractNumId w:val="521"/>
  </w:num>
  <w:num w:numId="20" w16cid:durableId="548802496">
    <w:abstractNumId w:val="334"/>
  </w:num>
  <w:num w:numId="21" w16cid:durableId="629240168">
    <w:abstractNumId w:val="429"/>
  </w:num>
  <w:num w:numId="22" w16cid:durableId="667101154">
    <w:abstractNumId w:val="545"/>
  </w:num>
  <w:num w:numId="23" w16cid:durableId="883637214">
    <w:abstractNumId w:val="445"/>
  </w:num>
  <w:num w:numId="24" w16cid:durableId="240213662">
    <w:abstractNumId w:val="412"/>
  </w:num>
  <w:num w:numId="25" w16cid:durableId="1633171742">
    <w:abstractNumId w:val="478"/>
  </w:num>
  <w:num w:numId="26" w16cid:durableId="1185436188">
    <w:abstractNumId w:val="548"/>
  </w:num>
  <w:num w:numId="27" w16cid:durableId="1741907223">
    <w:abstractNumId w:val="472"/>
  </w:num>
  <w:num w:numId="28" w16cid:durableId="2133356019">
    <w:abstractNumId w:val="428"/>
  </w:num>
  <w:num w:numId="29" w16cid:durableId="1216425958">
    <w:abstractNumId w:val="557"/>
  </w:num>
  <w:num w:numId="30" w16cid:durableId="1113285672">
    <w:abstractNumId w:val="499"/>
  </w:num>
  <w:num w:numId="31" w16cid:durableId="640887353">
    <w:abstractNumId w:val="440"/>
  </w:num>
  <w:num w:numId="32" w16cid:durableId="1523855527">
    <w:abstractNumId w:val="519"/>
  </w:num>
  <w:num w:numId="33" w16cid:durableId="1965039115">
    <w:abstractNumId w:val="515"/>
  </w:num>
  <w:num w:numId="34" w16cid:durableId="1531723884">
    <w:abstractNumId w:val="383"/>
  </w:num>
  <w:num w:numId="35" w16cid:durableId="1495142758">
    <w:abstractNumId w:val="338"/>
  </w:num>
  <w:num w:numId="36" w16cid:durableId="1905799540">
    <w:abstractNumId w:val="345"/>
  </w:num>
  <w:num w:numId="37" w16cid:durableId="252469179">
    <w:abstractNumId w:val="517"/>
  </w:num>
  <w:num w:numId="38" w16cid:durableId="946473947">
    <w:abstractNumId w:val="393"/>
  </w:num>
  <w:num w:numId="39" w16cid:durableId="1337534937">
    <w:abstractNumId w:val="506"/>
  </w:num>
  <w:num w:numId="40" w16cid:durableId="778063328">
    <w:abstractNumId w:val="437"/>
  </w:num>
  <w:num w:numId="41" w16cid:durableId="612714387">
    <w:abstractNumId w:val="357"/>
  </w:num>
  <w:num w:numId="42" w16cid:durableId="786201222">
    <w:abstractNumId w:val="333"/>
  </w:num>
  <w:num w:numId="43" w16cid:durableId="522282807">
    <w:abstractNumId w:val="400"/>
  </w:num>
  <w:num w:numId="44" w16cid:durableId="886649724">
    <w:abstractNumId w:val="539"/>
  </w:num>
  <w:num w:numId="45" w16cid:durableId="554239072">
    <w:abstractNumId w:val="410"/>
  </w:num>
  <w:num w:numId="46" w16cid:durableId="2066828575">
    <w:abstractNumId w:val="348"/>
  </w:num>
  <w:num w:numId="47" w16cid:durableId="850294728">
    <w:abstractNumId w:val="444"/>
  </w:num>
  <w:num w:numId="48" w16cid:durableId="384565452">
    <w:abstractNumId w:val="341"/>
  </w:num>
  <w:num w:numId="49" w16cid:durableId="390348001">
    <w:abstractNumId w:val="479"/>
  </w:num>
  <w:num w:numId="50" w16cid:durableId="1630672703">
    <w:abstractNumId w:val="364"/>
  </w:num>
  <w:num w:numId="51" w16cid:durableId="2100827162">
    <w:abstractNumId w:val="403"/>
  </w:num>
  <w:num w:numId="52" w16cid:durableId="1996374145">
    <w:abstractNumId w:val="551"/>
  </w:num>
  <w:num w:numId="53" w16cid:durableId="18555464">
    <w:abstractNumId w:val="365"/>
  </w:num>
  <w:num w:numId="54" w16cid:durableId="756562136">
    <w:abstractNumId w:val="360"/>
  </w:num>
  <w:num w:numId="55" w16cid:durableId="1424909715">
    <w:abstractNumId w:val="542"/>
  </w:num>
  <w:num w:numId="56" w16cid:durableId="200558015">
    <w:abstractNumId w:val="367"/>
  </w:num>
  <w:num w:numId="57" w16cid:durableId="795878850">
    <w:abstractNumId w:val="407"/>
  </w:num>
  <w:num w:numId="58" w16cid:durableId="190922812">
    <w:abstractNumId w:val="533"/>
  </w:num>
  <w:num w:numId="59" w16cid:durableId="605965232">
    <w:abstractNumId w:val="473"/>
  </w:num>
  <w:num w:numId="60" w16cid:durableId="847136861">
    <w:abstractNumId w:val="492"/>
  </w:num>
  <w:num w:numId="61" w16cid:durableId="361787121">
    <w:abstractNumId w:val="471"/>
  </w:num>
  <w:num w:numId="62" w16cid:durableId="807280144">
    <w:abstractNumId w:val="489"/>
  </w:num>
  <w:num w:numId="63" w16cid:durableId="1967083727">
    <w:abstractNumId w:val="487"/>
  </w:num>
  <w:num w:numId="64" w16cid:durableId="1543907326">
    <w:abstractNumId w:val="481"/>
  </w:num>
  <w:num w:numId="65" w16cid:durableId="958683870">
    <w:abstractNumId w:val="372"/>
  </w:num>
  <w:num w:numId="66" w16cid:durableId="534658117">
    <w:abstractNumId w:val="385"/>
  </w:num>
  <w:num w:numId="67" w16cid:durableId="1808468108">
    <w:abstractNumId w:val="381"/>
  </w:num>
  <w:num w:numId="68" w16cid:durableId="1428961897">
    <w:abstractNumId w:val="536"/>
  </w:num>
  <w:num w:numId="69" w16cid:durableId="1185751805">
    <w:abstractNumId w:val="447"/>
  </w:num>
  <w:num w:numId="70" w16cid:durableId="288125232">
    <w:abstractNumId w:val="419"/>
  </w:num>
  <w:num w:numId="71" w16cid:durableId="2114783874">
    <w:abstractNumId w:val="408"/>
  </w:num>
  <w:num w:numId="72" w16cid:durableId="1823689543">
    <w:abstractNumId w:val="448"/>
  </w:num>
  <w:num w:numId="73" w16cid:durableId="861673383">
    <w:abstractNumId w:val="353"/>
  </w:num>
  <w:num w:numId="74" w16cid:durableId="1148471490">
    <w:abstractNumId w:val="373"/>
  </w:num>
  <w:num w:numId="75" w16cid:durableId="1192259065">
    <w:abstractNumId w:val="449"/>
  </w:num>
  <w:num w:numId="76" w16cid:durableId="402148243">
    <w:abstractNumId w:val="554"/>
  </w:num>
  <w:num w:numId="77" w16cid:durableId="1727952874">
    <w:abstractNumId w:val="509"/>
  </w:num>
  <w:num w:numId="78" w16cid:durableId="936132749">
    <w:abstractNumId w:val="475"/>
  </w:num>
  <w:num w:numId="79" w16cid:durableId="428426045">
    <w:abstractNumId w:val="434"/>
  </w:num>
  <w:num w:numId="80" w16cid:durableId="550272235">
    <w:abstractNumId w:val="339"/>
  </w:num>
  <w:num w:numId="81" w16cid:durableId="1213226468">
    <w:abstractNumId w:val="331"/>
  </w:num>
  <w:num w:numId="82" w16cid:durableId="1528640698">
    <w:abstractNumId w:val="402"/>
  </w:num>
  <w:num w:numId="83" w16cid:durableId="1979139952">
    <w:abstractNumId w:val="550"/>
  </w:num>
  <w:num w:numId="84" w16cid:durableId="419302434">
    <w:abstractNumId w:val="398"/>
  </w:num>
  <w:num w:numId="85" w16cid:durableId="816916753">
    <w:abstractNumId w:val="559"/>
  </w:num>
  <w:num w:numId="86" w16cid:durableId="1744176593">
    <w:abstractNumId w:val="355"/>
  </w:num>
  <w:num w:numId="87" w16cid:durableId="1982419149">
    <w:abstractNumId w:val="399"/>
  </w:num>
  <w:num w:numId="88" w16cid:durableId="170026318">
    <w:abstractNumId w:val="540"/>
  </w:num>
  <w:num w:numId="89" w16cid:durableId="452796784">
    <w:abstractNumId w:val="380"/>
  </w:num>
  <w:num w:numId="90" w16cid:durableId="447625843">
    <w:abstractNumId w:val="349"/>
  </w:num>
  <w:num w:numId="91" w16cid:durableId="283000829">
    <w:abstractNumId w:val="513"/>
  </w:num>
  <w:num w:numId="92" w16cid:durableId="612324726">
    <w:abstractNumId w:val="530"/>
  </w:num>
  <w:num w:numId="93" w16cid:durableId="1746368928">
    <w:abstractNumId w:val="394"/>
  </w:num>
  <w:num w:numId="94" w16cid:durableId="1525365639">
    <w:abstractNumId w:val="485"/>
  </w:num>
  <w:num w:numId="95" w16cid:durableId="2118526515">
    <w:abstractNumId w:val="337"/>
  </w:num>
  <w:num w:numId="96" w16cid:durableId="1347369492">
    <w:abstractNumId w:val="538"/>
  </w:num>
  <w:num w:numId="97" w16cid:durableId="631398883">
    <w:abstractNumId w:val="494"/>
  </w:num>
  <w:num w:numId="98" w16cid:durableId="50691725">
    <w:abstractNumId w:val="356"/>
  </w:num>
  <w:num w:numId="99" w16cid:durableId="75979377">
    <w:abstractNumId w:val="514"/>
  </w:num>
  <w:num w:numId="100" w16cid:durableId="1837957833">
    <w:abstractNumId w:val="378"/>
  </w:num>
  <w:num w:numId="101" w16cid:durableId="1390150047">
    <w:abstractNumId w:val="543"/>
  </w:num>
  <w:num w:numId="102" w16cid:durableId="1879471285">
    <w:abstractNumId w:val="405"/>
  </w:num>
  <w:num w:numId="103" w16cid:durableId="1478450240">
    <w:abstractNumId w:val="511"/>
  </w:num>
  <w:num w:numId="104" w16cid:durableId="89280303">
    <w:abstractNumId w:val="340"/>
  </w:num>
  <w:num w:numId="105" w16cid:durableId="1694502782">
    <w:abstractNumId w:val="460"/>
  </w:num>
  <w:num w:numId="106" w16cid:durableId="1448427743">
    <w:abstractNumId w:val="458"/>
  </w:num>
  <w:num w:numId="107" w16cid:durableId="783187711">
    <w:abstractNumId w:val="474"/>
  </w:num>
  <w:num w:numId="108" w16cid:durableId="914970288">
    <w:abstractNumId w:val="384"/>
  </w:num>
  <w:num w:numId="109" w16cid:durableId="686516935">
    <w:abstractNumId w:val="361"/>
  </w:num>
  <w:num w:numId="110" w16cid:durableId="1191988023">
    <w:abstractNumId w:val="462"/>
  </w:num>
  <w:num w:numId="111" w16cid:durableId="557008851">
    <w:abstractNumId w:val="446"/>
  </w:num>
  <w:num w:numId="112" w16cid:durableId="1780906768">
    <w:abstractNumId w:val="435"/>
  </w:num>
  <w:num w:numId="113" w16cid:durableId="353650420">
    <w:abstractNumId w:val="459"/>
  </w:num>
  <w:num w:numId="114" w16cid:durableId="517696602">
    <w:abstractNumId w:val="522"/>
  </w:num>
  <w:num w:numId="115" w16cid:durableId="224033293">
    <w:abstractNumId w:val="359"/>
  </w:num>
  <w:num w:numId="116" w16cid:durableId="24213663">
    <w:abstractNumId w:val="482"/>
  </w:num>
  <w:num w:numId="117" w16cid:durableId="731125810">
    <w:abstractNumId w:val="390"/>
  </w:num>
  <w:num w:numId="118" w16cid:durableId="2061440362">
    <w:abstractNumId w:val="528"/>
  </w:num>
  <w:num w:numId="119" w16cid:durableId="136149325">
    <w:abstractNumId w:val="362"/>
  </w:num>
  <w:num w:numId="120" w16cid:durableId="1805393684">
    <w:abstractNumId w:val="501"/>
  </w:num>
  <w:num w:numId="121" w16cid:durableId="993414440">
    <w:abstractNumId w:val="382"/>
  </w:num>
  <w:num w:numId="122" w16cid:durableId="212158390">
    <w:abstractNumId w:val="396"/>
  </w:num>
  <w:num w:numId="123" w16cid:durableId="563223531">
    <w:abstractNumId w:val="507"/>
  </w:num>
  <w:num w:numId="124" w16cid:durableId="1801073760">
    <w:abstractNumId w:val="467"/>
  </w:num>
  <w:num w:numId="125" w16cid:durableId="1643972000">
    <w:abstractNumId w:val="491"/>
  </w:num>
  <w:num w:numId="126" w16cid:durableId="2095660484">
    <w:abstractNumId w:val="541"/>
  </w:num>
  <w:num w:numId="127" w16cid:durableId="1167475525">
    <w:abstractNumId w:val="1"/>
  </w:num>
  <w:num w:numId="128" w16cid:durableId="1146093714">
    <w:abstractNumId w:val="368"/>
  </w:num>
  <w:num w:numId="129" w16cid:durableId="1048801480">
    <w:abstractNumId w:val="374"/>
  </w:num>
  <w:num w:numId="130" w16cid:durableId="1154565977">
    <w:abstractNumId w:val="379"/>
  </w:num>
  <w:num w:numId="131" w16cid:durableId="584344794">
    <w:abstractNumId w:val="439"/>
  </w:num>
  <w:num w:numId="132" w16cid:durableId="162092338">
    <w:abstractNumId w:val="469"/>
  </w:num>
  <w:num w:numId="133" w16cid:durableId="799230547">
    <w:abstractNumId w:val="560"/>
  </w:num>
  <w:num w:numId="134" w16cid:durableId="1519274790">
    <w:abstractNumId w:val="497"/>
  </w:num>
  <w:num w:numId="135" w16cid:durableId="1625695587">
    <w:abstractNumId w:val="537"/>
  </w:num>
  <w:num w:numId="136" w16cid:durableId="716973845">
    <w:abstractNumId w:val="430"/>
  </w:num>
  <w:num w:numId="137" w16cid:durableId="261572096">
    <w:abstractNumId w:val="433"/>
  </w:num>
  <w:num w:numId="138" w16cid:durableId="717709142">
    <w:abstractNumId w:val="411"/>
  </w:num>
  <w:num w:numId="139" w16cid:durableId="1245337154">
    <w:abstractNumId w:val="416"/>
  </w:num>
  <w:num w:numId="140" w16cid:durableId="679357937">
    <w:abstractNumId w:val="532"/>
  </w:num>
  <w:num w:numId="141" w16cid:durableId="1364356077">
    <w:abstractNumId w:val="358"/>
  </w:num>
  <w:num w:numId="142" w16cid:durableId="11343414">
    <w:abstractNumId w:val="344"/>
  </w:num>
  <w:num w:numId="143" w16cid:durableId="936256240">
    <w:abstractNumId w:val="508"/>
  </w:num>
  <w:num w:numId="144" w16cid:durableId="446900261">
    <w:abstractNumId w:val="477"/>
  </w:num>
  <w:num w:numId="145" w16cid:durableId="248733700">
    <w:abstractNumId w:val="335"/>
  </w:num>
  <w:num w:numId="146" w16cid:durableId="696547469">
    <w:abstractNumId w:val="421"/>
  </w:num>
  <w:num w:numId="147" w16cid:durableId="2060468441">
    <w:abstractNumId w:val="457"/>
  </w:num>
  <w:num w:numId="148" w16cid:durableId="390155317">
    <w:abstractNumId w:val="498"/>
  </w:num>
  <w:num w:numId="149" w16cid:durableId="1451893515">
    <w:abstractNumId w:val="502"/>
  </w:num>
  <w:num w:numId="150" w16cid:durableId="307561838">
    <w:abstractNumId w:val="483"/>
  </w:num>
  <w:num w:numId="151" w16cid:durableId="1513101772">
    <w:abstractNumId w:val="441"/>
  </w:num>
  <w:num w:numId="152" w16cid:durableId="323045714">
    <w:abstractNumId w:val="489"/>
    <w:lvlOverride w:ilvl="0">
      <w:startOverride w:val="1"/>
    </w:lvlOverride>
  </w:num>
  <w:num w:numId="153" w16cid:durableId="1643273882">
    <w:abstractNumId w:val="487"/>
    <w:lvlOverride w:ilvl="0">
      <w:startOverride w:val="1"/>
    </w:lvlOverride>
  </w:num>
  <w:num w:numId="154" w16cid:durableId="975914125">
    <w:abstractNumId w:val="495"/>
  </w:num>
  <w:num w:numId="155" w16cid:durableId="841310961">
    <w:abstractNumId w:val="417"/>
  </w:num>
  <w:num w:numId="156" w16cid:durableId="1691685533">
    <w:abstractNumId w:val="377"/>
  </w:num>
  <w:num w:numId="157" w16cid:durableId="746682953">
    <w:abstractNumId w:val="527"/>
  </w:num>
  <w:num w:numId="158" w16cid:durableId="1117792037">
    <w:abstractNumId w:val="466"/>
  </w:num>
  <w:num w:numId="159" w16cid:durableId="350645613">
    <w:abstractNumId w:val="424"/>
  </w:num>
  <w:num w:numId="160" w16cid:durableId="921643594">
    <w:abstractNumId w:val="352"/>
  </w:num>
  <w:num w:numId="161" w16cid:durableId="1764060017">
    <w:abstractNumId w:val="450"/>
  </w:num>
  <w:num w:numId="162" w16cid:durableId="573124604">
    <w:abstractNumId w:val="389"/>
  </w:num>
  <w:num w:numId="163" w16cid:durableId="1832286939">
    <w:abstractNumId w:val="535"/>
  </w:num>
  <w:num w:numId="164" w16cid:durableId="2037732524">
    <w:abstractNumId w:val="387"/>
  </w:num>
  <w:num w:numId="165" w16cid:durableId="385489965">
    <w:abstractNumId w:val="455"/>
  </w:num>
  <w:num w:numId="166" w16cid:durableId="500198538">
    <w:abstractNumId w:val="346"/>
  </w:num>
  <w:num w:numId="167" w16cid:durableId="788858183">
    <w:abstractNumId w:val="343"/>
  </w:num>
  <w:num w:numId="168" w16cid:durableId="362368668">
    <w:abstractNumId w:val="386"/>
  </w:num>
  <w:num w:numId="169" w16cid:durableId="1810632182">
    <w:abstractNumId w:val="336"/>
  </w:num>
  <w:num w:numId="170" w16cid:durableId="1343781278">
    <w:abstractNumId w:val="451"/>
  </w:num>
  <w:num w:numId="171" w16cid:durableId="1963341728">
    <w:abstractNumId w:val="108"/>
  </w:num>
  <w:num w:numId="172" w16cid:durableId="492140513">
    <w:abstractNumId w:val="547"/>
  </w:num>
  <w:num w:numId="173" w16cid:durableId="1429696706">
    <w:abstractNumId w:val="366"/>
  </w:num>
  <w:num w:numId="174" w16cid:durableId="194732443">
    <w:abstractNumId w:val="546"/>
  </w:num>
  <w:num w:numId="175" w16cid:durableId="1572622551">
    <w:abstractNumId w:val="490"/>
  </w:num>
  <w:num w:numId="176" w16cid:durableId="225068202">
    <w:abstractNumId w:val="391"/>
  </w:num>
  <w:num w:numId="177" w16cid:durableId="1757046309">
    <w:abstractNumId w:val="452"/>
  </w:num>
  <w:num w:numId="178" w16cid:durableId="1644581757">
    <w:abstractNumId w:val="496"/>
  </w:num>
  <w:num w:numId="179" w16cid:durableId="1309868355">
    <w:abstractNumId w:val="555"/>
  </w:num>
  <w:num w:numId="180" w16cid:durableId="2103600423">
    <w:abstractNumId w:val="518"/>
  </w:num>
  <w:num w:numId="181" w16cid:durableId="918750631">
    <w:abstractNumId w:val="426"/>
  </w:num>
  <w:num w:numId="182" w16cid:durableId="1828546164">
    <w:abstractNumId w:val="350"/>
  </w:num>
  <w:num w:numId="183" w16cid:durableId="2107340469">
    <w:abstractNumId w:val="375"/>
  </w:num>
  <w:num w:numId="184" w16cid:durableId="391009192">
    <w:abstractNumId w:val="503"/>
  </w:num>
  <w:num w:numId="185" w16cid:durableId="1099328967">
    <w:abstractNumId w:val="505"/>
  </w:num>
  <w:num w:numId="186" w16cid:durableId="35740480">
    <w:abstractNumId w:val="544"/>
  </w:num>
  <w:num w:numId="187" w16cid:durableId="1091047619">
    <w:abstractNumId w:val="468"/>
  </w:num>
  <w:num w:numId="188" w16cid:durableId="728571470">
    <w:abstractNumId w:val="369"/>
  </w:num>
  <w:num w:numId="189" w16cid:durableId="1400980042">
    <w:abstractNumId w:val="480"/>
  </w:num>
  <w:num w:numId="190" w16cid:durableId="704989603">
    <w:abstractNumId w:val="549"/>
  </w:num>
  <w:num w:numId="191" w16cid:durableId="863708881">
    <w:abstractNumId w:val="422"/>
  </w:num>
  <w:num w:numId="192" w16cid:durableId="1918400600">
    <w:abstractNumId w:val="558"/>
  </w:num>
  <w:num w:numId="193" w16cid:durableId="1010183280">
    <w:abstractNumId w:val="453"/>
  </w:num>
  <w:num w:numId="194" w16cid:durableId="1792548471">
    <w:abstractNumId w:val="553"/>
  </w:num>
  <w:num w:numId="195" w16cid:durableId="181435947">
    <w:abstractNumId w:val="388"/>
  </w:num>
  <w:num w:numId="196" w16cid:durableId="2069300107">
    <w:abstractNumId w:val="520"/>
  </w:num>
  <w:num w:numId="197" w16cid:durableId="533347028">
    <w:abstractNumId w:val="512"/>
  </w:num>
  <w:num w:numId="198" w16cid:durableId="27147147">
    <w:abstractNumId w:val="529"/>
  </w:num>
  <w:num w:numId="199" w16cid:durableId="2070572960">
    <w:abstractNumId w:val="525"/>
  </w:num>
  <w:num w:numId="200" w16cid:durableId="1652444171">
    <w:abstractNumId w:val="420"/>
  </w:num>
  <w:num w:numId="201" w16cid:durableId="264659617">
    <w:abstractNumId w:val="414"/>
  </w:num>
  <w:num w:numId="202" w16cid:durableId="886793117">
    <w:abstractNumId w:val="465"/>
  </w:num>
  <w:num w:numId="203" w16cid:durableId="874194851">
    <w:abstractNumId w:val="470"/>
  </w:num>
  <w:num w:numId="204" w16cid:durableId="988631916">
    <w:abstractNumId w:val="413"/>
  </w:num>
  <w:num w:numId="205" w16cid:durableId="612248915">
    <w:abstractNumId w:val="436"/>
  </w:num>
  <w:num w:numId="206" w16cid:durableId="186408346">
    <w:abstractNumId w:val="516"/>
  </w:num>
  <w:num w:numId="207" w16cid:durableId="1032073560">
    <w:abstractNumId w:val="438"/>
  </w:num>
  <w:num w:numId="208" w16cid:durableId="602612346">
    <w:abstractNumId w:val="456"/>
  </w:num>
  <w:num w:numId="209" w16cid:durableId="1911840923">
    <w:abstractNumId w:val="432"/>
  </w:num>
  <w:num w:numId="210" w16cid:durableId="3554556">
    <w:abstractNumId w:val="418"/>
  </w:num>
  <w:num w:numId="211" w16cid:durableId="1039012373">
    <w:abstractNumId w:val="423"/>
  </w:num>
  <w:num w:numId="212" w16cid:durableId="254173918">
    <w:abstractNumId w:val="464"/>
  </w:num>
  <w:num w:numId="213" w16cid:durableId="1327855142">
    <w:abstractNumId w:val="476"/>
  </w:num>
  <w:num w:numId="214" w16cid:durableId="1220940998">
    <w:abstractNumId w:val="484"/>
  </w:num>
  <w:num w:numId="215" w16cid:durableId="632954088">
    <w:abstractNumId w:val="493"/>
  </w:num>
  <w:num w:numId="216" w16cid:durableId="75712818">
    <w:abstractNumId w:val="332"/>
  </w:num>
  <w:num w:numId="217" w16cid:durableId="1051809689">
    <w:abstractNumId w:val="409"/>
  </w:num>
  <w:num w:numId="218" w16cid:durableId="1078332496">
    <w:abstractNumId w:val="397"/>
  </w:num>
  <w:num w:numId="219" w16cid:durableId="231356509">
    <w:abstractNumId w:val="454"/>
  </w:num>
  <w:num w:numId="220" w16cid:durableId="1227491926">
    <w:abstractNumId w:val="552"/>
  </w:num>
  <w:num w:numId="221" w16cid:durableId="1748187474">
    <w:abstractNumId w:val="48"/>
  </w:num>
  <w:num w:numId="222" w16cid:durableId="631833905">
    <w:abstractNumId w:val="463"/>
  </w:num>
  <w:num w:numId="223" w16cid:durableId="30544482">
    <w:abstractNumId w:val="392"/>
  </w:num>
  <w:num w:numId="224" w16cid:durableId="1248151747">
    <w:abstractNumId w:val="488"/>
  </w:num>
  <w:num w:numId="225" w16cid:durableId="827745619">
    <w:abstractNumId w:val="510"/>
  </w:num>
  <w:num w:numId="226" w16cid:durableId="1451432261">
    <w:abstractNumId w:val="461"/>
  </w:num>
  <w:num w:numId="227" w16cid:durableId="206532125">
    <w:abstractNumId w:val="354"/>
  </w:num>
  <w:num w:numId="228" w16cid:durableId="1164515277">
    <w:abstractNumId w:val="504"/>
  </w:num>
  <w:num w:numId="229" w16cid:durableId="1474442701">
    <w:abstractNumId w:val="531"/>
  </w:num>
  <w:num w:numId="230" w16cid:durableId="1249846343">
    <w:abstractNumId w:val="404"/>
  </w:num>
  <w:num w:numId="231" w16cid:durableId="1905412944">
    <w:abstractNumId w:val="363"/>
  </w:num>
  <w:num w:numId="232" w16cid:durableId="943999458">
    <w:abstractNumId w:val="347"/>
  </w:num>
  <w:num w:numId="233" w16cid:durableId="265623163">
    <w:abstractNumId w:val="376"/>
  </w:num>
  <w:num w:numId="234" w16cid:durableId="265622893">
    <w:abstractNumId w:val="425"/>
  </w:num>
  <w:num w:numId="235" w16cid:durableId="1271398725">
    <w:abstractNumId w:val="523"/>
  </w:num>
  <w:numIdMacAtCleanup w:val="1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hdrShapeDefaults>
    <o:shapedefaults v:ext="edit" spidmax="208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D4718"/>
    <w:rsid w:val="00002069"/>
    <w:rsid w:val="000027AF"/>
    <w:rsid w:val="00004B28"/>
    <w:rsid w:val="000126D1"/>
    <w:rsid w:val="00012AE0"/>
    <w:rsid w:val="00016238"/>
    <w:rsid w:val="00016872"/>
    <w:rsid w:val="00016EE2"/>
    <w:rsid w:val="0001761C"/>
    <w:rsid w:val="00020ED7"/>
    <w:rsid w:val="00021789"/>
    <w:rsid w:val="0002275C"/>
    <w:rsid w:val="00023A77"/>
    <w:rsid w:val="00030A4A"/>
    <w:rsid w:val="00030C73"/>
    <w:rsid w:val="00031869"/>
    <w:rsid w:val="00032C3E"/>
    <w:rsid w:val="0003562A"/>
    <w:rsid w:val="00036072"/>
    <w:rsid w:val="000375A1"/>
    <w:rsid w:val="000405E4"/>
    <w:rsid w:val="00041032"/>
    <w:rsid w:val="000420A0"/>
    <w:rsid w:val="00045364"/>
    <w:rsid w:val="00052D9A"/>
    <w:rsid w:val="0005599B"/>
    <w:rsid w:val="0005599F"/>
    <w:rsid w:val="0005679B"/>
    <w:rsid w:val="00056D91"/>
    <w:rsid w:val="00075CC2"/>
    <w:rsid w:val="00076D3F"/>
    <w:rsid w:val="00077275"/>
    <w:rsid w:val="00077C44"/>
    <w:rsid w:val="0008019E"/>
    <w:rsid w:val="00081AA6"/>
    <w:rsid w:val="00084329"/>
    <w:rsid w:val="00084B8C"/>
    <w:rsid w:val="00085A39"/>
    <w:rsid w:val="00086FC4"/>
    <w:rsid w:val="00087FC2"/>
    <w:rsid w:val="00092D11"/>
    <w:rsid w:val="000939B5"/>
    <w:rsid w:val="00095FC7"/>
    <w:rsid w:val="0009602F"/>
    <w:rsid w:val="00097246"/>
    <w:rsid w:val="000A00C2"/>
    <w:rsid w:val="000A0110"/>
    <w:rsid w:val="000A4693"/>
    <w:rsid w:val="000A563C"/>
    <w:rsid w:val="000B214A"/>
    <w:rsid w:val="000B516D"/>
    <w:rsid w:val="000C3126"/>
    <w:rsid w:val="000C3B63"/>
    <w:rsid w:val="000C5040"/>
    <w:rsid w:val="000C5BF0"/>
    <w:rsid w:val="000C623F"/>
    <w:rsid w:val="000C670E"/>
    <w:rsid w:val="000C7236"/>
    <w:rsid w:val="000D2800"/>
    <w:rsid w:val="000D3006"/>
    <w:rsid w:val="000D5318"/>
    <w:rsid w:val="000D56AD"/>
    <w:rsid w:val="000E20E5"/>
    <w:rsid w:val="000E2A21"/>
    <w:rsid w:val="000E4C80"/>
    <w:rsid w:val="000E5AE9"/>
    <w:rsid w:val="000E718A"/>
    <w:rsid w:val="000F011E"/>
    <w:rsid w:val="000F19A0"/>
    <w:rsid w:val="000F2BCB"/>
    <w:rsid w:val="000F2FE0"/>
    <w:rsid w:val="000F4279"/>
    <w:rsid w:val="000F6F9E"/>
    <w:rsid w:val="00105AB9"/>
    <w:rsid w:val="00106F99"/>
    <w:rsid w:val="001137C7"/>
    <w:rsid w:val="001140C7"/>
    <w:rsid w:val="001179D8"/>
    <w:rsid w:val="001224E1"/>
    <w:rsid w:val="0012396A"/>
    <w:rsid w:val="00124C94"/>
    <w:rsid w:val="001254B0"/>
    <w:rsid w:val="001263BD"/>
    <w:rsid w:val="00131231"/>
    <w:rsid w:val="001320BB"/>
    <w:rsid w:val="001341E4"/>
    <w:rsid w:val="00136C64"/>
    <w:rsid w:val="00144E36"/>
    <w:rsid w:val="00151ADE"/>
    <w:rsid w:val="00152FA8"/>
    <w:rsid w:val="0015456C"/>
    <w:rsid w:val="001565A0"/>
    <w:rsid w:val="0016788D"/>
    <w:rsid w:val="00170A11"/>
    <w:rsid w:val="00170D83"/>
    <w:rsid w:val="00170DC8"/>
    <w:rsid w:val="001755EC"/>
    <w:rsid w:val="0018144E"/>
    <w:rsid w:val="00181ACA"/>
    <w:rsid w:val="00181AD2"/>
    <w:rsid w:val="001835EE"/>
    <w:rsid w:val="00183A28"/>
    <w:rsid w:val="00184C31"/>
    <w:rsid w:val="001915C1"/>
    <w:rsid w:val="00196EB3"/>
    <w:rsid w:val="00197923"/>
    <w:rsid w:val="001A03D0"/>
    <w:rsid w:val="001A432C"/>
    <w:rsid w:val="001A5930"/>
    <w:rsid w:val="001A6571"/>
    <w:rsid w:val="001A6840"/>
    <w:rsid w:val="001A726C"/>
    <w:rsid w:val="001A736E"/>
    <w:rsid w:val="001B006C"/>
    <w:rsid w:val="001B053B"/>
    <w:rsid w:val="001B146A"/>
    <w:rsid w:val="001B157E"/>
    <w:rsid w:val="001B28FE"/>
    <w:rsid w:val="001B6D9F"/>
    <w:rsid w:val="001B7EBB"/>
    <w:rsid w:val="001C0D55"/>
    <w:rsid w:val="001C3524"/>
    <w:rsid w:val="001C3597"/>
    <w:rsid w:val="001D0E7F"/>
    <w:rsid w:val="001D1379"/>
    <w:rsid w:val="001D7DBE"/>
    <w:rsid w:val="001E0691"/>
    <w:rsid w:val="001E30D6"/>
    <w:rsid w:val="001E3932"/>
    <w:rsid w:val="001E6A53"/>
    <w:rsid w:val="001F270F"/>
    <w:rsid w:val="00201EA8"/>
    <w:rsid w:val="00205205"/>
    <w:rsid w:val="002058D9"/>
    <w:rsid w:val="00207E4B"/>
    <w:rsid w:val="002110DD"/>
    <w:rsid w:val="00213496"/>
    <w:rsid w:val="0021455B"/>
    <w:rsid w:val="00215071"/>
    <w:rsid w:val="00215BA6"/>
    <w:rsid w:val="0021705B"/>
    <w:rsid w:val="002216CB"/>
    <w:rsid w:val="00224447"/>
    <w:rsid w:val="00230661"/>
    <w:rsid w:val="00231FA4"/>
    <w:rsid w:val="0023345D"/>
    <w:rsid w:val="0023527A"/>
    <w:rsid w:val="00244B39"/>
    <w:rsid w:val="002454DF"/>
    <w:rsid w:val="00246461"/>
    <w:rsid w:val="00247FBB"/>
    <w:rsid w:val="0025099D"/>
    <w:rsid w:val="0025119C"/>
    <w:rsid w:val="00252655"/>
    <w:rsid w:val="0026559D"/>
    <w:rsid w:val="002673C5"/>
    <w:rsid w:val="00271FC1"/>
    <w:rsid w:val="00272F75"/>
    <w:rsid w:val="00276B96"/>
    <w:rsid w:val="0027727E"/>
    <w:rsid w:val="00281645"/>
    <w:rsid w:val="00285370"/>
    <w:rsid w:val="00287CB6"/>
    <w:rsid w:val="00294665"/>
    <w:rsid w:val="002962B9"/>
    <w:rsid w:val="00296366"/>
    <w:rsid w:val="002A078B"/>
    <w:rsid w:val="002A11EF"/>
    <w:rsid w:val="002B055B"/>
    <w:rsid w:val="002B0BED"/>
    <w:rsid w:val="002B232E"/>
    <w:rsid w:val="002B34EF"/>
    <w:rsid w:val="002B3D53"/>
    <w:rsid w:val="002B3ED7"/>
    <w:rsid w:val="002B51F0"/>
    <w:rsid w:val="002B6526"/>
    <w:rsid w:val="002C0F5A"/>
    <w:rsid w:val="002C1F4B"/>
    <w:rsid w:val="002C2175"/>
    <w:rsid w:val="002C223E"/>
    <w:rsid w:val="002C2844"/>
    <w:rsid w:val="002C5FDA"/>
    <w:rsid w:val="002C7A85"/>
    <w:rsid w:val="002D131F"/>
    <w:rsid w:val="002D2A74"/>
    <w:rsid w:val="002D34EF"/>
    <w:rsid w:val="002E0852"/>
    <w:rsid w:val="002E1A05"/>
    <w:rsid w:val="002E34F9"/>
    <w:rsid w:val="002E66F5"/>
    <w:rsid w:val="002F047D"/>
    <w:rsid w:val="002F1380"/>
    <w:rsid w:val="002F1879"/>
    <w:rsid w:val="002F24D2"/>
    <w:rsid w:val="002F2CA8"/>
    <w:rsid w:val="002F3990"/>
    <w:rsid w:val="002F54C0"/>
    <w:rsid w:val="002F6258"/>
    <w:rsid w:val="002F634D"/>
    <w:rsid w:val="002F6354"/>
    <w:rsid w:val="00301CDC"/>
    <w:rsid w:val="003030E1"/>
    <w:rsid w:val="00305435"/>
    <w:rsid w:val="00306DD2"/>
    <w:rsid w:val="00306E6D"/>
    <w:rsid w:val="00312393"/>
    <w:rsid w:val="00314572"/>
    <w:rsid w:val="00315D90"/>
    <w:rsid w:val="00322173"/>
    <w:rsid w:val="00325C7C"/>
    <w:rsid w:val="00330213"/>
    <w:rsid w:val="00331162"/>
    <w:rsid w:val="00332C95"/>
    <w:rsid w:val="00333982"/>
    <w:rsid w:val="00346317"/>
    <w:rsid w:val="00346D6B"/>
    <w:rsid w:val="00352493"/>
    <w:rsid w:val="00353163"/>
    <w:rsid w:val="00354D57"/>
    <w:rsid w:val="00355508"/>
    <w:rsid w:val="00356066"/>
    <w:rsid w:val="003578AE"/>
    <w:rsid w:val="0036153D"/>
    <w:rsid w:val="00361D1E"/>
    <w:rsid w:val="00366539"/>
    <w:rsid w:val="00367740"/>
    <w:rsid w:val="0037238C"/>
    <w:rsid w:val="0037365D"/>
    <w:rsid w:val="00374C43"/>
    <w:rsid w:val="003772A6"/>
    <w:rsid w:val="00380258"/>
    <w:rsid w:val="003812D0"/>
    <w:rsid w:val="00383CBD"/>
    <w:rsid w:val="00386242"/>
    <w:rsid w:val="00386583"/>
    <w:rsid w:val="00392FF1"/>
    <w:rsid w:val="00393941"/>
    <w:rsid w:val="0039395D"/>
    <w:rsid w:val="00395467"/>
    <w:rsid w:val="003A0320"/>
    <w:rsid w:val="003A0C94"/>
    <w:rsid w:val="003A1542"/>
    <w:rsid w:val="003A17CA"/>
    <w:rsid w:val="003A3B8C"/>
    <w:rsid w:val="003A5ECE"/>
    <w:rsid w:val="003A7D17"/>
    <w:rsid w:val="003B4312"/>
    <w:rsid w:val="003B47BA"/>
    <w:rsid w:val="003C0C80"/>
    <w:rsid w:val="003D0153"/>
    <w:rsid w:val="003D041D"/>
    <w:rsid w:val="003D15D5"/>
    <w:rsid w:val="003D2180"/>
    <w:rsid w:val="003D2C05"/>
    <w:rsid w:val="003D74AE"/>
    <w:rsid w:val="003E0417"/>
    <w:rsid w:val="003F071F"/>
    <w:rsid w:val="003F5485"/>
    <w:rsid w:val="003F7B91"/>
    <w:rsid w:val="00400534"/>
    <w:rsid w:val="00401C76"/>
    <w:rsid w:val="00407EF8"/>
    <w:rsid w:val="004148C7"/>
    <w:rsid w:val="0041635E"/>
    <w:rsid w:val="00417EB6"/>
    <w:rsid w:val="00420E1F"/>
    <w:rsid w:val="0042164B"/>
    <w:rsid w:val="00427E9E"/>
    <w:rsid w:val="00430307"/>
    <w:rsid w:val="00431764"/>
    <w:rsid w:val="004322DF"/>
    <w:rsid w:val="004327DD"/>
    <w:rsid w:val="00433470"/>
    <w:rsid w:val="00433FD6"/>
    <w:rsid w:val="0043475A"/>
    <w:rsid w:val="0043564E"/>
    <w:rsid w:val="00435734"/>
    <w:rsid w:val="0043709B"/>
    <w:rsid w:val="00441EB3"/>
    <w:rsid w:val="004449FA"/>
    <w:rsid w:val="00444F25"/>
    <w:rsid w:val="004459B1"/>
    <w:rsid w:val="0044742F"/>
    <w:rsid w:val="00451999"/>
    <w:rsid w:val="00451FF6"/>
    <w:rsid w:val="0045291B"/>
    <w:rsid w:val="00455282"/>
    <w:rsid w:val="00455772"/>
    <w:rsid w:val="00456B91"/>
    <w:rsid w:val="00457DB1"/>
    <w:rsid w:val="004627AD"/>
    <w:rsid w:val="004740A1"/>
    <w:rsid w:val="0047517D"/>
    <w:rsid w:val="0047520D"/>
    <w:rsid w:val="00475945"/>
    <w:rsid w:val="0048001A"/>
    <w:rsid w:val="00484937"/>
    <w:rsid w:val="004869CA"/>
    <w:rsid w:val="00487AE6"/>
    <w:rsid w:val="00490A1F"/>
    <w:rsid w:val="0049695B"/>
    <w:rsid w:val="00497AD4"/>
    <w:rsid w:val="004A2160"/>
    <w:rsid w:val="004A4D84"/>
    <w:rsid w:val="004A7C8D"/>
    <w:rsid w:val="004B2C53"/>
    <w:rsid w:val="004B3514"/>
    <w:rsid w:val="004B5840"/>
    <w:rsid w:val="004B619C"/>
    <w:rsid w:val="004C1411"/>
    <w:rsid w:val="004C469B"/>
    <w:rsid w:val="004D01B0"/>
    <w:rsid w:val="004D065C"/>
    <w:rsid w:val="004D4168"/>
    <w:rsid w:val="004D5584"/>
    <w:rsid w:val="004D61F2"/>
    <w:rsid w:val="004E05E0"/>
    <w:rsid w:val="004E26B9"/>
    <w:rsid w:val="004E4B77"/>
    <w:rsid w:val="004F0922"/>
    <w:rsid w:val="004F291C"/>
    <w:rsid w:val="004F51CC"/>
    <w:rsid w:val="004F5280"/>
    <w:rsid w:val="004F6F9E"/>
    <w:rsid w:val="00500621"/>
    <w:rsid w:val="00502E91"/>
    <w:rsid w:val="0050482D"/>
    <w:rsid w:val="0050598A"/>
    <w:rsid w:val="00510197"/>
    <w:rsid w:val="00513649"/>
    <w:rsid w:val="0051549E"/>
    <w:rsid w:val="00515961"/>
    <w:rsid w:val="00515AF0"/>
    <w:rsid w:val="00520A8A"/>
    <w:rsid w:val="00520F66"/>
    <w:rsid w:val="005221D0"/>
    <w:rsid w:val="00531DC1"/>
    <w:rsid w:val="005375EA"/>
    <w:rsid w:val="00543DF7"/>
    <w:rsid w:val="00551B6A"/>
    <w:rsid w:val="00554463"/>
    <w:rsid w:val="00554FAF"/>
    <w:rsid w:val="00555F75"/>
    <w:rsid w:val="0056121C"/>
    <w:rsid w:val="00561CFF"/>
    <w:rsid w:val="00563C4F"/>
    <w:rsid w:val="00566620"/>
    <w:rsid w:val="0057129A"/>
    <w:rsid w:val="0057156E"/>
    <w:rsid w:val="00572C5F"/>
    <w:rsid w:val="00574CD9"/>
    <w:rsid w:val="00582545"/>
    <w:rsid w:val="005838C6"/>
    <w:rsid w:val="00585A9D"/>
    <w:rsid w:val="00585BC8"/>
    <w:rsid w:val="005861B3"/>
    <w:rsid w:val="005868DE"/>
    <w:rsid w:val="005878A4"/>
    <w:rsid w:val="0059036F"/>
    <w:rsid w:val="00590E32"/>
    <w:rsid w:val="00591724"/>
    <w:rsid w:val="00591749"/>
    <w:rsid w:val="005A68B5"/>
    <w:rsid w:val="005B1C27"/>
    <w:rsid w:val="005B1FFC"/>
    <w:rsid w:val="005B45A6"/>
    <w:rsid w:val="005B46E5"/>
    <w:rsid w:val="005B7C8A"/>
    <w:rsid w:val="005C0BF1"/>
    <w:rsid w:val="005C0C14"/>
    <w:rsid w:val="005C229F"/>
    <w:rsid w:val="005C3FEA"/>
    <w:rsid w:val="005D0AB2"/>
    <w:rsid w:val="005D1F2F"/>
    <w:rsid w:val="005D54B8"/>
    <w:rsid w:val="005E161C"/>
    <w:rsid w:val="005E2109"/>
    <w:rsid w:val="005E2534"/>
    <w:rsid w:val="005E26AE"/>
    <w:rsid w:val="005E5EEE"/>
    <w:rsid w:val="005E6848"/>
    <w:rsid w:val="005E770C"/>
    <w:rsid w:val="005F2484"/>
    <w:rsid w:val="005F3EAE"/>
    <w:rsid w:val="005F4E28"/>
    <w:rsid w:val="005F7201"/>
    <w:rsid w:val="00600ADB"/>
    <w:rsid w:val="00601DD9"/>
    <w:rsid w:val="00622410"/>
    <w:rsid w:val="00626883"/>
    <w:rsid w:val="0062794D"/>
    <w:rsid w:val="00627C92"/>
    <w:rsid w:val="00633A7C"/>
    <w:rsid w:val="00634467"/>
    <w:rsid w:val="00636302"/>
    <w:rsid w:val="00636F98"/>
    <w:rsid w:val="00636F99"/>
    <w:rsid w:val="006408E2"/>
    <w:rsid w:val="00641650"/>
    <w:rsid w:val="0064562E"/>
    <w:rsid w:val="00651040"/>
    <w:rsid w:val="006538AA"/>
    <w:rsid w:val="00653D18"/>
    <w:rsid w:val="006547DC"/>
    <w:rsid w:val="00655ABD"/>
    <w:rsid w:val="006565CD"/>
    <w:rsid w:val="00656771"/>
    <w:rsid w:val="00660298"/>
    <w:rsid w:val="00660C34"/>
    <w:rsid w:val="00660E76"/>
    <w:rsid w:val="006632FB"/>
    <w:rsid w:val="00667AD7"/>
    <w:rsid w:val="00670C84"/>
    <w:rsid w:val="00671767"/>
    <w:rsid w:val="00672021"/>
    <w:rsid w:val="00673635"/>
    <w:rsid w:val="00676553"/>
    <w:rsid w:val="006767CB"/>
    <w:rsid w:val="0068234E"/>
    <w:rsid w:val="00682A68"/>
    <w:rsid w:val="0068550F"/>
    <w:rsid w:val="00685A36"/>
    <w:rsid w:val="00686DA2"/>
    <w:rsid w:val="0069015B"/>
    <w:rsid w:val="006912BE"/>
    <w:rsid w:val="00691495"/>
    <w:rsid w:val="0069201B"/>
    <w:rsid w:val="00693134"/>
    <w:rsid w:val="00697D8C"/>
    <w:rsid w:val="006A02BC"/>
    <w:rsid w:val="006A0B32"/>
    <w:rsid w:val="006A56EA"/>
    <w:rsid w:val="006B10E9"/>
    <w:rsid w:val="006B33B2"/>
    <w:rsid w:val="006B3CA8"/>
    <w:rsid w:val="006B6F24"/>
    <w:rsid w:val="006B7183"/>
    <w:rsid w:val="006B7B63"/>
    <w:rsid w:val="006C3C8F"/>
    <w:rsid w:val="006E484F"/>
    <w:rsid w:val="006E57E1"/>
    <w:rsid w:val="006E62C7"/>
    <w:rsid w:val="006E7D3A"/>
    <w:rsid w:val="006F2C0F"/>
    <w:rsid w:val="006F72E8"/>
    <w:rsid w:val="007037B5"/>
    <w:rsid w:val="007042D8"/>
    <w:rsid w:val="0071116D"/>
    <w:rsid w:val="007120FB"/>
    <w:rsid w:val="00713AF5"/>
    <w:rsid w:val="00713B7C"/>
    <w:rsid w:val="007153FF"/>
    <w:rsid w:val="00717669"/>
    <w:rsid w:val="0072089E"/>
    <w:rsid w:val="007216D8"/>
    <w:rsid w:val="00723FCE"/>
    <w:rsid w:val="0073212D"/>
    <w:rsid w:val="00732C18"/>
    <w:rsid w:val="00732CC8"/>
    <w:rsid w:val="00733E89"/>
    <w:rsid w:val="007351AB"/>
    <w:rsid w:val="00736067"/>
    <w:rsid w:val="00736960"/>
    <w:rsid w:val="00742FFE"/>
    <w:rsid w:val="00743462"/>
    <w:rsid w:val="0074429A"/>
    <w:rsid w:val="007458C9"/>
    <w:rsid w:val="00754BC8"/>
    <w:rsid w:val="00760789"/>
    <w:rsid w:val="00770573"/>
    <w:rsid w:val="00772C9D"/>
    <w:rsid w:val="007731C8"/>
    <w:rsid w:val="00776F5C"/>
    <w:rsid w:val="00781203"/>
    <w:rsid w:val="00781646"/>
    <w:rsid w:val="007816F8"/>
    <w:rsid w:val="007838D8"/>
    <w:rsid w:val="0078416D"/>
    <w:rsid w:val="00784575"/>
    <w:rsid w:val="0078474E"/>
    <w:rsid w:val="0078760E"/>
    <w:rsid w:val="00787DB0"/>
    <w:rsid w:val="007905D8"/>
    <w:rsid w:val="007906A5"/>
    <w:rsid w:val="00794D87"/>
    <w:rsid w:val="0079626C"/>
    <w:rsid w:val="00796CF2"/>
    <w:rsid w:val="00797AB6"/>
    <w:rsid w:val="007A32AC"/>
    <w:rsid w:val="007A4184"/>
    <w:rsid w:val="007A42BB"/>
    <w:rsid w:val="007B353A"/>
    <w:rsid w:val="007B602F"/>
    <w:rsid w:val="007B63B3"/>
    <w:rsid w:val="007C0D3B"/>
    <w:rsid w:val="007C3B07"/>
    <w:rsid w:val="007D03F5"/>
    <w:rsid w:val="007D0FA3"/>
    <w:rsid w:val="007D1B7C"/>
    <w:rsid w:val="007D249A"/>
    <w:rsid w:val="007D4A73"/>
    <w:rsid w:val="007D5515"/>
    <w:rsid w:val="007D567B"/>
    <w:rsid w:val="007E0AD4"/>
    <w:rsid w:val="007E14C4"/>
    <w:rsid w:val="007E23F7"/>
    <w:rsid w:val="007E2FC7"/>
    <w:rsid w:val="007E699C"/>
    <w:rsid w:val="007E7205"/>
    <w:rsid w:val="007F2330"/>
    <w:rsid w:val="007F6031"/>
    <w:rsid w:val="007F68D8"/>
    <w:rsid w:val="008008C5"/>
    <w:rsid w:val="008009EE"/>
    <w:rsid w:val="008017E4"/>
    <w:rsid w:val="00801FD9"/>
    <w:rsid w:val="00802050"/>
    <w:rsid w:val="008020EA"/>
    <w:rsid w:val="00807C59"/>
    <w:rsid w:val="0081130B"/>
    <w:rsid w:val="008128EE"/>
    <w:rsid w:val="008159D2"/>
    <w:rsid w:val="00824542"/>
    <w:rsid w:val="008255D7"/>
    <w:rsid w:val="008266F8"/>
    <w:rsid w:val="00826E98"/>
    <w:rsid w:val="00830BB8"/>
    <w:rsid w:val="00830DCA"/>
    <w:rsid w:val="00831BA5"/>
    <w:rsid w:val="00831CE4"/>
    <w:rsid w:val="008324B2"/>
    <w:rsid w:val="00832D77"/>
    <w:rsid w:val="00837932"/>
    <w:rsid w:val="00845D7A"/>
    <w:rsid w:val="00846D16"/>
    <w:rsid w:val="00846F9F"/>
    <w:rsid w:val="00852499"/>
    <w:rsid w:val="00852D33"/>
    <w:rsid w:val="00852D92"/>
    <w:rsid w:val="00856399"/>
    <w:rsid w:val="00856DB4"/>
    <w:rsid w:val="00857387"/>
    <w:rsid w:val="00860AC4"/>
    <w:rsid w:val="00863248"/>
    <w:rsid w:val="00863D0F"/>
    <w:rsid w:val="00864C9B"/>
    <w:rsid w:val="00866AAC"/>
    <w:rsid w:val="00870AEF"/>
    <w:rsid w:val="00871011"/>
    <w:rsid w:val="00872106"/>
    <w:rsid w:val="0087236D"/>
    <w:rsid w:val="008734E4"/>
    <w:rsid w:val="00874641"/>
    <w:rsid w:val="0087508A"/>
    <w:rsid w:val="00877D5B"/>
    <w:rsid w:val="00880985"/>
    <w:rsid w:val="0089162B"/>
    <w:rsid w:val="00895871"/>
    <w:rsid w:val="00897B80"/>
    <w:rsid w:val="008A10A9"/>
    <w:rsid w:val="008A3A3E"/>
    <w:rsid w:val="008A4943"/>
    <w:rsid w:val="008A4D6E"/>
    <w:rsid w:val="008B1141"/>
    <w:rsid w:val="008B551E"/>
    <w:rsid w:val="008B6694"/>
    <w:rsid w:val="008C2D30"/>
    <w:rsid w:val="008C340F"/>
    <w:rsid w:val="008C5A8F"/>
    <w:rsid w:val="008C782C"/>
    <w:rsid w:val="008D2530"/>
    <w:rsid w:val="008D3393"/>
    <w:rsid w:val="008D555F"/>
    <w:rsid w:val="008E055C"/>
    <w:rsid w:val="008E0DD7"/>
    <w:rsid w:val="008E0E3D"/>
    <w:rsid w:val="008E29EE"/>
    <w:rsid w:val="008E3A13"/>
    <w:rsid w:val="008E48AF"/>
    <w:rsid w:val="008E4E71"/>
    <w:rsid w:val="008F1CC7"/>
    <w:rsid w:val="008F2077"/>
    <w:rsid w:val="008F2319"/>
    <w:rsid w:val="008F6B0F"/>
    <w:rsid w:val="008F72AA"/>
    <w:rsid w:val="00906E9B"/>
    <w:rsid w:val="00907F7E"/>
    <w:rsid w:val="00910984"/>
    <w:rsid w:val="00911F97"/>
    <w:rsid w:val="00914C3F"/>
    <w:rsid w:val="00923A28"/>
    <w:rsid w:val="00924392"/>
    <w:rsid w:val="00930E94"/>
    <w:rsid w:val="00931595"/>
    <w:rsid w:val="00933044"/>
    <w:rsid w:val="009358BD"/>
    <w:rsid w:val="00940B24"/>
    <w:rsid w:val="00942012"/>
    <w:rsid w:val="009437F9"/>
    <w:rsid w:val="00944B24"/>
    <w:rsid w:val="0095337D"/>
    <w:rsid w:val="00954B8B"/>
    <w:rsid w:val="00955C35"/>
    <w:rsid w:val="00957EE9"/>
    <w:rsid w:val="00960920"/>
    <w:rsid w:val="009609B6"/>
    <w:rsid w:val="00962978"/>
    <w:rsid w:val="00966CC6"/>
    <w:rsid w:val="00971134"/>
    <w:rsid w:val="00972E1D"/>
    <w:rsid w:val="00975B39"/>
    <w:rsid w:val="00976600"/>
    <w:rsid w:val="00976CFE"/>
    <w:rsid w:val="00977BFB"/>
    <w:rsid w:val="00981ACC"/>
    <w:rsid w:val="0098220D"/>
    <w:rsid w:val="009823D7"/>
    <w:rsid w:val="00983067"/>
    <w:rsid w:val="00983299"/>
    <w:rsid w:val="0098666B"/>
    <w:rsid w:val="009930C6"/>
    <w:rsid w:val="009A20BE"/>
    <w:rsid w:val="009A3273"/>
    <w:rsid w:val="009B1243"/>
    <w:rsid w:val="009B70F5"/>
    <w:rsid w:val="009C365F"/>
    <w:rsid w:val="009C4080"/>
    <w:rsid w:val="009C43F6"/>
    <w:rsid w:val="009C4406"/>
    <w:rsid w:val="009C45DE"/>
    <w:rsid w:val="009C55F8"/>
    <w:rsid w:val="009C5C73"/>
    <w:rsid w:val="009C615B"/>
    <w:rsid w:val="009D06E1"/>
    <w:rsid w:val="009D155A"/>
    <w:rsid w:val="009D223D"/>
    <w:rsid w:val="009D300B"/>
    <w:rsid w:val="009D40EB"/>
    <w:rsid w:val="009D4A05"/>
    <w:rsid w:val="009D4E8B"/>
    <w:rsid w:val="009D5399"/>
    <w:rsid w:val="009E1289"/>
    <w:rsid w:val="009E1B0E"/>
    <w:rsid w:val="009E426A"/>
    <w:rsid w:val="009E4E8D"/>
    <w:rsid w:val="009E4FD9"/>
    <w:rsid w:val="009E5990"/>
    <w:rsid w:val="009F0B27"/>
    <w:rsid w:val="009F113E"/>
    <w:rsid w:val="009F26A1"/>
    <w:rsid w:val="009F2B50"/>
    <w:rsid w:val="009F4B68"/>
    <w:rsid w:val="009F7D8A"/>
    <w:rsid w:val="00A0205E"/>
    <w:rsid w:val="00A0307F"/>
    <w:rsid w:val="00A03A1C"/>
    <w:rsid w:val="00A04398"/>
    <w:rsid w:val="00A1163F"/>
    <w:rsid w:val="00A20E95"/>
    <w:rsid w:val="00A21451"/>
    <w:rsid w:val="00A2159E"/>
    <w:rsid w:val="00A25913"/>
    <w:rsid w:val="00A25986"/>
    <w:rsid w:val="00A279A2"/>
    <w:rsid w:val="00A3273C"/>
    <w:rsid w:val="00A329CC"/>
    <w:rsid w:val="00A34CF3"/>
    <w:rsid w:val="00A35830"/>
    <w:rsid w:val="00A363CF"/>
    <w:rsid w:val="00A3728D"/>
    <w:rsid w:val="00A40291"/>
    <w:rsid w:val="00A40615"/>
    <w:rsid w:val="00A40F9D"/>
    <w:rsid w:val="00A41697"/>
    <w:rsid w:val="00A42FA8"/>
    <w:rsid w:val="00A4580F"/>
    <w:rsid w:val="00A477D5"/>
    <w:rsid w:val="00A569F0"/>
    <w:rsid w:val="00A57B2E"/>
    <w:rsid w:val="00A60D16"/>
    <w:rsid w:val="00A64FF1"/>
    <w:rsid w:val="00A678BD"/>
    <w:rsid w:val="00A71C5C"/>
    <w:rsid w:val="00A72CD2"/>
    <w:rsid w:val="00A743F7"/>
    <w:rsid w:val="00A831D5"/>
    <w:rsid w:val="00A83C89"/>
    <w:rsid w:val="00A85F34"/>
    <w:rsid w:val="00A860B1"/>
    <w:rsid w:val="00A86E6F"/>
    <w:rsid w:val="00A87237"/>
    <w:rsid w:val="00A9279C"/>
    <w:rsid w:val="00A96E2A"/>
    <w:rsid w:val="00AA0049"/>
    <w:rsid w:val="00AA41D2"/>
    <w:rsid w:val="00AB02F0"/>
    <w:rsid w:val="00AB1E31"/>
    <w:rsid w:val="00AB36A2"/>
    <w:rsid w:val="00AB4144"/>
    <w:rsid w:val="00AB5BC3"/>
    <w:rsid w:val="00AB6B8E"/>
    <w:rsid w:val="00AB6B98"/>
    <w:rsid w:val="00AC3742"/>
    <w:rsid w:val="00AC755A"/>
    <w:rsid w:val="00AC7A84"/>
    <w:rsid w:val="00AD29AA"/>
    <w:rsid w:val="00AE04BB"/>
    <w:rsid w:val="00AE0986"/>
    <w:rsid w:val="00AE0A18"/>
    <w:rsid w:val="00AE27A7"/>
    <w:rsid w:val="00AE5128"/>
    <w:rsid w:val="00AF4918"/>
    <w:rsid w:val="00AF5C72"/>
    <w:rsid w:val="00AF6072"/>
    <w:rsid w:val="00AF6417"/>
    <w:rsid w:val="00AF6D0C"/>
    <w:rsid w:val="00B00635"/>
    <w:rsid w:val="00B01077"/>
    <w:rsid w:val="00B02E1C"/>
    <w:rsid w:val="00B03569"/>
    <w:rsid w:val="00B04A8F"/>
    <w:rsid w:val="00B04B90"/>
    <w:rsid w:val="00B056CA"/>
    <w:rsid w:val="00B069DE"/>
    <w:rsid w:val="00B11455"/>
    <w:rsid w:val="00B12545"/>
    <w:rsid w:val="00B1484E"/>
    <w:rsid w:val="00B15BFB"/>
    <w:rsid w:val="00B16FA6"/>
    <w:rsid w:val="00B219A8"/>
    <w:rsid w:val="00B2209E"/>
    <w:rsid w:val="00B22F94"/>
    <w:rsid w:val="00B4083C"/>
    <w:rsid w:val="00B40E50"/>
    <w:rsid w:val="00B43FC1"/>
    <w:rsid w:val="00B44BB7"/>
    <w:rsid w:val="00B44E4B"/>
    <w:rsid w:val="00B462BC"/>
    <w:rsid w:val="00B468B4"/>
    <w:rsid w:val="00B53204"/>
    <w:rsid w:val="00B54275"/>
    <w:rsid w:val="00B55084"/>
    <w:rsid w:val="00B57544"/>
    <w:rsid w:val="00B604D3"/>
    <w:rsid w:val="00B6221C"/>
    <w:rsid w:val="00B630C3"/>
    <w:rsid w:val="00B6545C"/>
    <w:rsid w:val="00B662EE"/>
    <w:rsid w:val="00B6637C"/>
    <w:rsid w:val="00B74BDA"/>
    <w:rsid w:val="00B7555B"/>
    <w:rsid w:val="00B75FB1"/>
    <w:rsid w:val="00B81D0B"/>
    <w:rsid w:val="00B823B9"/>
    <w:rsid w:val="00B83F1A"/>
    <w:rsid w:val="00B844FE"/>
    <w:rsid w:val="00B85402"/>
    <w:rsid w:val="00B900FB"/>
    <w:rsid w:val="00B91503"/>
    <w:rsid w:val="00B935EA"/>
    <w:rsid w:val="00B9452B"/>
    <w:rsid w:val="00B951A0"/>
    <w:rsid w:val="00B957AF"/>
    <w:rsid w:val="00B96916"/>
    <w:rsid w:val="00B973B0"/>
    <w:rsid w:val="00BA0462"/>
    <w:rsid w:val="00BA0657"/>
    <w:rsid w:val="00BA1120"/>
    <w:rsid w:val="00BA1D27"/>
    <w:rsid w:val="00BA3D5F"/>
    <w:rsid w:val="00BA6CA7"/>
    <w:rsid w:val="00BA6ECD"/>
    <w:rsid w:val="00BB1679"/>
    <w:rsid w:val="00BB2A04"/>
    <w:rsid w:val="00BB4E18"/>
    <w:rsid w:val="00BB56B8"/>
    <w:rsid w:val="00BB7C34"/>
    <w:rsid w:val="00BC0624"/>
    <w:rsid w:val="00BC1025"/>
    <w:rsid w:val="00BC23B0"/>
    <w:rsid w:val="00BC3ECA"/>
    <w:rsid w:val="00BC5FAD"/>
    <w:rsid w:val="00BC69AE"/>
    <w:rsid w:val="00BC7CBA"/>
    <w:rsid w:val="00BD3588"/>
    <w:rsid w:val="00BD4E79"/>
    <w:rsid w:val="00BD65E8"/>
    <w:rsid w:val="00BD693A"/>
    <w:rsid w:val="00BD781A"/>
    <w:rsid w:val="00BE29B7"/>
    <w:rsid w:val="00BE2F1F"/>
    <w:rsid w:val="00BF024C"/>
    <w:rsid w:val="00BF3F11"/>
    <w:rsid w:val="00C003FD"/>
    <w:rsid w:val="00C01F44"/>
    <w:rsid w:val="00C020F2"/>
    <w:rsid w:val="00C02A9D"/>
    <w:rsid w:val="00C04113"/>
    <w:rsid w:val="00C048E8"/>
    <w:rsid w:val="00C05F91"/>
    <w:rsid w:val="00C06A96"/>
    <w:rsid w:val="00C11DEF"/>
    <w:rsid w:val="00C158F9"/>
    <w:rsid w:val="00C22275"/>
    <w:rsid w:val="00C24109"/>
    <w:rsid w:val="00C24F4D"/>
    <w:rsid w:val="00C27B9C"/>
    <w:rsid w:val="00C376C1"/>
    <w:rsid w:val="00C44146"/>
    <w:rsid w:val="00C44957"/>
    <w:rsid w:val="00C456A1"/>
    <w:rsid w:val="00C472BD"/>
    <w:rsid w:val="00C500A4"/>
    <w:rsid w:val="00C51349"/>
    <w:rsid w:val="00C51A42"/>
    <w:rsid w:val="00C52B0A"/>
    <w:rsid w:val="00C53F81"/>
    <w:rsid w:val="00C57081"/>
    <w:rsid w:val="00C57A09"/>
    <w:rsid w:val="00C60097"/>
    <w:rsid w:val="00C62683"/>
    <w:rsid w:val="00C6279A"/>
    <w:rsid w:val="00C64651"/>
    <w:rsid w:val="00C64E13"/>
    <w:rsid w:val="00C6562E"/>
    <w:rsid w:val="00C80510"/>
    <w:rsid w:val="00C819CE"/>
    <w:rsid w:val="00C839AD"/>
    <w:rsid w:val="00C83B58"/>
    <w:rsid w:val="00C861CE"/>
    <w:rsid w:val="00C90258"/>
    <w:rsid w:val="00CA64AB"/>
    <w:rsid w:val="00CA64CB"/>
    <w:rsid w:val="00CA6C4F"/>
    <w:rsid w:val="00CA75CD"/>
    <w:rsid w:val="00CA7B47"/>
    <w:rsid w:val="00CB184A"/>
    <w:rsid w:val="00CB28C5"/>
    <w:rsid w:val="00CB2A46"/>
    <w:rsid w:val="00CB4F88"/>
    <w:rsid w:val="00CC5552"/>
    <w:rsid w:val="00CC7AF5"/>
    <w:rsid w:val="00CD0E13"/>
    <w:rsid w:val="00CD127F"/>
    <w:rsid w:val="00CD1376"/>
    <w:rsid w:val="00CD1504"/>
    <w:rsid w:val="00CD2947"/>
    <w:rsid w:val="00CD49AC"/>
    <w:rsid w:val="00CD4C57"/>
    <w:rsid w:val="00CD5426"/>
    <w:rsid w:val="00CE5A4E"/>
    <w:rsid w:val="00CE6589"/>
    <w:rsid w:val="00CF23B8"/>
    <w:rsid w:val="00CF36BE"/>
    <w:rsid w:val="00CF37B1"/>
    <w:rsid w:val="00CF52A1"/>
    <w:rsid w:val="00CF6358"/>
    <w:rsid w:val="00D00B7B"/>
    <w:rsid w:val="00D01058"/>
    <w:rsid w:val="00D012E4"/>
    <w:rsid w:val="00D04AD5"/>
    <w:rsid w:val="00D05B7B"/>
    <w:rsid w:val="00D07A46"/>
    <w:rsid w:val="00D10D3D"/>
    <w:rsid w:val="00D10E86"/>
    <w:rsid w:val="00D14AA4"/>
    <w:rsid w:val="00D15398"/>
    <w:rsid w:val="00D156B5"/>
    <w:rsid w:val="00D16253"/>
    <w:rsid w:val="00D17C03"/>
    <w:rsid w:val="00D231BC"/>
    <w:rsid w:val="00D238E2"/>
    <w:rsid w:val="00D26859"/>
    <w:rsid w:val="00D320B1"/>
    <w:rsid w:val="00D333ED"/>
    <w:rsid w:val="00D35D7F"/>
    <w:rsid w:val="00D36441"/>
    <w:rsid w:val="00D366AB"/>
    <w:rsid w:val="00D41D27"/>
    <w:rsid w:val="00D44845"/>
    <w:rsid w:val="00D44A9A"/>
    <w:rsid w:val="00D45483"/>
    <w:rsid w:val="00D649E5"/>
    <w:rsid w:val="00D64F71"/>
    <w:rsid w:val="00D65FFE"/>
    <w:rsid w:val="00D661C6"/>
    <w:rsid w:val="00D66D75"/>
    <w:rsid w:val="00D67152"/>
    <w:rsid w:val="00D7132E"/>
    <w:rsid w:val="00D72B6C"/>
    <w:rsid w:val="00D731F9"/>
    <w:rsid w:val="00D76304"/>
    <w:rsid w:val="00D76B39"/>
    <w:rsid w:val="00D7700E"/>
    <w:rsid w:val="00D77E16"/>
    <w:rsid w:val="00D803B1"/>
    <w:rsid w:val="00D814FF"/>
    <w:rsid w:val="00D81C84"/>
    <w:rsid w:val="00D91171"/>
    <w:rsid w:val="00D920FF"/>
    <w:rsid w:val="00D95E7A"/>
    <w:rsid w:val="00D962FC"/>
    <w:rsid w:val="00DA343F"/>
    <w:rsid w:val="00DA3A98"/>
    <w:rsid w:val="00DA5B8D"/>
    <w:rsid w:val="00DA783E"/>
    <w:rsid w:val="00DB12C6"/>
    <w:rsid w:val="00DB4982"/>
    <w:rsid w:val="00DB7776"/>
    <w:rsid w:val="00DC0DA3"/>
    <w:rsid w:val="00DC33ED"/>
    <w:rsid w:val="00DC34F6"/>
    <w:rsid w:val="00DC5D50"/>
    <w:rsid w:val="00DC659C"/>
    <w:rsid w:val="00DC6EF1"/>
    <w:rsid w:val="00DD0B13"/>
    <w:rsid w:val="00DD1416"/>
    <w:rsid w:val="00DD3481"/>
    <w:rsid w:val="00DE40CF"/>
    <w:rsid w:val="00DE4D28"/>
    <w:rsid w:val="00DE5D69"/>
    <w:rsid w:val="00DE6499"/>
    <w:rsid w:val="00DF0227"/>
    <w:rsid w:val="00DF1198"/>
    <w:rsid w:val="00DF2EE1"/>
    <w:rsid w:val="00DF3B71"/>
    <w:rsid w:val="00DF5EB4"/>
    <w:rsid w:val="00E0100F"/>
    <w:rsid w:val="00E01412"/>
    <w:rsid w:val="00E01D6D"/>
    <w:rsid w:val="00E0400E"/>
    <w:rsid w:val="00E05C46"/>
    <w:rsid w:val="00E0608E"/>
    <w:rsid w:val="00E078C5"/>
    <w:rsid w:val="00E10924"/>
    <w:rsid w:val="00E21966"/>
    <w:rsid w:val="00E21F69"/>
    <w:rsid w:val="00E2416C"/>
    <w:rsid w:val="00E26D67"/>
    <w:rsid w:val="00E31A74"/>
    <w:rsid w:val="00E33361"/>
    <w:rsid w:val="00E3542F"/>
    <w:rsid w:val="00E357DC"/>
    <w:rsid w:val="00E36177"/>
    <w:rsid w:val="00E36390"/>
    <w:rsid w:val="00E36EF7"/>
    <w:rsid w:val="00E416B6"/>
    <w:rsid w:val="00E46524"/>
    <w:rsid w:val="00E479B1"/>
    <w:rsid w:val="00E50C46"/>
    <w:rsid w:val="00E52771"/>
    <w:rsid w:val="00E57492"/>
    <w:rsid w:val="00E60C89"/>
    <w:rsid w:val="00E60E10"/>
    <w:rsid w:val="00E61D1D"/>
    <w:rsid w:val="00E61F19"/>
    <w:rsid w:val="00E6474D"/>
    <w:rsid w:val="00E64A4C"/>
    <w:rsid w:val="00E706C2"/>
    <w:rsid w:val="00E71EF7"/>
    <w:rsid w:val="00E72918"/>
    <w:rsid w:val="00E73D55"/>
    <w:rsid w:val="00E85A96"/>
    <w:rsid w:val="00E8665E"/>
    <w:rsid w:val="00E8796A"/>
    <w:rsid w:val="00E91172"/>
    <w:rsid w:val="00E926BF"/>
    <w:rsid w:val="00E92EF4"/>
    <w:rsid w:val="00E93259"/>
    <w:rsid w:val="00E96EAE"/>
    <w:rsid w:val="00E97E74"/>
    <w:rsid w:val="00EA2263"/>
    <w:rsid w:val="00EA24EE"/>
    <w:rsid w:val="00EA4FA2"/>
    <w:rsid w:val="00EA7876"/>
    <w:rsid w:val="00EA7C05"/>
    <w:rsid w:val="00EB171E"/>
    <w:rsid w:val="00EB460A"/>
    <w:rsid w:val="00EB50C2"/>
    <w:rsid w:val="00EB5953"/>
    <w:rsid w:val="00EB7315"/>
    <w:rsid w:val="00EC2131"/>
    <w:rsid w:val="00EC2215"/>
    <w:rsid w:val="00EC2F42"/>
    <w:rsid w:val="00EC4239"/>
    <w:rsid w:val="00EC540A"/>
    <w:rsid w:val="00EC7F08"/>
    <w:rsid w:val="00ED4CA4"/>
    <w:rsid w:val="00ED660F"/>
    <w:rsid w:val="00EE057F"/>
    <w:rsid w:val="00EE257F"/>
    <w:rsid w:val="00EE2661"/>
    <w:rsid w:val="00EE2A54"/>
    <w:rsid w:val="00EE45BC"/>
    <w:rsid w:val="00EE63C0"/>
    <w:rsid w:val="00EF4B3E"/>
    <w:rsid w:val="00F07288"/>
    <w:rsid w:val="00F1080E"/>
    <w:rsid w:val="00F12A39"/>
    <w:rsid w:val="00F16AAE"/>
    <w:rsid w:val="00F201C9"/>
    <w:rsid w:val="00F224C1"/>
    <w:rsid w:val="00F24896"/>
    <w:rsid w:val="00F26E67"/>
    <w:rsid w:val="00F31DE6"/>
    <w:rsid w:val="00F332E0"/>
    <w:rsid w:val="00F346EA"/>
    <w:rsid w:val="00F34872"/>
    <w:rsid w:val="00F40B17"/>
    <w:rsid w:val="00F45045"/>
    <w:rsid w:val="00F506A4"/>
    <w:rsid w:val="00F518B4"/>
    <w:rsid w:val="00F522B9"/>
    <w:rsid w:val="00F53F05"/>
    <w:rsid w:val="00F565AD"/>
    <w:rsid w:val="00F61221"/>
    <w:rsid w:val="00F6376D"/>
    <w:rsid w:val="00F63C9E"/>
    <w:rsid w:val="00F65A0A"/>
    <w:rsid w:val="00F67712"/>
    <w:rsid w:val="00F74645"/>
    <w:rsid w:val="00F74748"/>
    <w:rsid w:val="00F75945"/>
    <w:rsid w:val="00F76F6F"/>
    <w:rsid w:val="00F77AB5"/>
    <w:rsid w:val="00F82E3F"/>
    <w:rsid w:val="00F8305F"/>
    <w:rsid w:val="00F856AB"/>
    <w:rsid w:val="00F8620B"/>
    <w:rsid w:val="00F90A77"/>
    <w:rsid w:val="00F95D3C"/>
    <w:rsid w:val="00F971C4"/>
    <w:rsid w:val="00FA066B"/>
    <w:rsid w:val="00FA2E81"/>
    <w:rsid w:val="00FA313A"/>
    <w:rsid w:val="00FA7116"/>
    <w:rsid w:val="00FA7F06"/>
    <w:rsid w:val="00FB0BB0"/>
    <w:rsid w:val="00FB2581"/>
    <w:rsid w:val="00FB3A0A"/>
    <w:rsid w:val="00FB4EAB"/>
    <w:rsid w:val="00FC23D8"/>
    <w:rsid w:val="00FC3926"/>
    <w:rsid w:val="00FC4BA0"/>
    <w:rsid w:val="00FC634A"/>
    <w:rsid w:val="00FD0809"/>
    <w:rsid w:val="00FD130E"/>
    <w:rsid w:val="00FD1B73"/>
    <w:rsid w:val="00FD29D9"/>
    <w:rsid w:val="00FD4293"/>
    <w:rsid w:val="00FD4718"/>
    <w:rsid w:val="00FD56BC"/>
    <w:rsid w:val="00FD75D1"/>
    <w:rsid w:val="00FD7B5E"/>
    <w:rsid w:val="00FE4A49"/>
    <w:rsid w:val="00FE5247"/>
    <w:rsid w:val="00FE5705"/>
    <w:rsid w:val="00FE617E"/>
    <w:rsid w:val="00FE6C5E"/>
    <w:rsid w:val="00FE7195"/>
    <w:rsid w:val="00FF0370"/>
    <w:rsid w:val="00FF2ED1"/>
    <w:rsid w:val="00FF4BB0"/>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85"/>
    <o:shapelayout v:ext="edit">
      <o:idmap v:ext="edit" data="2"/>
      <o:rules v:ext="edit">
        <o:r id="V:Rule1" type="connector" idref="#_x0000_s2066"/>
        <o:r id="V:Rule2" type="connector" idref="#_x0000_s2068"/>
        <o:r id="V:Rule3" type="connector" idref="#_x0000_s2067"/>
        <o:r id="V:Rule4" type="connector" idref="#_x0000_s2081"/>
        <o:r id="V:Rule5" type="connector" idref="#_x0000_s2075"/>
        <o:r id="V:Rule6" type="connector" idref="#_x0000_s2071"/>
        <o:r id="V:Rule7" type="connector" idref="#_x0000_s2074"/>
        <o:r id="V:Rule8" type="connector" idref="#_x0000_s2073"/>
        <o:r id="V:Rule9" type="connector" idref="#_x0000_s2077"/>
        <o:r id="V:Rule10" type="connector" idref="#_x0000_s2084"/>
        <o:r id="V:Rule11" type="connector" idref="#_x0000_s2083"/>
        <o:r id="V:Rule12" type="connector" idref="#_x0000_s2079"/>
        <o:r id="V:Rule13" type="connector" idref="#_x0000_s2076"/>
        <o:r id="V:Rule14" type="connector" idref="#_x0000_s2080"/>
        <o:r id="V:Rule15" type="connector" idref="#_x0000_s2082"/>
        <o:r id="V:Rule16" type="connector" idref="#_x0000_s2070"/>
        <o:r id="V:Rule17" type="connector" idref="#_x0000_s2069"/>
        <o:r id="V:Rule18" type="connector" idref="#_x0000_s2078"/>
        <o:r id="V:Rule19" type="connector" idref="#_x0000_s2072"/>
      </o:rules>
    </o:shapelayout>
  </w:shapeDefaults>
  <w:decimalSymbol w:val=","/>
  <w:listSeparator w:val=";"/>
  <w14:docId w14:val="3ECA1793"/>
  <w15:docId w15:val="{8483D479-B8A5-4484-83C5-0FD3214D48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128EE"/>
  </w:style>
  <w:style w:type="paragraph" w:styleId="Nagwek1">
    <w:name w:val="heading 1"/>
    <w:aliases w:val="Nagłówek Pro-Inwest"/>
    <w:basedOn w:val="Pro-Inwest"/>
    <w:next w:val="Pro-Inwest"/>
    <w:link w:val="Nagwek1Znak"/>
    <w:uiPriority w:val="9"/>
    <w:qFormat/>
    <w:rsid w:val="00451FF6"/>
    <w:pPr>
      <w:keepNext/>
      <w:keepLines/>
      <w:outlineLvl w:val="0"/>
    </w:pPr>
    <w:rPr>
      <w:rFonts w:eastAsiaTheme="majorEastAsia" w:cstheme="majorBidi"/>
      <w:b/>
      <w:bCs/>
      <w:szCs w:val="28"/>
    </w:rPr>
  </w:style>
  <w:style w:type="paragraph" w:styleId="Nagwek2">
    <w:name w:val="heading 2"/>
    <w:basedOn w:val="Normalny"/>
    <w:next w:val="Normalny"/>
    <w:link w:val="Nagwek2Znak"/>
    <w:unhideWhenUsed/>
    <w:qFormat/>
    <w:rsid w:val="00FE719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nhideWhenUsed/>
    <w:qFormat/>
    <w:rsid w:val="00FE7195"/>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uiPriority w:val="9"/>
    <w:unhideWhenUsed/>
    <w:qFormat/>
    <w:rsid w:val="00A83C89"/>
    <w:pPr>
      <w:keepNext/>
      <w:keepLines/>
      <w:spacing w:before="200" w:after="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iPriority w:val="9"/>
    <w:semiHidden/>
    <w:unhideWhenUsed/>
    <w:qFormat/>
    <w:rsid w:val="009C43F6"/>
    <w:pPr>
      <w:keepNext/>
      <w:keepLines/>
      <w:spacing w:before="200" w:after="0"/>
      <w:outlineLvl w:val="4"/>
    </w:pPr>
    <w:rPr>
      <w:rFonts w:asciiTheme="majorHAnsi" w:eastAsiaTheme="majorEastAsia" w:hAnsiTheme="majorHAnsi" w:cstheme="majorBidi"/>
      <w:color w:val="243F60" w:themeColor="accent1" w:themeShade="7F"/>
    </w:rPr>
  </w:style>
  <w:style w:type="paragraph" w:styleId="Nagwek6">
    <w:name w:val="heading 6"/>
    <w:basedOn w:val="Normalny"/>
    <w:link w:val="Nagwek6Znak"/>
    <w:uiPriority w:val="9"/>
    <w:qFormat/>
    <w:rsid w:val="00A04398"/>
    <w:pPr>
      <w:keepNext/>
      <w:spacing w:before="100" w:beforeAutospacing="1" w:after="100" w:afterAutospacing="1" w:line="240" w:lineRule="auto"/>
      <w:outlineLvl w:val="5"/>
    </w:pPr>
    <w:rPr>
      <w:rFonts w:ascii="Times New Roman" w:eastAsia="Times New Roman" w:hAnsi="Times New Roman" w:cs="Times New Roman"/>
      <w:b/>
      <w:bCs/>
      <w:sz w:val="15"/>
      <w:szCs w:val="15"/>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FD4718"/>
    <w:pPr>
      <w:tabs>
        <w:tab w:val="center" w:pos="4536"/>
        <w:tab w:val="right" w:pos="9072"/>
      </w:tabs>
      <w:spacing w:after="0" w:line="240" w:lineRule="auto"/>
    </w:pPr>
  </w:style>
  <w:style w:type="character" w:customStyle="1" w:styleId="NagwekZnak">
    <w:name w:val="Nagłówek Znak"/>
    <w:basedOn w:val="Domylnaczcionkaakapitu"/>
    <w:link w:val="Nagwek"/>
    <w:rsid w:val="00FD4718"/>
  </w:style>
  <w:style w:type="paragraph" w:styleId="Stopka">
    <w:name w:val="footer"/>
    <w:basedOn w:val="Normalny"/>
    <w:link w:val="StopkaZnak"/>
    <w:unhideWhenUsed/>
    <w:rsid w:val="00FD4718"/>
    <w:pPr>
      <w:tabs>
        <w:tab w:val="center" w:pos="4536"/>
        <w:tab w:val="right" w:pos="9072"/>
      </w:tabs>
      <w:spacing w:after="0" w:line="240" w:lineRule="auto"/>
    </w:pPr>
  </w:style>
  <w:style w:type="character" w:customStyle="1" w:styleId="StopkaZnak">
    <w:name w:val="Stopka Znak"/>
    <w:basedOn w:val="Domylnaczcionkaakapitu"/>
    <w:link w:val="Stopka"/>
    <w:rsid w:val="00FD4718"/>
  </w:style>
  <w:style w:type="paragraph" w:styleId="Bezodstpw">
    <w:name w:val="No Spacing"/>
    <w:link w:val="BezodstpwZnak"/>
    <w:uiPriority w:val="1"/>
    <w:qFormat/>
    <w:rsid w:val="00301CDC"/>
    <w:pPr>
      <w:spacing w:after="0" w:line="240" w:lineRule="auto"/>
    </w:pPr>
  </w:style>
  <w:style w:type="paragraph" w:customStyle="1" w:styleId="Pro-Inwest">
    <w:name w:val="Pro-Inwest"/>
    <w:basedOn w:val="Bezodstpw"/>
    <w:link w:val="Pro-InwestZnak"/>
    <w:qFormat/>
    <w:rsid w:val="00D44845"/>
    <w:pPr>
      <w:spacing w:line="276" w:lineRule="auto"/>
    </w:pPr>
    <w:rPr>
      <w:rFonts w:ascii="Arial Narrow" w:hAnsi="Arial Narrow"/>
      <w:sz w:val="24"/>
    </w:rPr>
  </w:style>
  <w:style w:type="character" w:styleId="Tekstzastpczy">
    <w:name w:val="Placeholder Text"/>
    <w:basedOn w:val="Domylnaczcionkaakapitu"/>
    <w:uiPriority w:val="99"/>
    <w:semiHidden/>
    <w:rsid w:val="00E078C5"/>
    <w:rPr>
      <w:color w:val="808080"/>
    </w:rPr>
  </w:style>
  <w:style w:type="character" w:customStyle="1" w:styleId="BezodstpwZnak">
    <w:name w:val="Bez odstępów Znak"/>
    <w:basedOn w:val="Domylnaczcionkaakapitu"/>
    <w:link w:val="Bezodstpw"/>
    <w:uiPriority w:val="1"/>
    <w:rsid w:val="00301CDC"/>
  </w:style>
  <w:style w:type="character" w:customStyle="1" w:styleId="Pro-InwestZnak">
    <w:name w:val="Pro-Inwest Znak"/>
    <w:basedOn w:val="BezodstpwZnak"/>
    <w:link w:val="Pro-Inwest"/>
    <w:rsid w:val="00D44845"/>
    <w:rPr>
      <w:rFonts w:ascii="Arial Narrow" w:hAnsi="Arial Narrow"/>
      <w:sz w:val="24"/>
    </w:rPr>
  </w:style>
  <w:style w:type="paragraph" w:styleId="Tekstdymka">
    <w:name w:val="Balloon Text"/>
    <w:basedOn w:val="Normalny"/>
    <w:link w:val="TekstdymkaZnak"/>
    <w:uiPriority w:val="99"/>
    <w:semiHidden/>
    <w:unhideWhenUsed/>
    <w:rsid w:val="00E078C5"/>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078C5"/>
    <w:rPr>
      <w:rFonts w:ascii="Tahoma" w:hAnsi="Tahoma" w:cs="Tahoma"/>
      <w:sz w:val="16"/>
      <w:szCs w:val="16"/>
    </w:rPr>
  </w:style>
  <w:style w:type="character" w:customStyle="1" w:styleId="Nagwek1Znak">
    <w:name w:val="Nagłówek 1 Znak"/>
    <w:aliases w:val="Nagłówek Pro-Inwest Znak"/>
    <w:basedOn w:val="Domylnaczcionkaakapitu"/>
    <w:link w:val="Nagwek1"/>
    <w:uiPriority w:val="9"/>
    <w:rsid w:val="00451FF6"/>
    <w:rPr>
      <w:rFonts w:ascii="Arial Narrow" w:eastAsiaTheme="majorEastAsia" w:hAnsi="Arial Narrow" w:cstheme="majorBidi"/>
      <w:b/>
      <w:bCs/>
      <w:szCs w:val="28"/>
    </w:rPr>
  </w:style>
  <w:style w:type="paragraph" w:styleId="Nagwekspisutreci">
    <w:name w:val="TOC Heading"/>
    <w:basedOn w:val="Nagwek1"/>
    <w:next w:val="Normalny"/>
    <w:uiPriority w:val="39"/>
    <w:semiHidden/>
    <w:unhideWhenUsed/>
    <w:qFormat/>
    <w:rsid w:val="00E078C5"/>
    <w:pPr>
      <w:outlineLvl w:val="9"/>
    </w:pPr>
    <w:rPr>
      <w:lang w:eastAsia="pl-PL"/>
    </w:rPr>
  </w:style>
  <w:style w:type="paragraph" w:styleId="Spistreci1">
    <w:name w:val="toc 1"/>
    <w:basedOn w:val="Normalny"/>
    <w:next w:val="Normalny"/>
    <w:autoRedefine/>
    <w:unhideWhenUsed/>
    <w:rsid w:val="00502E91"/>
    <w:pPr>
      <w:tabs>
        <w:tab w:val="left" w:pos="440"/>
        <w:tab w:val="right" w:leader="dot" w:pos="9062"/>
      </w:tabs>
      <w:spacing w:after="100"/>
    </w:pPr>
  </w:style>
  <w:style w:type="character" w:styleId="Hipercze">
    <w:name w:val="Hyperlink"/>
    <w:basedOn w:val="Domylnaczcionkaakapitu"/>
    <w:uiPriority w:val="99"/>
    <w:unhideWhenUsed/>
    <w:rsid w:val="00E078C5"/>
    <w:rPr>
      <w:color w:val="0000FF" w:themeColor="hyperlink"/>
      <w:u w:val="single"/>
    </w:rPr>
  </w:style>
  <w:style w:type="table" w:styleId="Tabela-Siatka">
    <w:name w:val="Table Grid"/>
    <w:basedOn w:val="Standardowy"/>
    <w:uiPriority w:val="59"/>
    <w:rsid w:val="003311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
    <w:rsid w:val="00682A68"/>
    <w:pPr>
      <w:suppressAutoHyphens/>
      <w:spacing w:after="0" w:line="240" w:lineRule="auto"/>
      <w:jc w:val="center"/>
    </w:pPr>
    <w:rPr>
      <w:rFonts w:ascii="Times New Roman" w:eastAsia="Times New Roman" w:hAnsi="Times New Roman" w:cs="Times New Roman"/>
      <w:sz w:val="40"/>
      <w:szCs w:val="24"/>
      <w:lang w:eastAsia="ar-SA"/>
    </w:rPr>
  </w:style>
  <w:style w:type="character" w:customStyle="1" w:styleId="TekstpodstawowyZnak">
    <w:name w:val="Tekst podstawowy Znak"/>
    <w:basedOn w:val="Domylnaczcionkaakapitu"/>
    <w:link w:val="Tekstpodstawowy"/>
    <w:rsid w:val="00682A68"/>
    <w:rPr>
      <w:rFonts w:ascii="Times New Roman" w:eastAsia="Times New Roman" w:hAnsi="Times New Roman" w:cs="Times New Roman"/>
      <w:sz w:val="40"/>
      <w:szCs w:val="24"/>
      <w:lang w:eastAsia="ar-SA"/>
    </w:rPr>
  </w:style>
  <w:style w:type="paragraph" w:styleId="Tekstpodstawowywcity">
    <w:name w:val="Body Text Indent"/>
    <w:basedOn w:val="Normalny"/>
    <w:link w:val="TekstpodstawowywcityZnak"/>
    <w:semiHidden/>
    <w:rsid w:val="00682A68"/>
    <w:pPr>
      <w:suppressAutoHyphens/>
      <w:spacing w:after="0" w:line="360" w:lineRule="auto"/>
      <w:ind w:left="360" w:firstLine="348"/>
      <w:jc w:val="both"/>
    </w:pPr>
    <w:rPr>
      <w:rFonts w:ascii="Times New Roman" w:eastAsia="Times New Roman" w:hAnsi="Times New Roman" w:cs="Times New Roman"/>
      <w:sz w:val="24"/>
      <w:szCs w:val="24"/>
      <w:lang w:eastAsia="ar-SA"/>
    </w:rPr>
  </w:style>
  <w:style w:type="character" w:customStyle="1" w:styleId="TekstpodstawowywcityZnak">
    <w:name w:val="Tekst podstawowy wcięty Znak"/>
    <w:basedOn w:val="Domylnaczcionkaakapitu"/>
    <w:link w:val="Tekstpodstawowywcity"/>
    <w:semiHidden/>
    <w:rsid w:val="00682A68"/>
    <w:rPr>
      <w:rFonts w:ascii="Times New Roman" w:eastAsia="Times New Roman" w:hAnsi="Times New Roman" w:cs="Times New Roman"/>
      <w:sz w:val="24"/>
      <w:szCs w:val="24"/>
      <w:lang w:eastAsia="ar-SA"/>
    </w:rPr>
  </w:style>
  <w:style w:type="paragraph" w:styleId="Akapitzlist">
    <w:name w:val="List Paragraph"/>
    <w:basedOn w:val="Normalny"/>
    <w:uiPriority w:val="34"/>
    <w:qFormat/>
    <w:rsid w:val="000F2BCB"/>
    <w:pPr>
      <w:ind w:left="720"/>
      <w:contextualSpacing/>
    </w:pPr>
  </w:style>
  <w:style w:type="paragraph" w:styleId="NormalnyWeb">
    <w:name w:val="Normal (Web)"/>
    <w:basedOn w:val="Normalny"/>
    <w:uiPriority w:val="99"/>
    <w:unhideWhenUsed/>
    <w:rsid w:val="00EE2661"/>
    <w:pPr>
      <w:spacing w:before="100" w:beforeAutospacing="1" w:after="119" w:line="240" w:lineRule="auto"/>
    </w:pPr>
    <w:rPr>
      <w:rFonts w:ascii="Times New Roman" w:eastAsia="Times New Roman" w:hAnsi="Times New Roman" w:cs="Times New Roman"/>
      <w:sz w:val="24"/>
      <w:szCs w:val="24"/>
      <w:lang w:eastAsia="pl-PL"/>
    </w:rPr>
  </w:style>
  <w:style w:type="character" w:customStyle="1" w:styleId="Nagwek5Znak">
    <w:name w:val="Nagłówek 5 Znak"/>
    <w:basedOn w:val="Domylnaczcionkaakapitu"/>
    <w:link w:val="Nagwek5"/>
    <w:uiPriority w:val="9"/>
    <w:semiHidden/>
    <w:rsid w:val="009C43F6"/>
    <w:rPr>
      <w:rFonts w:asciiTheme="majorHAnsi" w:eastAsiaTheme="majorEastAsia" w:hAnsiTheme="majorHAnsi" w:cstheme="majorBidi"/>
      <w:color w:val="243F60" w:themeColor="accent1" w:themeShade="7F"/>
    </w:rPr>
  </w:style>
  <w:style w:type="character" w:customStyle="1" w:styleId="Nagwek2Znak">
    <w:name w:val="Nagłówek 2 Znak"/>
    <w:basedOn w:val="Domylnaczcionkaakapitu"/>
    <w:link w:val="Nagwek2"/>
    <w:rsid w:val="00FE7195"/>
    <w:rPr>
      <w:rFonts w:asciiTheme="majorHAnsi" w:eastAsiaTheme="majorEastAsia" w:hAnsiTheme="majorHAnsi" w:cstheme="majorBidi"/>
      <w:b/>
      <w:bCs/>
      <w:color w:val="4F81BD" w:themeColor="accent1"/>
      <w:sz w:val="26"/>
      <w:szCs w:val="26"/>
    </w:rPr>
  </w:style>
  <w:style w:type="character" w:customStyle="1" w:styleId="Nagwek3Znak">
    <w:name w:val="Nagłówek 3 Znak"/>
    <w:basedOn w:val="Domylnaczcionkaakapitu"/>
    <w:link w:val="Nagwek3"/>
    <w:rsid w:val="00FE7195"/>
    <w:rPr>
      <w:rFonts w:asciiTheme="majorHAnsi" w:eastAsiaTheme="majorEastAsia" w:hAnsiTheme="majorHAnsi" w:cstheme="majorBidi"/>
      <w:b/>
      <w:bCs/>
      <w:color w:val="4F81BD" w:themeColor="accent1"/>
    </w:rPr>
  </w:style>
  <w:style w:type="paragraph" w:customStyle="1" w:styleId="NAZWYSPECYFIKACJI">
    <w:name w:val="NAZWY SPECYFIKACJI"/>
    <w:basedOn w:val="Normalny"/>
    <w:qFormat/>
    <w:rsid w:val="004F51CC"/>
    <w:pPr>
      <w:widowControl w:val="0"/>
      <w:suppressAutoHyphens/>
      <w:spacing w:after="0" w:line="240" w:lineRule="auto"/>
      <w:jc w:val="both"/>
    </w:pPr>
    <w:rPr>
      <w:rFonts w:ascii="Arial" w:eastAsia="Lucida Sans Unicode" w:hAnsi="Arial" w:cs="Arial"/>
      <w:b/>
      <w:kern w:val="1"/>
      <w:sz w:val="14"/>
      <w:szCs w:val="14"/>
    </w:rPr>
  </w:style>
  <w:style w:type="paragraph" w:customStyle="1" w:styleId="Standardowytekst">
    <w:name w:val="Standardowy.tekst"/>
    <w:rsid w:val="00374C4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Zawartotabeli">
    <w:name w:val="Zawartość tabeli"/>
    <w:basedOn w:val="Normalny"/>
    <w:rsid w:val="002B055B"/>
    <w:pPr>
      <w:widowControl w:val="0"/>
      <w:suppressLineNumbers/>
      <w:suppressAutoHyphens/>
      <w:spacing w:after="0" w:line="240" w:lineRule="auto"/>
      <w:jc w:val="both"/>
    </w:pPr>
    <w:rPr>
      <w:rFonts w:ascii="Arial" w:eastAsia="Lucida Sans Unicode" w:hAnsi="Arial" w:cs="Times New Roman"/>
      <w:kern w:val="1"/>
      <w:sz w:val="14"/>
      <w:szCs w:val="24"/>
    </w:rPr>
  </w:style>
  <w:style w:type="paragraph" w:customStyle="1" w:styleId="tekstost">
    <w:name w:val="tekst ost"/>
    <w:basedOn w:val="Normalny"/>
    <w:rsid w:val="00723FCE"/>
    <w:pPr>
      <w:widowControl w:val="0"/>
      <w:suppressAutoHyphens/>
      <w:spacing w:after="0" w:line="240" w:lineRule="auto"/>
      <w:jc w:val="both"/>
    </w:pPr>
    <w:rPr>
      <w:rFonts w:ascii="Arial" w:eastAsia="Lucida Sans Unicode" w:hAnsi="Arial" w:cs="Times New Roman"/>
      <w:kern w:val="1"/>
      <w:sz w:val="14"/>
      <w:szCs w:val="24"/>
    </w:rPr>
  </w:style>
  <w:style w:type="character" w:customStyle="1" w:styleId="Nagwek4Znak">
    <w:name w:val="Nagłówek 4 Znak"/>
    <w:basedOn w:val="Domylnaczcionkaakapitu"/>
    <w:link w:val="Nagwek4"/>
    <w:uiPriority w:val="9"/>
    <w:rsid w:val="00A83C89"/>
    <w:rPr>
      <w:rFonts w:asciiTheme="majorHAnsi" w:eastAsiaTheme="majorEastAsia" w:hAnsiTheme="majorHAnsi" w:cstheme="majorBidi"/>
      <w:b/>
      <w:bCs/>
      <w:i/>
      <w:iCs/>
      <w:color w:val="4F81BD" w:themeColor="accent1"/>
    </w:rPr>
  </w:style>
  <w:style w:type="paragraph" w:customStyle="1" w:styleId="StylIwony">
    <w:name w:val="Styl Iwony"/>
    <w:basedOn w:val="Normalny"/>
    <w:rsid w:val="00A83C89"/>
    <w:pPr>
      <w:widowControl w:val="0"/>
      <w:suppressAutoHyphens/>
      <w:spacing w:before="120" w:after="120" w:line="240" w:lineRule="auto"/>
      <w:jc w:val="both"/>
    </w:pPr>
    <w:rPr>
      <w:rFonts w:ascii="Bookman Old Style" w:eastAsia="Lucida Sans Unicode" w:hAnsi="Bookman Old Style" w:cs="Times New Roman"/>
      <w:kern w:val="1"/>
      <w:sz w:val="24"/>
      <w:szCs w:val="24"/>
    </w:rPr>
  </w:style>
  <w:style w:type="paragraph" w:customStyle="1" w:styleId="Standardowytekst1">
    <w:name w:val="Standardowy.tekst1"/>
    <w:rsid w:val="00A83C89"/>
    <w:pPr>
      <w:suppressAutoHyphens/>
      <w:overflowPunct w:val="0"/>
      <w:autoSpaceDE w:val="0"/>
      <w:spacing w:after="0" w:line="240" w:lineRule="auto"/>
      <w:jc w:val="both"/>
      <w:textAlignment w:val="baseline"/>
    </w:pPr>
    <w:rPr>
      <w:rFonts w:ascii="Times New Roman" w:eastAsia="Arial" w:hAnsi="Times New Roman" w:cs="Times New Roman"/>
      <w:sz w:val="20"/>
      <w:szCs w:val="20"/>
      <w:lang w:eastAsia="ar-SA"/>
    </w:rPr>
  </w:style>
  <w:style w:type="paragraph" w:customStyle="1" w:styleId="Tekstpodstawowy21">
    <w:name w:val="Tekst podstawowy 21"/>
    <w:basedOn w:val="Normalny"/>
    <w:rsid w:val="00A83C89"/>
    <w:pPr>
      <w:overflowPunct w:val="0"/>
      <w:autoSpaceDE w:val="0"/>
      <w:spacing w:after="0" w:line="240" w:lineRule="auto"/>
      <w:ind w:firstLine="283"/>
      <w:jc w:val="both"/>
      <w:textAlignment w:val="baseline"/>
    </w:pPr>
    <w:rPr>
      <w:rFonts w:ascii="Times New Roman" w:eastAsia="Times New Roman" w:hAnsi="Times New Roman" w:cs="Times New Roman"/>
      <w:kern w:val="1"/>
      <w:sz w:val="20"/>
      <w:szCs w:val="20"/>
    </w:rPr>
  </w:style>
  <w:style w:type="paragraph" w:customStyle="1" w:styleId="styliwony0">
    <w:name w:val="styliwony"/>
    <w:basedOn w:val="Normalny"/>
    <w:rsid w:val="00361D1E"/>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apple-converted-space">
    <w:name w:val="apple-converted-space"/>
    <w:basedOn w:val="Domylnaczcionkaakapitu"/>
    <w:rsid w:val="00361D1E"/>
  </w:style>
  <w:style w:type="paragraph" w:styleId="Tekstprzypisudolnego">
    <w:name w:val="footnote text"/>
    <w:basedOn w:val="Normalny"/>
    <w:link w:val="TekstprzypisudolnegoZnak"/>
    <w:semiHidden/>
    <w:unhideWhenUsed/>
    <w:rsid w:val="002F1879"/>
    <w:pPr>
      <w:widowControl w:val="0"/>
      <w:suppressAutoHyphens/>
      <w:spacing w:after="0" w:line="240" w:lineRule="auto"/>
      <w:jc w:val="both"/>
    </w:pPr>
    <w:rPr>
      <w:rFonts w:ascii="Arial" w:eastAsia="Lucida Sans Unicode" w:hAnsi="Arial" w:cs="Times New Roman"/>
      <w:kern w:val="2"/>
      <w:sz w:val="14"/>
      <w:szCs w:val="24"/>
      <w:lang w:eastAsia="pl-PL"/>
    </w:rPr>
  </w:style>
  <w:style w:type="character" w:customStyle="1" w:styleId="TekstprzypisudolnegoZnak">
    <w:name w:val="Tekst przypisu dolnego Znak"/>
    <w:basedOn w:val="Domylnaczcionkaakapitu"/>
    <w:link w:val="Tekstprzypisudolnego"/>
    <w:semiHidden/>
    <w:rsid w:val="002F1879"/>
    <w:rPr>
      <w:rFonts w:ascii="Arial" w:eastAsia="Lucida Sans Unicode" w:hAnsi="Arial" w:cs="Times New Roman"/>
      <w:kern w:val="2"/>
      <w:sz w:val="14"/>
      <w:szCs w:val="24"/>
      <w:lang w:eastAsia="pl-PL"/>
    </w:rPr>
  </w:style>
  <w:style w:type="character" w:customStyle="1" w:styleId="Znakiprzypiswdolnych">
    <w:name w:val="Znaki przypisów dolnych"/>
    <w:basedOn w:val="Domylnaczcionkaakapitu"/>
    <w:rsid w:val="002F1879"/>
    <w:rPr>
      <w:vertAlign w:val="superscript"/>
    </w:rPr>
  </w:style>
  <w:style w:type="paragraph" w:customStyle="1" w:styleId="tekstost0">
    <w:name w:val="tekstost"/>
    <w:basedOn w:val="Normalny"/>
    <w:rsid w:val="002F1879"/>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Standard">
    <w:name w:val="Standard"/>
    <w:rsid w:val="00845D7A"/>
    <w:pPr>
      <w:widowControl w:val="0"/>
      <w:suppressAutoHyphens/>
      <w:autoSpaceDN w:val="0"/>
      <w:spacing w:after="0" w:line="240" w:lineRule="auto"/>
      <w:jc w:val="both"/>
      <w:textAlignment w:val="baseline"/>
    </w:pPr>
    <w:rPr>
      <w:rFonts w:ascii="Arial" w:eastAsia="Lucida Sans Unicode" w:hAnsi="Arial" w:cs="Tahoma"/>
      <w:kern w:val="3"/>
      <w:sz w:val="14"/>
      <w:szCs w:val="24"/>
      <w:lang w:eastAsia="pl-PL"/>
    </w:rPr>
  </w:style>
  <w:style w:type="paragraph" w:customStyle="1" w:styleId="WW-BodyText2">
    <w:name w:val="WW-Body Text 2"/>
    <w:basedOn w:val="Normalny"/>
    <w:rsid w:val="0073212D"/>
    <w:pPr>
      <w:widowControl w:val="0"/>
      <w:pBdr>
        <w:top w:val="single" w:sz="4" w:space="1" w:color="000000"/>
        <w:bottom w:val="single" w:sz="4" w:space="1" w:color="000000"/>
      </w:pBdr>
      <w:suppressAutoHyphens/>
      <w:spacing w:after="0" w:line="180" w:lineRule="exact"/>
    </w:pPr>
    <w:rPr>
      <w:rFonts w:ascii="Times New Roman" w:eastAsia="Times New Roman" w:hAnsi="Times New Roman" w:cs="Times New Roman"/>
      <w:sz w:val="16"/>
      <w:szCs w:val="20"/>
    </w:rPr>
  </w:style>
  <w:style w:type="paragraph" w:customStyle="1" w:styleId="Tekstpodstawowy22">
    <w:name w:val="Tekst podstawowy 22"/>
    <w:basedOn w:val="Normalny"/>
    <w:rsid w:val="0073212D"/>
    <w:pPr>
      <w:widowControl w:val="0"/>
      <w:suppressAutoHyphens/>
      <w:spacing w:after="0" w:line="240" w:lineRule="auto"/>
      <w:ind w:left="360"/>
    </w:pPr>
    <w:rPr>
      <w:rFonts w:ascii="Times New Roman" w:eastAsia="Times New Roman" w:hAnsi="Times New Roman" w:cs="Times New Roman"/>
      <w:sz w:val="24"/>
      <w:szCs w:val="20"/>
    </w:rPr>
  </w:style>
  <w:style w:type="character" w:styleId="Odwoanieprzypisudolnego">
    <w:name w:val="footnote reference"/>
    <w:basedOn w:val="Domylnaczcionkaakapitu"/>
    <w:semiHidden/>
    <w:rsid w:val="00306E6D"/>
    <w:rPr>
      <w:vertAlign w:val="superscript"/>
    </w:rPr>
  </w:style>
  <w:style w:type="paragraph" w:customStyle="1" w:styleId="Nagwek10">
    <w:name w:val="Nagłówek1"/>
    <w:basedOn w:val="Normalny"/>
    <w:next w:val="Tekstpodstawowy"/>
    <w:rsid w:val="000E2A21"/>
    <w:pPr>
      <w:keepNext/>
      <w:widowControl w:val="0"/>
      <w:suppressAutoHyphens/>
      <w:spacing w:before="240" w:after="120" w:line="240" w:lineRule="auto"/>
    </w:pPr>
    <w:rPr>
      <w:rFonts w:ascii="Arial" w:eastAsia="Lucida Sans Unicode" w:hAnsi="Arial" w:cs="Tahoma"/>
      <w:sz w:val="28"/>
      <w:szCs w:val="28"/>
    </w:rPr>
  </w:style>
  <w:style w:type="paragraph" w:customStyle="1" w:styleId="Tekstpodstawowy23">
    <w:name w:val="Tekst podstawowy 23"/>
    <w:basedOn w:val="Normalny"/>
    <w:rsid w:val="000E2A21"/>
    <w:pPr>
      <w:widowControl w:val="0"/>
      <w:suppressAutoHyphens/>
      <w:spacing w:after="0" w:line="240" w:lineRule="auto"/>
      <w:ind w:left="284" w:hanging="284"/>
    </w:pPr>
    <w:rPr>
      <w:rFonts w:ascii="Times New Roman" w:eastAsia="Times New Roman" w:hAnsi="Times New Roman" w:cs="Times New Roman"/>
      <w:sz w:val="24"/>
      <w:szCs w:val="20"/>
    </w:rPr>
  </w:style>
  <w:style w:type="paragraph" w:customStyle="1" w:styleId="Tekstpodstawowywcity21">
    <w:name w:val="Tekst podstawowy wcięty 21"/>
    <w:basedOn w:val="Normalny"/>
    <w:rsid w:val="000E2A21"/>
    <w:pPr>
      <w:widowControl w:val="0"/>
      <w:suppressAutoHyphens/>
      <w:spacing w:after="0" w:line="240" w:lineRule="auto"/>
      <w:ind w:left="142" w:firstLine="567"/>
    </w:pPr>
    <w:rPr>
      <w:rFonts w:ascii="Times New Roman" w:eastAsia="Times New Roman" w:hAnsi="Times New Roman" w:cs="Times New Roman"/>
      <w:sz w:val="24"/>
      <w:szCs w:val="20"/>
    </w:rPr>
  </w:style>
  <w:style w:type="paragraph" w:customStyle="1" w:styleId="Tekstpodstawowywcity31">
    <w:name w:val="Tekst podstawowy wcięty 31"/>
    <w:basedOn w:val="Normalny"/>
    <w:rsid w:val="000E2A21"/>
    <w:pPr>
      <w:widowControl w:val="0"/>
      <w:suppressAutoHyphens/>
      <w:spacing w:after="0" w:line="240" w:lineRule="auto"/>
      <w:ind w:firstLine="709"/>
      <w:jc w:val="both"/>
    </w:pPr>
    <w:rPr>
      <w:rFonts w:ascii="Times New Roman" w:eastAsia="Times New Roman" w:hAnsi="Times New Roman" w:cs="Times New Roman"/>
      <w:sz w:val="20"/>
      <w:szCs w:val="20"/>
    </w:rPr>
  </w:style>
  <w:style w:type="numbering" w:customStyle="1" w:styleId="WW8Num79">
    <w:name w:val="WW8Num79"/>
    <w:basedOn w:val="Bezlisty"/>
    <w:rsid w:val="00E10924"/>
    <w:pPr>
      <w:numPr>
        <w:numId w:val="56"/>
      </w:numPr>
    </w:pPr>
  </w:style>
  <w:style w:type="numbering" w:customStyle="1" w:styleId="WW8Num82">
    <w:name w:val="WW8Num82"/>
    <w:basedOn w:val="Bezlisty"/>
    <w:rsid w:val="00E10924"/>
    <w:pPr>
      <w:numPr>
        <w:numId w:val="57"/>
      </w:numPr>
    </w:pPr>
  </w:style>
  <w:style w:type="numbering" w:customStyle="1" w:styleId="WW8Num83">
    <w:name w:val="WW8Num83"/>
    <w:basedOn w:val="Bezlisty"/>
    <w:rsid w:val="00E10924"/>
    <w:pPr>
      <w:numPr>
        <w:numId w:val="58"/>
      </w:numPr>
    </w:pPr>
  </w:style>
  <w:style w:type="numbering" w:customStyle="1" w:styleId="WW8Num84">
    <w:name w:val="WW8Num84"/>
    <w:basedOn w:val="Bezlisty"/>
    <w:rsid w:val="00E10924"/>
    <w:pPr>
      <w:numPr>
        <w:numId w:val="59"/>
      </w:numPr>
    </w:pPr>
  </w:style>
  <w:style w:type="numbering" w:customStyle="1" w:styleId="WW8Num85">
    <w:name w:val="WW8Num85"/>
    <w:basedOn w:val="Bezlisty"/>
    <w:rsid w:val="00E10924"/>
    <w:pPr>
      <w:numPr>
        <w:numId w:val="60"/>
      </w:numPr>
    </w:pPr>
  </w:style>
  <w:style w:type="numbering" w:customStyle="1" w:styleId="WW8Num86">
    <w:name w:val="WW8Num86"/>
    <w:basedOn w:val="Bezlisty"/>
    <w:rsid w:val="00E10924"/>
    <w:pPr>
      <w:numPr>
        <w:numId w:val="61"/>
      </w:numPr>
    </w:pPr>
  </w:style>
  <w:style w:type="numbering" w:customStyle="1" w:styleId="WW8Num87">
    <w:name w:val="WW8Num87"/>
    <w:basedOn w:val="Bezlisty"/>
    <w:rsid w:val="00E10924"/>
    <w:pPr>
      <w:numPr>
        <w:numId w:val="62"/>
      </w:numPr>
    </w:pPr>
  </w:style>
  <w:style w:type="numbering" w:customStyle="1" w:styleId="WW8Num88">
    <w:name w:val="WW8Num88"/>
    <w:basedOn w:val="Bezlisty"/>
    <w:rsid w:val="00E10924"/>
    <w:pPr>
      <w:numPr>
        <w:numId w:val="63"/>
      </w:numPr>
    </w:pPr>
  </w:style>
  <w:style w:type="numbering" w:customStyle="1" w:styleId="WW8Num89">
    <w:name w:val="WW8Num89"/>
    <w:basedOn w:val="Bezlisty"/>
    <w:rsid w:val="00E10924"/>
    <w:pPr>
      <w:numPr>
        <w:numId w:val="64"/>
      </w:numPr>
    </w:pPr>
  </w:style>
  <w:style w:type="numbering" w:customStyle="1" w:styleId="WW8Num90">
    <w:name w:val="WW8Num90"/>
    <w:basedOn w:val="Bezlisty"/>
    <w:rsid w:val="00E10924"/>
    <w:pPr>
      <w:numPr>
        <w:numId w:val="65"/>
      </w:numPr>
    </w:pPr>
  </w:style>
  <w:style w:type="paragraph" w:customStyle="1" w:styleId="Bezformatowania">
    <w:name w:val="Bez formatowania"/>
    <w:rsid w:val="000F19A0"/>
    <w:pPr>
      <w:suppressAutoHyphens/>
      <w:spacing w:after="0" w:line="240" w:lineRule="auto"/>
    </w:pPr>
    <w:rPr>
      <w:rFonts w:ascii="Times New Roman" w:eastAsia="ヒラギノ角ゴ Pro W3" w:hAnsi="Times New Roman" w:cs="Calibri"/>
      <w:color w:val="000000"/>
      <w:sz w:val="20"/>
      <w:szCs w:val="20"/>
      <w:lang w:eastAsia="ar-SA"/>
    </w:rPr>
  </w:style>
  <w:style w:type="paragraph" w:styleId="Tekstpodstawowywcity3">
    <w:name w:val="Body Text Indent 3"/>
    <w:basedOn w:val="Normalny"/>
    <w:link w:val="Tekstpodstawowywcity3Znak"/>
    <w:unhideWhenUsed/>
    <w:rsid w:val="00F75945"/>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rsid w:val="00F75945"/>
    <w:rPr>
      <w:sz w:val="16"/>
      <w:szCs w:val="16"/>
    </w:rPr>
  </w:style>
  <w:style w:type="character" w:styleId="Numerstrony">
    <w:name w:val="page number"/>
    <w:basedOn w:val="Domylnaczcionkaakapitu"/>
    <w:rsid w:val="00F75945"/>
  </w:style>
  <w:style w:type="character" w:styleId="UyteHipercze">
    <w:name w:val="FollowedHyperlink"/>
    <w:basedOn w:val="Domylnaczcionkaakapitu"/>
    <w:uiPriority w:val="99"/>
    <w:semiHidden/>
    <w:unhideWhenUsed/>
    <w:rsid w:val="00F75945"/>
    <w:rPr>
      <w:color w:val="800080"/>
      <w:u w:val="single"/>
    </w:rPr>
  </w:style>
  <w:style w:type="paragraph" w:styleId="Spistreci2">
    <w:name w:val="toc 2"/>
    <w:basedOn w:val="Normalny"/>
    <w:autoRedefine/>
    <w:semiHidden/>
    <w:unhideWhenUsed/>
    <w:rsid w:val="00F75945"/>
    <w:pPr>
      <w:tabs>
        <w:tab w:val="right" w:leader="dot" w:pos="7371"/>
      </w:tabs>
      <w:overflowPunct w:val="0"/>
      <w:autoSpaceDE w:val="0"/>
      <w:autoSpaceDN w:val="0"/>
      <w:adjustRightInd w:val="0"/>
      <w:spacing w:after="0" w:line="240" w:lineRule="auto"/>
      <w:ind w:left="200"/>
    </w:pPr>
    <w:rPr>
      <w:rFonts w:ascii="Times New Roman" w:eastAsia="Times New Roman" w:hAnsi="Times New Roman" w:cs="Times New Roman"/>
      <w:sz w:val="20"/>
      <w:szCs w:val="20"/>
      <w:lang w:eastAsia="pl-PL"/>
    </w:rPr>
  </w:style>
  <w:style w:type="paragraph" w:styleId="Spistreci3">
    <w:name w:val="toc 3"/>
    <w:basedOn w:val="Normalny"/>
    <w:autoRedefine/>
    <w:semiHidden/>
    <w:unhideWhenUsed/>
    <w:rsid w:val="00F75945"/>
    <w:pPr>
      <w:tabs>
        <w:tab w:val="right" w:leader="dot" w:pos="7371"/>
      </w:tabs>
      <w:overflowPunct w:val="0"/>
      <w:autoSpaceDE w:val="0"/>
      <w:autoSpaceDN w:val="0"/>
      <w:adjustRightInd w:val="0"/>
      <w:spacing w:after="0" w:line="240" w:lineRule="auto"/>
      <w:ind w:left="400"/>
    </w:pPr>
    <w:rPr>
      <w:rFonts w:ascii="Times New Roman" w:eastAsia="Times New Roman" w:hAnsi="Times New Roman" w:cs="Times New Roman"/>
      <w:sz w:val="20"/>
      <w:szCs w:val="20"/>
      <w:lang w:eastAsia="pl-PL"/>
    </w:rPr>
  </w:style>
  <w:style w:type="paragraph" w:styleId="Spistreci4">
    <w:name w:val="toc 4"/>
    <w:basedOn w:val="Normalny"/>
    <w:autoRedefine/>
    <w:semiHidden/>
    <w:unhideWhenUsed/>
    <w:rsid w:val="00F75945"/>
    <w:pPr>
      <w:tabs>
        <w:tab w:val="right" w:leader="dot" w:pos="7371"/>
      </w:tabs>
      <w:overflowPunct w:val="0"/>
      <w:autoSpaceDE w:val="0"/>
      <w:autoSpaceDN w:val="0"/>
      <w:adjustRightInd w:val="0"/>
      <w:spacing w:after="0" w:line="240" w:lineRule="auto"/>
      <w:ind w:left="600"/>
    </w:pPr>
    <w:rPr>
      <w:rFonts w:ascii="Times New Roman" w:eastAsia="Times New Roman" w:hAnsi="Times New Roman" w:cs="Times New Roman"/>
      <w:sz w:val="18"/>
      <w:szCs w:val="20"/>
      <w:lang w:eastAsia="pl-PL"/>
    </w:rPr>
  </w:style>
  <w:style w:type="paragraph" w:styleId="Spistreci5">
    <w:name w:val="toc 5"/>
    <w:basedOn w:val="Normalny"/>
    <w:autoRedefine/>
    <w:semiHidden/>
    <w:unhideWhenUsed/>
    <w:rsid w:val="00F75945"/>
    <w:pPr>
      <w:tabs>
        <w:tab w:val="right" w:leader="dot" w:pos="7371"/>
      </w:tabs>
      <w:overflowPunct w:val="0"/>
      <w:autoSpaceDE w:val="0"/>
      <w:autoSpaceDN w:val="0"/>
      <w:adjustRightInd w:val="0"/>
      <w:spacing w:after="0" w:line="240" w:lineRule="auto"/>
      <w:ind w:left="800"/>
    </w:pPr>
    <w:rPr>
      <w:rFonts w:ascii="Times New Roman" w:eastAsia="Times New Roman" w:hAnsi="Times New Roman" w:cs="Times New Roman"/>
      <w:sz w:val="18"/>
      <w:szCs w:val="20"/>
      <w:lang w:eastAsia="pl-PL"/>
    </w:rPr>
  </w:style>
  <w:style w:type="paragraph" w:styleId="Spistreci6">
    <w:name w:val="toc 6"/>
    <w:basedOn w:val="Normalny"/>
    <w:autoRedefine/>
    <w:semiHidden/>
    <w:unhideWhenUsed/>
    <w:rsid w:val="00F75945"/>
    <w:pPr>
      <w:tabs>
        <w:tab w:val="right" w:leader="dot" w:pos="7371"/>
      </w:tabs>
      <w:overflowPunct w:val="0"/>
      <w:autoSpaceDE w:val="0"/>
      <w:autoSpaceDN w:val="0"/>
      <w:adjustRightInd w:val="0"/>
      <w:spacing w:after="0" w:line="240" w:lineRule="auto"/>
      <w:ind w:left="1000"/>
    </w:pPr>
    <w:rPr>
      <w:rFonts w:ascii="Times New Roman" w:eastAsia="Times New Roman" w:hAnsi="Times New Roman" w:cs="Times New Roman"/>
      <w:sz w:val="18"/>
      <w:szCs w:val="20"/>
      <w:lang w:eastAsia="pl-PL"/>
    </w:rPr>
  </w:style>
  <w:style w:type="paragraph" w:styleId="Spistreci7">
    <w:name w:val="toc 7"/>
    <w:basedOn w:val="Normalny"/>
    <w:autoRedefine/>
    <w:semiHidden/>
    <w:unhideWhenUsed/>
    <w:rsid w:val="00F75945"/>
    <w:pPr>
      <w:tabs>
        <w:tab w:val="right" w:leader="dot" w:pos="7371"/>
      </w:tabs>
      <w:overflowPunct w:val="0"/>
      <w:autoSpaceDE w:val="0"/>
      <w:autoSpaceDN w:val="0"/>
      <w:adjustRightInd w:val="0"/>
      <w:spacing w:after="0" w:line="240" w:lineRule="auto"/>
      <w:ind w:left="1200"/>
    </w:pPr>
    <w:rPr>
      <w:rFonts w:ascii="Times New Roman" w:eastAsia="Times New Roman" w:hAnsi="Times New Roman" w:cs="Times New Roman"/>
      <w:sz w:val="18"/>
      <w:szCs w:val="20"/>
      <w:lang w:eastAsia="pl-PL"/>
    </w:rPr>
  </w:style>
  <w:style w:type="paragraph" w:styleId="Spistreci8">
    <w:name w:val="toc 8"/>
    <w:basedOn w:val="Normalny"/>
    <w:autoRedefine/>
    <w:semiHidden/>
    <w:unhideWhenUsed/>
    <w:rsid w:val="00F75945"/>
    <w:pPr>
      <w:tabs>
        <w:tab w:val="right" w:leader="dot" w:pos="7371"/>
      </w:tabs>
      <w:overflowPunct w:val="0"/>
      <w:autoSpaceDE w:val="0"/>
      <w:autoSpaceDN w:val="0"/>
      <w:adjustRightInd w:val="0"/>
      <w:spacing w:after="0" w:line="240" w:lineRule="auto"/>
      <w:ind w:left="1400"/>
    </w:pPr>
    <w:rPr>
      <w:rFonts w:ascii="Times New Roman" w:eastAsia="Times New Roman" w:hAnsi="Times New Roman" w:cs="Times New Roman"/>
      <w:sz w:val="18"/>
      <w:szCs w:val="20"/>
      <w:lang w:eastAsia="pl-PL"/>
    </w:rPr>
  </w:style>
  <w:style w:type="paragraph" w:styleId="Spistreci9">
    <w:name w:val="toc 9"/>
    <w:basedOn w:val="Normalny"/>
    <w:autoRedefine/>
    <w:semiHidden/>
    <w:unhideWhenUsed/>
    <w:rsid w:val="00F75945"/>
    <w:pPr>
      <w:tabs>
        <w:tab w:val="right" w:leader="dot" w:pos="7371"/>
      </w:tabs>
      <w:overflowPunct w:val="0"/>
      <w:autoSpaceDE w:val="0"/>
      <w:autoSpaceDN w:val="0"/>
      <w:adjustRightInd w:val="0"/>
      <w:spacing w:after="0" w:line="240" w:lineRule="auto"/>
      <w:ind w:left="1600"/>
    </w:pPr>
    <w:rPr>
      <w:rFonts w:ascii="Times New Roman" w:eastAsia="Times New Roman" w:hAnsi="Times New Roman" w:cs="Times New Roman"/>
      <w:sz w:val="18"/>
      <w:szCs w:val="20"/>
      <w:lang w:eastAsia="pl-PL"/>
    </w:rPr>
  </w:style>
  <w:style w:type="paragraph" w:customStyle="1" w:styleId="Tekstpodstawowy24">
    <w:name w:val="Tekst podstawowy 24"/>
    <w:basedOn w:val="Normalny"/>
    <w:rsid w:val="00F75945"/>
    <w:pPr>
      <w:widowControl w:val="0"/>
      <w:suppressAutoHyphens/>
      <w:spacing w:after="0" w:line="240" w:lineRule="auto"/>
      <w:ind w:left="284" w:hanging="284"/>
    </w:pPr>
    <w:rPr>
      <w:rFonts w:ascii="Times New Roman" w:eastAsia="Times New Roman" w:hAnsi="Times New Roman" w:cs="Times New Roman"/>
      <w:sz w:val="24"/>
      <w:szCs w:val="20"/>
    </w:rPr>
  </w:style>
  <w:style w:type="paragraph" w:customStyle="1" w:styleId="Tekstpodstawowywcity22">
    <w:name w:val="Tekst podstawowy wcięty 22"/>
    <w:basedOn w:val="Normalny"/>
    <w:rsid w:val="00F75945"/>
    <w:pPr>
      <w:widowControl w:val="0"/>
      <w:suppressAutoHyphens/>
      <w:spacing w:after="0" w:line="240" w:lineRule="auto"/>
      <w:ind w:left="142" w:firstLine="567"/>
    </w:pPr>
    <w:rPr>
      <w:rFonts w:ascii="Times New Roman" w:eastAsia="Times New Roman" w:hAnsi="Times New Roman" w:cs="Times New Roman"/>
      <w:sz w:val="24"/>
      <w:szCs w:val="20"/>
    </w:rPr>
  </w:style>
  <w:style w:type="paragraph" w:customStyle="1" w:styleId="Tekstpodstawowywcity32">
    <w:name w:val="Tekst podstawowy wcięty 32"/>
    <w:basedOn w:val="Normalny"/>
    <w:rsid w:val="00F75945"/>
    <w:pPr>
      <w:widowControl w:val="0"/>
      <w:suppressAutoHyphens/>
      <w:spacing w:after="0" w:line="240" w:lineRule="auto"/>
      <w:ind w:firstLine="709"/>
      <w:jc w:val="both"/>
    </w:pPr>
    <w:rPr>
      <w:rFonts w:ascii="Times New Roman" w:eastAsia="Times New Roman" w:hAnsi="Times New Roman" w:cs="Times New Roman"/>
      <w:sz w:val="20"/>
      <w:szCs w:val="20"/>
    </w:rPr>
  </w:style>
  <w:style w:type="paragraph" w:customStyle="1" w:styleId="western">
    <w:name w:val="western"/>
    <w:basedOn w:val="Normalny"/>
    <w:rsid w:val="0069015B"/>
    <w:pPr>
      <w:spacing w:before="100" w:beforeAutospacing="1" w:after="0" w:line="240" w:lineRule="auto"/>
    </w:pPr>
    <w:rPr>
      <w:rFonts w:ascii="Arial" w:eastAsia="Times New Roman" w:hAnsi="Arial" w:cs="Arial"/>
      <w:sz w:val="18"/>
      <w:szCs w:val="18"/>
      <w:lang w:eastAsia="pl-PL"/>
    </w:rPr>
  </w:style>
  <w:style w:type="paragraph" w:customStyle="1" w:styleId="Zawartoramki">
    <w:name w:val="Zawartość ramki"/>
    <w:basedOn w:val="Normalny"/>
    <w:qFormat/>
    <w:rsid w:val="00FE4A49"/>
    <w:pPr>
      <w:spacing w:after="0"/>
    </w:pPr>
    <w:rPr>
      <w:rFonts w:ascii="Arial" w:hAnsi="Arial" w:cs="Times New Roman"/>
      <w:sz w:val="20"/>
    </w:rPr>
  </w:style>
  <w:style w:type="character" w:customStyle="1" w:styleId="Domylnaczcionkaakapitu1">
    <w:name w:val="Domyślna czcionka akapitu1"/>
    <w:rsid w:val="002A078B"/>
  </w:style>
  <w:style w:type="character" w:styleId="Odwoaniedokomentarza">
    <w:name w:val="annotation reference"/>
    <w:basedOn w:val="Domylnaczcionkaakapitu"/>
    <w:uiPriority w:val="99"/>
    <w:semiHidden/>
    <w:unhideWhenUsed/>
    <w:rsid w:val="00693134"/>
    <w:rPr>
      <w:sz w:val="16"/>
      <w:szCs w:val="16"/>
    </w:rPr>
  </w:style>
  <w:style w:type="paragraph" w:styleId="Tekstkomentarza">
    <w:name w:val="annotation text"/>
    <w:basedOn w:val="Normalny"/>
    <w:link w:val="TekstkomentarzaZnak"/>
    <w:uiPriority w:val="99"/>
    <w:semiHidden/>
    <w:unhideWhenUsed/>
    <w:rsid w:val="00693134"/>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693134"/>
    <w:rPr>
      <w:sz w:val="20"/>
      <w:szCs w:val="20"/>
    </w:rPr>
  </w:style>
  <w:style w:type="paragraph" w:styleId="Tematkomentarza">
    <w:name w:val="annotation subject"/>
    <w:basedOn w:val="Tekstkomentarza"/>
    <w:next w:val="Tekstkomentarza"/>
    <w:link w:val="TematkomentarzaZnak"/>
    <w:uiPriority w:val="99"/>
    <w:semiHidden/>
    <w:unhideWhenUsed/>
    <w:rsid w:val="00693134"/>
    <w:rPr>
      <w:b/>
      <w:bCs/>
    </w:rPr>
  </w:style>
  <w:style w:type="character" w:customStyle="1" w:styleId="TematkomentarzaZnak">
    <w:name w:val="Temat komentarza Znak"/>
    <w:basedOn w:val="TekstkomentarzaZnak"/>
    <w:link w:val="Tematkomentarza"/>
    <w:uiPriority w:val="99"/>
    <w:semiHidden/>
    <w:rsid w:val="00693134"/>
    <w:rPr>
      <w:b/>
      <w:bCs/>
      <w:sz w:val="20"/>
      <w:szCs w:val="20"/>
    </w:rPr>
  </w:style>
  <w:style w:type="paragraph" w:customStyle="1" w:styleId="msonormal0">
    <w:name w:val="msonormal"/>
    <w:basedOn w:val="Normalny"/>
    <w:rsid w:val="00693134"/>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Nagwek6Znak">
    <w:name w:val="Nagłówek 6 Znak"/>
    <w:basedOn w:val="Domylnaczcionkaakapitu"/>
    <w:link w:val="Nagwek6"/>
    <w:uiPriority w:val="9"/>
    <w:rsid w:val="00A04398"/>
    <w:rPr>
      <w:rFonts w:ascii="Times New Roman" w:eastAsia="Times New Roman" w:hAnsi="Times New Roman" w:cs="Times New Roman"/>
      <w:b/>
      <w:bCs/>
      <w:sz w:val="15"/>
      <w:szCs w:val="15"/>
      <w:lang w:eastAsia="pl-PL"/>
    </w:rPr>
  </w:style>
  <w:style w:type="paragraph" w:customStyle="1" w:styleId="sdfootnote">
    <w:name w:val="sdfootnote"/>
    <w:basedOn w:val="Normalny"/>
    <w:rsid w:val="00A04398"/>
    <w:pPr>
      <w:spacing w:before="100" w:beforeAutospacing="1" w:after="0" w:line="240" w:lineRule="auto"/>
      <w:ind w:left="284" w:hanging="284"/>
    </w:pPr>
    <w:rPr>
      <w:rFonts w:ascii="Times New Roman" w:eastAsia="Times New Roman" w:hAnsi="Times New Roman" w:cs="Times New Roman"/>
      <w:sz w:val="20"/>
      <w:szCs w:val="20"/>
      <w:lang w:eastAsia="pl-PL"/>
    </w:rPr>
  </w:style>
  <w:style w:type="character" w:customStyle="1" w:styleId="highlight">
    <w:name w:val="highlight"/>
    <w:basedOn w:val="Domylnaczcionkaakapitu"/>
    <w:rsid w:val="00A04398"/>
  </w:style>
  <w:style w:type="paragraph" w:customStyle="1" w:styleId="Tekst">
    <w:name w:val="Tekst"/>
    <w:basedOn w:val="Normalny"/>
    <w:rsid w:val="00A04398"/>
    <w:pPr>
      <w:widowControl w:val="0"/>
      <w:tabs>
        <w:tab w:val="left" w:pos="954"/>
        <w:tab w:val="left" w:pos="2552"/>
      </w:tabs>
      <w:suppressAutoHyphens/>
      <w:snapToGrid w:val="0"/>
      <w:spacing w:before="120" w:after="120" w:line="240" w:lineRule="auto"/>
      <w:ind w:left="1134"/>
      <w:jc w:val="both"/>
    </w:pPr>
    <w:rPr>
      <w:rFonts w:ascii="Arial" w:eastAsia="Lucida Sans Unicode" w:hAnsi="Arial" w:cs="Arial"/>
      <w:kern w:val="2"/>
      <w:lang w:eastAsia="pl-PL"/>
    </w:rPr>
  </w:style>
  <w:style w:type="paragraph" w:customStyle="1" w:styleId="Podpunkty">
    <w:name w:val="Podpunkty"/>
    <w:basedOn w:val="Normalny"/>
    <w:next w:val="Tekst"/>
    <w:rsid w:val="00A04398"/>
    <w:pPr>
      <w:widowControl w:val="0"/>
      <w:suppressAutoHyphens/>
      <w:spacing w:before="120" w:after="120" w:line="240" w:lineRule="auto"/>
      <w:ind w:left="720"/>
      <w:jc w:val="both"/>
    </w:pPr>
    <w:rPr>
      <w:rFonts w:ascii="Arial" w:eastAsia="Lucida Sans Unicode" w:hAnsi="Arial" w:cs="Arial"/>
      <w:b/>
      <w:kern w:val="2"/>
      <w:lang w:eastAsia="pl-PL"/>
    </w:rPr>
  </w:style>
  <w:style w:type="paragraph" w:customStyle="1" w:styleId="Definicje">
    <w:name w:val="Definicje"/>
    <w:basedOn w:val="Normalny"/>
    <w:rsid w:val="00A04398"/>
    <w:pPr>
      <w:widowControl w:val="0"/>
      <w:suppressAutoHyphens/>
      <w:spacing w:after="120" w:line="240" w:lineRule="auto"/>
      <w:ind w:left="851"/>
      <w:jc w:val="both"/>
    </w:pPr>
    <w:rPr>
      <w:rFonts w:ascii="Arial" w:eastAsia="Lucida Sans Unicode" w:hAnsi="Arial" w:cs="Times New Roman"/>
      <w:kern w:val="2"/>
      <w:sz w:val="20"/>
      <w:szCs w:val="20"/>
      <w:lang w:eastAsia="pl-PL"/>
    </w:rPr>
  </w:style>
  <w:style w:type="paragraph" w:customStyle="1" w:styleId="Punkty">
    <w:name w:val="Punkty"/>
    <w:basedOn w:val="Normalny"/>
    <w:next w:val="Tekst"/>
    <w:rsid w:val="00A04398"/>
    <w:pPr>
      <w:keepNext/>
      <w:widowControl w:val="0"/>
      <w:tabs>
        <w:tab w:val="left" w:pos="2520"/>
      </w:tabs>
      <w:suppressAutoHyphens/>
      <w:spacing w:before="240" w:after="120" w:line="240" w:lineRule="auto"/>
      <w:ind w:left="1260" w:hanging="1260"/>
      <w:jc w:val="both"/>
    </w:pPr>
    <w:rPr>
      <w:rFonts w:ascii="Arial" w:eastAsia="Lucida Sans Unicode" w:hAnsi="Arial" w:cs="Arial"/>
      <w:b/>
      <w:bCs/>
      <w:kern w:val="2"/>
      <w:lang w:eastAsia="pl-PL"/>
    </w:rPr>
  </w:style>
  <w:style w:type="paragraph" w:customStyle="1" w:styleId="Default">
    <w:name w:val="Default"/>
    <w:rsid w:val="00A04398"/>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Akapit">
    <w:name w:val="Akapit"/>
    <w:basedOn w:val="Standard"/>
    <w:rsid w:val="00A40291"/>
    <w:pPr>
      <w:ind w:firstLine="357"/>
    </w:pPr>
  </w:style>
  <w:style w:type="numbering" w:customStyle="1" w:styleId="WW8Num2">
    <w:name w:val="WW8Num2"/>
    <w:basedOn w:val="Bezlisty"/>
    <w:rsid w:val="00A40291"/>
    <w:pPr>
      <w:numPr>
        <w:numId w:val="140"/>
      </w:numPr>
    </w:pPr>
  </w:style>
  <w:style w:type="numbering" w:customStyle="1" w:styleId="WW8Num6">
    <w:name w:val="WW8Num6"/>
    <w:basedOn w:val="Bezlisty"/>
    <w:rsid w:val="00A40291"/>
    <w:pPr>
      <w:numPr>
        <w:numId w:val="141"/>
      </w:numPr>
    </w:pPr>
  </w:style>
  <w:style w:type="paragraph" w:styleId="Tekstpodstawowy2">
    <w:name w:val="Body Text 2"/>
    <w:basedOn w:val="Normalny"/>
    <w:link w:val="Tekstpodstawowy2Znak"/>
    <w:uiPriority w:val="99"/>
    <w:semiHidden/>
    <w:unhideWhenUsed/>
    <w:rsid w:val="00A40291"/>
    <w:pPr>
      <w:spacing w:after="120" w:line="480" w:lineRule="auto"/>
    </w:pPr>
  </w:style>
  <w:style w:type="character" w:customStyle="1" w:styleId="Tekstpodstawowy2Znak">
    <w:name w:val="Tekst podstawowy 2 Znak"/>
    <w:basedOn w:val="Domylnaczcionkaakapitu"/>
    <w:link w:val="Tekstpodstawowy2"/>
    <w:uiPriority w:val="99"/>
    <w:semiHidden/>
    <w:rsid w:val="00A40291"/>
  </w:style>
  <w:style w:type="paragraph" w:styleId="Tekstpodstawowywcity2">
    <w:name w:val="Body Text Indent 2"/>
    <w:basedOn w:val="Normalny"/>
    <w:link w:val="Tekstpodstawowywcity2Znak"/>
    <w:uiPriority w:val="99"/>
    <w:semiHidden/>
    <w:unhideWhenUsed/>
    <w:rsid w:val="00A40291"/>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A40291"/>
  </w:style>
  <w:style w:type="paragraph" w:customStyle="1" w:styleId="cjk">
    <w:name w:val="cjk"/>
    <w:basedOn w:val="Normalny"/>
    <w:rsid w:val="00A40291"/>
    <w:pPr>
      <w:spacing w:before="100" w:beforeAutospacing="1" w:after="0" w:line="240" w:lineRule="auto"/>
    </w:pPr>
    <w:rPr>
      <w:rFonts w:ascii="Times New Roman" w:eastAsia="Times New Roman" w:hAnsi="Times New Roman" w:cs="Times New Roman"/>
      <w:sz w:val="18"/>
      <w:szCs w:val="18"/>
      <w:lang w:eastAsia="pl-PL"/>
    </w:rPr>
  </w:style>
  <w:style w:type="character" w:customStyle="1" w:styleId="sd-abs-pos">
    <w:name w:val="sd-abs-pos"/>
    <w:basedOn w:val="Domylnaczcionkaakapitu"/>
    <w:rsid w:val="00A40291"/>
  </w:style>
  <w:style w:type="character" w:customStyle="1" w:styleId="WW8Num6z0">
    <w:name w:val="WW8Num6z0"/>
    <w:rsid w:val="00105AB9"/>
    <w:rPr>
      <w:rFonts w:ascii="Symbol" w:hAnsi="Symbol" w:cs="Symbol" w:hint="defau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011014">
      <w:bodyDiv w:val="1"/>
      <w:marLeft w:val="0"/>
      <w:marRight w:val="0"/>
      <w:marTop w:val="0"/>
      <w:marBottom w:val="0"/>
      <w:divBdr>
        <w:top w:val="none" w:sz="0" w:space="0" w:color="auto"/>
        <w:left w:val="none" w:sz="0" w:space="0" w:color="auto"/>
        <w:bottom w:val="none" w:sz="0" w:space="0" w:color="auto"/>
        <w:right w:val="none" w:sz="0" w:space="0" w:color="auto"/>
      </w:divBdr>
      <w:divsChild>
        <w:div w:id="850989297">
          <w:marLeft w:val="0"/>
          <w:marRight w:val="0"/>
          <w:marTop w:val="0"/>
          <w:marBottom w:val="0"/>
          <w:divBdr>
            <w:top w:val="none" w:sz="0" w:space="0" w:color="auto"/>
            <w:left w:val="none" w:sz="0" w:space="0" w:color="auto"/>
            <w:bottom w:val="none" w:sz="0" w:space="0" w:color="auto"/>
            <w:right w:val="none" w:sz="0" w:space="0" w:color="auto"/>
          </w:divBdr>
        </w:div>
      </w:divsChild>
    </w:div>
    <w:div w:id="119882731">
      <w:bodyDiv w:val="1"/>
      <w:marLeft w:val="0"/>
      <w:marRight w:val="0"/>
      <w:marTop w:val="0"/>
      <w:marBottom w:val="0"/>
      <w:divBdr>
        <w:top w:val="none" w:sz="0" w:space="0" w:color="auto"/>
        <w:left w:val="none" w:sz="0" w:space="0" w:color="auto"/>
        <w:bottom w:val="none" w:sz="0" w:space="0" w:color="auto"/>
        <w:right w:val="none" w:sz="0" w:space="0" w:color="auto"/>
      </w:divBdr>
    </w:div>
    <w:div w:id="207649036">
      <w:bodyDiv w:val="1"/>
      <w:marLeft w:val="0"/>
      <w:marRight w:val="0"/>
      <w:marTop w:val="0"/>
      <w:marBottom w:val="0"/>
      <w:divBdr>
        <w:top w:val="none" w:sz="0" w:space="0" w:color="auto"/>
        <w:left w:val="none" w:sz="0" w:space="0" w:color="auto"/>
        <w:bottom w:val="none" w:sz="0" w:space="0" w:color="auto"/>
        <w:right w:val="none" w:sz="0" w:space="0" w:color="auto"/>
      </w:divBdr>
    </w:div>
    <w:div w:id="214318042">
      <w:bodyDiv w:val="1"/>
      <w:marLeft w:val="0"/>
      <w:marRight w:val="0"/>
      <w:marTop w:val="0"/>
      <w:marBottom w:val="0"/>
      <w:divBdr>
        <w:top w:val="none" w:sz="0" w:space="0" w:color="auto"/>
        <w:left w:val="none" w:sz="0" w:space="0" w:color="auto"/>
        <w:bottom w:val="none" w:sz="0" w:space="0" w:color="auto"/>
        <w:right w:val="none" w:sz="0" w:space="0" w:color="auto"/>
      </w:divBdr>
    </w:div>
    <w:div w:id="317660004">
      <w:bodyDiv w:val="1"/>
      <w:marLeft w:val="0"/>
      <w:marRight w:val="0"/>
      <w:marTop w:val="0"/>
      <w:marBottom w:val="0"/>
      <w:divBdr>
        <w:top w:val="none" w:sz="0" w:space="0" w:color="auto"/>
        <w:left w:val="none" w:sz="0" w:space="0" w:color="auto"/>
        <w:bottom w:val="none" w:sz="0" w:space="0" w:color="auto"/>
        <w:right w:val="none" w:sz="0" w:space="0" w:color="auto"/>
      </w:divBdr>
    </w:div>
    <w:div w:id="462234739">
      <w:bodyDiv w:val="1"/>
      <w:marLeft w:val="0"/>
      <w:marRight w:val="0"/>
      <w:marTop w:val="0"/>
      <w:marBottom w:val="0"/>
      <w:divBdr>
        <w:top w:val="none" w:sz="0" w:space="0" w:color="auto"/>
        <w:left w:val="none" w:sz="0" w:space="0" w:color="auto"/>
        <w:bottom w:val="none" w:sz="0" w:space="0" w:color="auto"/>
        <w:right w:val="none" w:sz="0" w:space="0" w:color="auto"/>
      </w:divBdr>
    </w:div>
    <w:div w:id="504977919">
      <w:bodyDiv w:val="1"/>
      <w:marLeft w:val="0"/>
      <w:marRight w:val="0"/>
      <w:marTop w:val="0"/>
      <w:marBottom w:val="0"/>
      <w:divBdr>
        <w:top w:val="none" w:sz="0" w:space="0" w:color="auto"/>
        <w:left w:val="none" w:sz="0" w:space="0" w:color="auto"/>
        <w:bottom w:val="none" w:sz="0" w:space="0" w:color="auto"/>
        <w:right w:val="none" w:sz="0" w:space="0" w:color="auto"/>
      </w:divBdr>
    </w:div>
    <w:div w:id="535897160">
      <w:bodyDiv w:val="1"/>
      <w:marLeft w:val="0"/>
      <w:marRight w:val="0"/>
      <w:marTop w:val="0"/>
      <w:marBottom w:val="0"/>
      <w:divBdr>
        <w:top w:val="none" w:sz="0" w:space="0" w:color="auto"/>
        <w:left w:val="none" w:sz="0" w:space="0" w:color="auto"/>
        <w:bottom w:val="none" w:sz="0" w:space="0" w:color="auto"/>
        <w:right w:val="none" w:sz="0" w:space="0" w:color="auto"/>
      </w:divBdr>
    </w:div>
    <w:div w:id="610476389">
      <w:bodyDiv w:val="1"/>
      <w:marLeft w:val="0"/>
      <w:marRight w:val="0"/>
      <w:marTop w:val="0"/>
      <w:marBottom w:val="0"/>
      <w:divBdr>
        <w:top w:val="none" w:sz="0" w:space="0" w:color="auto"/>
        <w:left w:val="none" w:sz="0" w:space="0" w:color="auto"/>
        <w:bottom w:val="none" w:sz="0" w:space="0" w:color="auto"/>
        <w:right w:val="none" w:sz="0" w:space="0" w:color="auto"/>
      </w:divBdr>
    </w:div>
    <w:div w:id="871304614">
      <w:bodyDiv w:val="1"/>
      <w:marLeft w:val="0"/>
      <w:marRight w:val="0"/>
      <w:marTop w:val="0"/>
      <w:marBottom w:val="0"/>
      <w:divBdr>
        <w:top w:val="none" w:sz="0" w:space="0" w:color="auto"/>
        <w:left w:val="none" w:sz="0" w:space="0" w:color="auto"/>
        <w:bottom w:val="none" w:sz="0" w:space="0" w:color="auto"/>
        <w:right w:val="none" w:sz="0" w:space="0" w:color="auto"/>
      </w:divBdr>
    </w:div>
    <w:div w:id="1072855768">
      <w:bodyDiv w:val="1"/>
      <w:marLeft w:val="0"/>
      <w:marRight w:val="0"/>
      <w:marTop w:val="0"/>
      <w:marBottom w:val="0"/>
      <w:divBdr>
        <w:top w:val="none" w:sz="0" w:space="0" w:color="auto"/>
        <w:left w:val="none" w:sz="0" w:space="0" w:color="auto"/>
        <w:bottom w:val="none" w:sz="0" w:space="0" w:color="auto"/>
        <w:right w:val="none" w:sz="0" w:space="0" w:color="auto"/>
      </w:divBdr>
    </w:div>
    <w:div w:id="1144006042">
      <w:bodyDiv w:val="1"/>
      <w:marLeft w:val="0"/>
      <w:marRight w:val="0"/>
      <w:marTop w:val="0"/>
      <w:marBottom w:val="0"/>
      <w:divBdr>
        <w:top w:val="none" w:sz="0" w:space="0" w:color="auto"/>
        <w:left w:val="none" w:sz="0" w:space="0" w:color="auto"/>
        <w:bottom w:val="none" w:sz="0" w:space="0" w:color="auto"/>
        <w:right w:val="none" w:sz="0" w:space="0" w:color="auto"/>
      </w:divBdr>
    </w:div>
    <w:div w:id="1152598140">
      <w:bodyDiv w:val="1"/>
      <w:marLeft w:val="0"/>
      <w:marRight w:val="0"/>
      <w:marTop w:val="0"/>
      <w:marBottom w:val="0"/>
      <w:divBdr>
        <w:top w:val="none" w:sz="0" w:space="0" w:color="auto"/>
        <w:left w:val="none" w:sz="0" w:space="0" w:color="auto"/>
        <w:bottom w:val="none" w:sz="0" w:space="0" w:color="auto"/>
        <w:right w:val="none" w:sz="0" w:space="0" w:color="auto"/>
      </w:divBdr>
    </w:div>
    <w:div w:id="1171330394">
      <w:bodyDiv w:val="1"/>
      <w:marLeft w:val="0"/>
      <w:marRight w:val="0"/>
      <w:marTop w:val="0"/>
      <w:marBottom w:val="0"/>
      <w:divBdr>
        <w:top w:val="none" w:sz="0" w:space="0" w:color="auto"/>
        <w:left w:val="none" w:sz="0" w:space="0" w:color="auto"/>
        <w:bottom w:val="none" w:sz="0" w:space="0" w:color="auto"/>
        <w:right w:val="none" w:sz="0" w:space="0" w:color="auto"/>
      </w:divBdr>
    </w:div>
    <w:div w:id="1206601697">
      <w:bodyDiv w:val="1"/>
      <w:marLeft w:val="0"/>
      <w:marRight w:val="0"/>
      <w:marTop w:val="0"/>
      <w:marBottom w:val="0"/>
      <w:divBdr>
        <w:top w:val="none" w:sz="0" w:space="0" w:color="auto"/>
        <w:left w:val="none" w:sz="0" w:space="0" w:color="auto"/>
        <w:bottom w:val="none" w:sz="0" w:space="0" w:color="auto"/>
        <w:right w:val="none" w:sz="0" w:space="0" w:color="auto"/>
      </w:divBdr>
    </w:div>
    <w:div w:id="1297491836">
      <w:bodyDiv w:val="1"/>
      <w:marLeft w:val="0"/>
      <w:marRight w:val="0"/>
      <w:marTop w:val="0"/>
      <w:marBottom w:val="0"/>
      <w:divBdr>
        <w:top w:val="none" w:sz="0" w:space="0" w:color="auto"/>
        <w:left w:val="none" w:sz="0" w:space="0" w:color="auto"/>
        <w:bottom w:val="none" w:sz="0" w:space="0" w:color="auto"/>
        <w:right w:val="none" w:sz="0" w:space="0" w:color="auto"/>
      </w:divBdr>
    </w:div>
    <w:div w:id="1358895122">
      <w:bodyDiv w:val="1"/>
      <w:marLeft w:val="0"/>
      <w:marRight w:val="0"/>
      <w:marTop w:val="0"/>
      <w:marBottom w:val="0"/>
      <w:divBdr>
        <w:top w:val="none" w:sz="0" w:space="0" w:color="auto"/>
        <w:left w:val="none" w:sz="0" w:space="0" w:color="auto"/>
        <w:bottom w:val="none" w:sz="0" w:space="0" w:color="auto"/>
        <w:right w:val="none" w:sz="0" w:space="0" w:color="auto"/>
      </w:divBdr>
    </w:div>
    <w:div w:id="1389843473">
      <w:bodyDiv w:val="1"/>
      <w:marLeft w:val="0"/>
      <w:marRight w:val="0"/>
      <w:marTop w:val="0"/>
      <w:marBottom w:val="0"/>
      <w:divBdr>
        <w:top w:val="none" w:sz="0" w:space="0" w:color="auto"/>
        <w:left w:val="none" w:sz="0" w:space="0" w:color="auto"/>
        <w:bottom w:val="none" w:sz="0" w:space="0" w:color="auto"/>
        <w:right w:val="none" w:sz="0" w:space="0" w:color="auto"/>
      </w:divBdr>
    </w:div>
    <w:div w:id="1396968464">
      <w:bodyDiv w:val="1"/>
      <w:marLeft w:val="0"/>
      <w:marRight w:val="0"/>
      <w:marTop w:val="0"/>
      <w:marBottom w:val="0"/>
      <w:divBdr>
        <w:top w:val="none" w:sz="0" w:space="0" w:color="auto"/>
        <w:left w:val="none" w:sz="0" w:space="0" w:color="auto"/>
        <w:bottom w:val="none" w:sz="0" w:space="0" w:color="auto"/>
        <w:right w:val="none" w:sz="0" w:space="0" w:color="auto"/>
      </w:divBdr>
    </w:div>
    <w:div w:id="1456173068">
      <w:bodyDiv w:val="1"/>
      <w:marLeft w:val="0"/>
      <w:marRight w:val="0"/>
      <w:marTop w:val="0"/>
      <w:marBottom w:val="0"/>
      <w:divBdr>
        <w:top w:val="none" w:sz="0" w:space="0" w:color="auto"/>
        <w:left w:val="none" w:sz="0" w:space="0" w:color="auto"/>
        <w:bottom w:val="none" w:sz="0" w:space="0" w:color="auto"/>
        <w:right w:val="none" w:sz="0" w:space="0" w:color="auto"/>
      </w:divBdr>
    </w:div>
    <w:div w:id="1523012914">
      <w:bodyDiv w:val="1"/>
      <w:marLeft w:val="0"/>
      <w:marRight w:val="0"/>
      <w:marTop w:val="0"/>
      <w:marBottom w:val="0"/>
      <w:divBdr>
        <w:top w:val="none" w:sz="0" w:space="0" w:color="auto"/>
        <w:left w:val="none" w:sz="0" w:space="0" w:color="auto"/>
        <w:bottom w:val="none" w:sz="0" w:space="0" w:color="auto"/>
        <w:right w:val="none" w:sz="0" w:space="0" w:color="auto"/>
      </w:divBdr>
    </w:div>
    <w:div w:id="1614479552">
      <w:bodyDiv w:val="1"/>
      <w:marLeft w:val="0"/>
      <w:marRight w:val="0"/>
      <w:marTop w:val="0"/>
      <w:marBottom w:val="0"/>
      <w:divBdr>
        <w:top w:val="none" w:sz="0" w:space="0" w:color="auto"/>
        <w:left w:val="none" w:sz="0" w:space="0" w:color="auto"/>
        <w:bottom w:val="none" w:sz="0" w:space="0" w:color="auto"/>
        <w:right w:val="none" w:sz="0" w:space="0" w:color="auto"/>
      </w:divBdr>
    </w:div>
    <w:div w:id="1714234259">
      <w:bodyDiv w:val="1"/>
      <w:marLeft w:val="0"/>
      <w:marRight w:val="0"/>
      <w:marTop w:val="0"/>
      <w:marBottom w:val="0"/>
      <w:divBdr>
        <w:top w:val="none" w:sz="0" w:space="0" w:color="auto"/>
        <w:left w:val="none" w:sz="0" w:space="0" w:color="auto"/>
        <w:bottom w:val="none" w:sz="0" w:space="0" w:color="auto"/>
        <w:right w:val="none" w:sz="0" w:space="0" w:color="auto"/>
      </w:divBdr>
    </w:div>
    <w:div w:id="1787772705">
      <w:bodyDiv w:val="1"/>
      <w:marLeft w:val="0"/>
      <w:marRight w:val="0"/>
      <w:marTop w:val="0"/>
      <w:marBottom w:val="0"/>
      <w:divBdr>
        <w:top w:val="none" w:sz="0" w:space="0" w:color="auto"/>
        <w:left w:val="none" w:sz="0" w:space="0" w:color="auto"/>
        <w:bottom w:val="none" w:sz="0" w:space="0" w:color="auto"/>
        <w:right w:val="none" w:sz="0" w:space="0" w:color="auto"/>
      </w:divBdr>
    </w:div>
    <w:div w:id="2095853204">
      <w:bodyDiv w:val="1"/>
      <w:marLeft w:val="0"/>
      <w:marRight w:val="0"/>
      <w:marTop w:val="0"/>
      <w:marBottom w:val="0"/>
      <w:divBdr>
        <w:top w:val="none" w:sz="0" w:space="0" w:color="auto"/>
        <w:left w:val="none" w:sz="0" w:space="0" w:color="auto"/>
        <w:bottom w:val="none" w:sz="0" w:space="0" w:color="auto"/>
        <w:right w:val="none" w:sz="0" w:space="0" w:color="auto"/>
      </w:divBdr>
    </w:div>
    <w:div w:id="2110269614">
      <w:bodyDiv w:val="1"/>
      <w:marLeft w:val="0"/>
      <w:marRight w:val="0"/>
      <w:marTop w:val="0"/>
      <w:marBottom w:val="0"/>
      <w:divBdr>
        <w:top w:val="none" w:sz="0" w:space="0" w:color="auto"/>
        <w:left w:val="none" w:sz="0" w:space="0" w:color="auto"/>
        <w:bottom w:val="none" w:sz="0" w:space="0" w:color="auto"/>
        <w:right w:val="none" w:sz="0" w:space="0" w:color="auto"/>
      </w:divBdr>
    </w:div>
    <w:div w:id="2143887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footer" Target="footer1.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2EFB2E-D2DB-4C0E-8368-68FFA8029B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4294391417</TotalTime>
  <Pages>108</Pages>
  <Words>60506</Words>
  <Characters>363042</Characters>
  <Application>Microsoft Office Word</Application>
  <DocSecurity>0</DocSecurity>
  <Lines>3025</Lines>
  <Paragraphs>845</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422703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Łukasz Wyżykowski</dc:creator>
  <cp:lastModifiedBy>Dawid Klimek</cp:lastModifiedBy>
  <cp:revision>442</cp:revision>
  <cp:lastPrinted>2014-04-14T21:33:00Z</cp:lastPrinted>
  <dcterms:created xsi:type="dcterms:W3CDTF">2012-02-17T11:29:00Z</dcterms:created>
  <dcterms:modified xsi:type="dcterms:W3CDTF">2024-01-17T09:21:00Z</dcterms:modified>
</cp:coreProperties>
</file>