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851" w:leader="none"/>
          <w:tab w:val="right" w:pos="9497" w:leader="none"/>
        </w:tabs>
        <w:rPr>
          <w:rFonts w:ascii="Calibri" w:hAnsi="Calibri" w:cs="Calibri" w:asciiTheme="majorHAnsi" w:cstheme="majorHAnsi" w:hAnsiTheme="majorHAnsi"/>
          <w:color w:val="000000" w:themeColor="text1"/>
        </w:rPr>
      </w:pPr>
      <w:r>
        <w:rPr>
          <w:rFonts w:cs="Calibri" w:ascii="Calibri" w:hAnsi="Calibri" w:asciiTheme="majorHAnsi" w:cstheme="majorHAnsi" w:hAnsiTheme="majorHAnsi"/>
          <w:color w:val="000000" w:themeColor="text1"/>
        </w:rPr>
        <w:tab/>
      </w:r>
    </w:p>
    <w:tbl>
      <w:tblPr>
        <w:tblStyle w:val="Tabela-Siatka"/>
        <w:tblW w:w="115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5"/>
        <w:gridCol w:w="5026"/>
      </w:tblGrid>
      <w:tr>
        <w:trPr/>
        <w:tc>
          <w:tcPr>
            <w:tcW w:w="6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tabs>
                <w:tab w:val="clear" w:pos="720"/>
                <w:tab w:val="left" w:pos="851" w:leader="none"/>
                <w:tab w:val="right" w:pos="9497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eastAsia="Arial"/>
                <w:kern w:val="0"/>
                <w:sz w:val="22"/>
                <w:szCs w:val="22"/>
                <w:lang w:val="pl-PL" w:eastAsia="pl-PL" w:bidi="ar-SA"/>
              </w:rPr>
              <w:drawing>
                <wp:inline distT="0" distB="0" distL="0" distR="0">
                  <wp:extent cx="2569845" cy="914400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84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tabs>
                <w:tab w:val="clear" w:pos="720"/>
                <w:tab w:val="left" w:pos="851" w:leader="none"/>
                <w:tab w:val="right" w:pos="9497" w:leader="none"/>
              </w:tabs>
              <w:suppressAutoHyphens w:val="true"/>
              <w:spacing w:before="0" w:after="0"/>
              <w:jc w:val="left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eastAsia="Arial" w:cs="Calibri" w:cstheme="majorHAnsi" w:ascii="Calibri" w:hAnsi="Calibri"/>
                <w:color w:val="000000" w:themeColor="text1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851" w:leader="none"/>
                <w:tab w:val="right" w:pos="9497" w:leader="none"/>
              </w:tabs>
              <w:suppressAutoHyphens w:val="true"/>
              <w:spacing w:before="0" w:after="0"/>
              <w:jc w:val="left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eastAsia="Arial"/>
                <w:kern w:val="0"/>
                <w:sz w:val="22"/>
                <w:szCs w:val="22"/>
                <w:lang w:val="pl-PL" w:eastAsia="pl-PL" w:bidi="ar-SA"/>
              </w:rPr>
              <w:drawing>
                <wp:inline distT="0" distB="0" distL="0" distR="0">
                  <wp:extent cx="492760" cy="609600"/>
                  <wp:effectExtent l="0" t="0" r="0" b="0"/>
                  <wp:docPr id="2" name="Obraz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i/>
          <w:i/>
          <w:iCs/>
        </w:rPr>
      </w:pPr>
      <w:r>
        <w:rPr>
          <w:rFonts w:cs="Calibri" w:ascii="Calibri" w:hAnsi="Calibri" w:asciiTheme="majorHAnsi" w:cstheme="majorHAnsi" w:hAnsiTheme="majorHAnsi"/>
          <w:bCs/>
          <w:i/>
          <w:iCs/>
        </w:rPr>
        <w:t xml:space="preserve">Zadanie inwestycyjne dofinansowane ze środków 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i/>
          <w:i/>
          <w:iCs/>
        </w:rPr>
      </w:pPr>
      <w:bookmarkStart w:id="0" w:name="_Hlk137975984"/>
      <w:r>
        <w:rPr>
          <w:rFonts w:cs="Calibri" w:ascii="Calibri" w:hAnsi="Calibri" w:asciiTheme="majorHAnsi" w:cstheme="majorHAnsi" w:hAnsiTheme="majorHAnsi"/>
          <w:b/>
          <w:i/>
          <w:iCs/>
        </w:rPr>
        <w:t>Wojewódzkiego Funduszu Ochrony Środowiska i Gospodarki Wodnej w Łodzi</w:t>
      </w:r>
      <w:bookmarkEnd w:id="0"/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color w:val="000000" w:themeColor="text1"/>
        </w:rPr>
      </w:pPr>
      <w:r>
        <w:rPr>
          <w:rFonts w:cs="Calibri" w:cstheme="majorHAnsi" w:ascii="Calibri" w:hAnsi="Calibri"/>
          <w:b/>
          <w:color w:val="000000" w:themeColor="text1"/>
        </w:rPr>
      </w:r>
    </w:p>
    <w:p>
      <w:pPr>
        <w:pStyle w:val="Normal"/>
        <w:jc w:val="right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Sokolniki, 10.10.2023</w:t>
      </w:r>
    </w:p>
    <w:p>
      <w:pPr>
        <w:pStyle w:val="Normal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ZP.2.2.2023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Cs/>
          <w:color w:val="000000" w:themeColor="text1"/>
        </w:rPr>
      </w:pPr>
      <w:r>
        <w:rPr>
          <w:rFonts w:cs="Calibri" w:cstheme="majorHAnsi" w:ascii="Calibri" w:hAnsi="Calibri"/>
          <w:bCs/>
          <w:color w:val="000000" w:themeColor="text1"/>
        </w:rPr>
      </w:r>
    </w:p>
    <w:p>
      <w:pPr>
        <w:pStyle w:val="Normal"/>
        <w:suppressAutoHyphens w:val="false"/>
        <w:spacing w:lineRule="auto" w:line="360"/>
        <w:ind w:left="4253" w:hanging="0"/>
        <w:jc w:val="right"/>
        <w:rPr>
          <w:rFonts w:ascii="Calibri" w:hAnsi="Calibri" w:cs="Calibri"/>
          <w:b/>
          <w:sz w:val="26"/>
          <w:szCs w:val="26"/>
        </w:rPr>
      </w:pPr>
      <w:r>
        <w:rPr>
          <w:rFonts w:cs="Calibri" w:ascii="Calibri" w:hAnsi="Calibri"/>
          <w:b/>
          <w:sz w:val="26"/>
          <w:szCs w:val="26"/>
        </w:rPr>
        <w:t>Wszyscy Wykonawcy</w:t>
      </w:r>
    </w:p>
    <w:p>
      <w:pPr>
        <w:pStyle w:val="Normal"/>
        <w:suppressAutoHyphens w:val="false"/>
        <w:spacing w:lineRule="auto" w:line="360"/>
        <w:ind w:left="4253" w:hanging="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>
              <w:rPr>
                <w:rFonts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Zawiadomienie o unieważnieniu postępowania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>
              <w:rPr>
                <w:rFonts w:cs="Calibri" w:ascii="Calibri" w:hAnsi="Calibri"/>
                <w:b/>
                <w:sz w:val="10"/>
                <w:szCs w:val="10"/>
              </w:rPr>
            </w:r>
          </w:p>
        </w:tc>
      </w:tr>
    </w:tbl>
    <w:p>
      <w:pPr>
        <w:pStyle w:val="Normal"/>
        <w:suppressAutoHyphens w:val="false"/>
        <w:spacing w:lineRule="auto" w:line="360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widowControl w:val="false"/>
        <w:tabs>
          <w:tab w:val="clear" w:pos="720"/>
          <w:tab w:val="center" w:pos="4536" w:leader="none"/>
          <w:tab w:val="right" w:pos="9072" w:leader="none"/>
        </w:tabs>
        <w:suppressAutoHyphens w:val="false"/>
        <w:jc w:val="center"/>
        <w:rPr>
          <w:rFonts w:ascii="Calibri" w:hAnsi="Calibri" w:eastAsia="Lucida Sans Unicode" w:cs="Calibri"/>
          <w:b/>
          <w:color w:val="000000"/>
          <w:kern w:val="2"/>
          <w:sz w:val="24"/>
          <w:szCs w:val="24"/>
        </w:rPr>
      </w:pPr>
      <w:r>
        <w:rPr>
          <w:rFonts w:eastAsia="Lucida Sans Unicode" w:cs="Calibri" w:ascii="Calibri" w:hAnsi="Calibri"/>
          <w:b/>
          <w:color w:val="000000"/>
          <w:kern w:val="2"/>
          <w:sz w:val="24"/>
          <w:szCs w:val="24"/>
        </w:rPr>
        <w:t xml:space="preserve">dot.: postępowania na zadanie: </w:t>
      </w:r>
    </w:p>
    <w:p>
      <w:pPr>
        <w:pStyle w:val="Normal"/>
        <w:tabs>
          <w:tab w:val="clear" w:pos="720"/>
          <w:tab w:val="left" w:pos="6521" w:leader="none"/>
        </w:tabs>
        <w:suppressAutoHyphens w:val="false"/>
        <w:jc w:val="center"/>
        <w:rPr>
          <w:rFonts w:ascii="Calibri" w:hAnsi="Calibri" w:cs="Calibri"/>
        </w:rPr>
      </w:pPr>
      <w:r>
        <w:rPr>
          <w:rFonts w:eastAsia="Lucida Sans Unicode" w:cs="Calibri" w:ascii="Calibri" w:hAnsi="Calibri"/>
          <w:b/>
          <w:color w:val="000000"/>
          <w:kern w:val="2"/>
          <w:sz w:val="24"/>
          <w:szCs w:val="24"/>
        </w:rPr>
        <w:t>Termomodernizacja remizy OSP w Pichlicach</w:t>
      </w:r>
    </w:p>
    <w:p>
      <w:pPr>
        <w:pStyle w:val="Normal"/>
        <w:tabs>
          <w:tab w:val="clear" w:pos="720"/>
          <w:tab w:val="left" w:pos="567" w:leader="none"/>
        </w:tabs>
        <w:suppressAutoHyphens w:val="false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ab/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   </w:t>
      </w:r>
      <w:r>
        <w:rPr>
          <w:rFonts w:cs="Calibri" w:ascii="Calibri" w:hAnsi="Calibri"/>
          <w:sz w:val="24"/>
          <w:szCs w:val="24"/>
        </w:rPr>
        <w:tab/>
      </w:r>
      <w:r>
        <w:rPr>
          <w:rFonts w:eastAsia="Calibri" w:cs="Calibri" w:ascii="Calibri" w:hAnsi="Calibri"/>
          <w:sz w:val="24"/>
          <w:szCs w:val="24"/>
        </w:rPr>
        <w:t>Na podstawie z art. 260 ustawy z dnia 11 września 2019 r. – Prawo zamówień publicznych (t.j. Dz.U. z 2023 r. poz. 1605) zwana dalej: PZP, Zamawiający zawiadamia równocześnie wszystkich Wykonawców o unieważnieniu postępowania o udzielenie zamówienia publicznego.</w:t>
        <w:br/>
      </w:r>
    </w:p>
    <w:p>
      <w:pPr>
        <w:pStyle w:val="Normal"/>
        <w:suppressAutoHyphens w:val="false"/>
        <w:spacing w:lineRule="auto" w:line="360"/>
        <w:ind w:firstLine="284"/>
        <w:jc w:val="both"/>
        <w:rPr>
          <w:rFonts w:ascii="Calibri" w:hAnsi="Calibri" w:cs="Calibri" w:asciiTheme="majorHAnsi" w:cstheme="majorHAnsi" w:hAnsiTheme="majorHAnsi"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 xml:space="preserve">Uzasadnienie prawne: </w:t>
      </w:r>
    </w:p>
    <w:p>
      <w:pPr>
        <w:pStyle w:val="Normal"/>
        <w:suppressAutoHyphens w:val="false"/>
        <w:spacing w:lineRule="auto" w:line="360"/>
        <w:ind w:firstLine="284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Art. 255, pkt 3) PZP.</w:t>
      </w:r>
    </w:p>
    <w:p>
      <w:pPr>
        <w:pStyle w:val="Normal"/>
        <w:suppressAutoHyphens w:val="false"/>
        <w:spacing w:lineRule="auto" w:line="360"/>
        <w:ind w:firstLine="284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suppressAutoHyphens w:val="false"/>
        <w:spacing w:lineRule="auto" w:line="360"/>
        <w:ind w:firstLine="284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Uzasadnienie faktyczne:</w:t>
      </w: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 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Zamawiający unieważnia postępowanie o udzielenie zamówienia, jeżeli: 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Dnia 11.09.2023 r. nastąpiło otwarcie ofert w przedmiotowym postępowaniu. Ofertę złożyli wykonawcy: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56"/>
        <w:gridCol w:w="6893"/>
        <w:gridCol w:w="2269"/>
      </w:tblGrid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pacing w:lineRule="auto" w:line="240"/>
              <w:jc w:val="center"/>
              <w:rPr/>
            </w:pPr>
            <w:r>
              <w:rPr>
                <w:rFonts w:eastAsia="ArialNarrow" w:cs="ArialNarrow" w:ascii="Verdana" w:hAnsi="Verdana"/>
                <w:b/>
                <w:bCs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pacing w:lineRule="auto" w:line="240"/>
              <w:jc w:val="center"/>
              <w:rPr/>
            </w:pPr>
            <w:r>
              <w:rPr>
                <w:rFonts w:eastAsia="ArialNarrow" w:cs="ArialNarrow" w:ascii="Verdana" w:hAnsi="Verdana"/>
                <w:b/>
                <w:bCs/>
                <w:sz w:val="16"/>
                <w:szCs w:val="16"/>
                <w:lang w:eastAsia="en-US"/>
              </w:rPr>
              <w:t>Nazwa albo imiona i nazwiska oraz siedziby lub miejsca prowadzonej działalności gospodarczej albo miejsca zamieszkania wykonawców, których oferty zostały otwarte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pacing w:lineRule="auto" w:line="240"/>
              <w:jc w:val="center"/>
              <w:rPr>
                <w:rFonts w:ascii="Verdana" w:hAnsi="Verdana" w:eastAsia="ArialNarrow" w:cs="Arial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ArialNarrow" w:cs="ArialNarrow" w:ascii="Verdana" w:hAnsi="Verdana"/>
                <w:b/>
                <w:bCs/>
                <w:sz w:val="16"/>
                <w:szCs w:val="16"/>
                <w:lang w:eastAsia="en-US"/>
              </w:rPr>
              <w:t>Cena brutto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pacing w:lineRule="auto" w:line="240"/>
              <w:jc w:val="center"/>
              <w:rPr/>
            </w:pPr>
            <w:r>
              <w:rPr>
                <w:rFonts w:eastAsia="ArialNarrow" w:cs="ArialNarrow" w:ascii="Verdana" w:hAnsi="Verdana"/>
                <w:b/>
                <w:bCs/>
                <w:sz w:val="16"/>
                <w:szCs w:val="16"/>
                <w:lang w:eastAsia="en-US"/>
              </w:rPr>
              <w:t>/PLN/</w:t>
            </w:r>
          </w:p>
        </w:tc>
      </w:tr>
      <w:tr>
        <w:trPr/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pacing w:lineRule="auto" w:line="2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eastAsia="ArialNarrow" w:cs="ArialNarrow"/>
                <w:b/>
                <w:bCs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 w:eastAsia="ArialNarrow" w:cs="ArialNarrow"/>
                <w:sz w:val="16"/>
                <w:szCs w:val="16"/>
                <w:lang w:eastAsia="en-US"/>
              </w:rPr>
            </w:pPr>
            <w:r>
              <w:rPr>
                <w:rFonts w:eastAsia="ArialNarrow" w:cs="ArialNarrow" w:ascii="Verdana" w:hAnsi="Verdana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 w:eastAsia="ArialNarrow" w:cs="ArialNarrow"/>
                <w:sz w:val="16"/>
                <w:szCs w:val="16"/>
                <w:lang w:eastAsia="en-US"/>
              </w:rPr>
            </w:pPr>
            <w:r>
              <w:rPr>
                <w:rFonts w:eastAsia="ArialNarrow" w:cs="ArialNarrow" w:ascii="Verdana" w:hAnsi="Verdana"/>
                <w:sz w:val="16"/>
                <w:szCs w:val="16"/>
                <w:lang w:eastAsia="en-US"/>
              </w:rPr>
              <w:t>Twins Elżbieta Lemańczyk, ul. Srebrzysta 3, 66 – 415 Kłodawa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 w:eastAsia="ArialNarrow" w:cs="ArialNarrow"/>
                <w:sz w:val="16"/>
                <w:szCs w:val="16"/>
                <w:lang w:eastAsia="en-US"/>
              </w:rPr>
            </w:pPr>
            <w:r>
              <w:rPr>
                <w:rFonts w:eastAsia="ArialNarrow" w:cs="ArialNarrow" w:ascii="Verdana" w:hAnsi="Verdana"/>
                <w:sz w:val="16"/>
                <w:szCs w:val="16"/>
                <w:lang w:eastAsia="en-US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 w:eastAsia="ArialNarrow" w:cs="ArialNarrow"/>
                <w:sz w:val="16"/>
                <w:szCs w:val="16"/>
                <w:lang w:eastAsia="en-US"/>
              </w:rPr>
            </w:pPr>
            <w:r>
              <w:rPr>
                <w:rFonts w:eastAsia="ArialNarrow" w:cs="ArialNarrow" w:ascii="Verdana" w:hAnsi="Verdana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pacing w:lineRule="auto" w:line="240"/>
              <w:jc w:val="center"/>
              <w:rPr>
                <w:rFonts w:ascii="Verdana" w:hAnsi="Verdana" w:eastAsia="ArialNarrow" w:cs="ArialNarrow"/>
                <w:sz w:val="16"/>
                <w:szCs w:val="16"/>
                <w:lang w:eastAsia="en-US"/>
              </w:rPr>
            </w:pPr>
            <w:r>
              <w:rPr>
                <w:rFonts w:eastAsia="ArialNarrow" w:cs="ArialNarrow" w:ascii="Verdana" w:hAnsi="Verdana"/>
                <w:sz w:val="16"/>
                <w:szCs w:val="16"/>
                <w:lang w:eastAsia="en-US"/>
              </w:rPr>
              <w:t>439 700,00 zł</w:t>
            </w:r>
          </w:p>
        </w:tc>
      </w:tr>
      <w:tr>
        <w:trPr/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pacing w:lineRule="auto" w:line="2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eastAsia="ArialNarrow" w:cs="ArialNarrow" w:ascii="Verdana" w:hAnsi="Verdana"/>
                <w:b/>
                <w:bCs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Firma Budowalna ”KOW – BUD” Marcin Kowalik, Zagórze 8A,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98 – 420 Sokolniki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 w:eastAsia="ArialNarrow" w:cs="ArialNarrow"/>
                <w:color w:val="111111"/>
                <w:sz w:val="16"/>
                <w:szCs w:val="16"/>
                <w:shd w:fill="FFFFFF" w:val="clear"/>
                <w:lang w:eastAsia="en-US"/>
              </w:rPr>
            </w:pPr>
            <w:r>
              <w:rPr>
                <w:rFonts w:eastAsia="ArialNarrow" w:cs="ArialNarrow" w:ascii="Verdana" w:hAnsi="Verdana"/>
                <w:color w:val="111111"/>
                <w:sz w:val="16"/>
                <w:szCs w:val="16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 w:eastAsia="ArialNarrow" w:cs="ArialNarrow"/>
                <w:color w:val="111111"/>
                <w:sz w:val="16"/>
                <w:szCs w:val="16"/>
                <w:shd w:fill="FFFFFF" w:val="clear"/>
                <w:lang w:eastAsia="en-US"/>
              </w:rPr>
            </w:pPr>
            <w:r>
              <w:rPr>
                <w:rFonts w:eastAsia="ArialNarrow" w:cs="ArialNarrow" w:ascii="Verdana" w:hAnsi="Verdana"/>
                <w:color w:val="111111"/>
                <w:sz w:val="16"/>
                <w:szCs w:val="16"/>
                <w:shd w:fill="FFFFFF" w:val="clear"/>
                <w:lang w:eastAsia="en-US"/>
              </w:rPr>
              <w:t>455 000,00 zł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pacing w:lineRule="auto" w:line="240"/>
              <w:jc w:val="center"/>
              <w:rPr>
                <w:rFonts w:ascii="Verdana" w:hAnsi="Verdana" w:eastAsia="ArialNarrow" w:cs="ArialNarrow"/>
                <w:color w:val="111111"/>
                <w:sz w:val="16"/>
                <w:szCs w:val="16"/>
                <w:shd w:fill="FFFFFF" w:val="clear"/>
                <w:lang w:eastAsia="en-US"/>
              </w:rPr>
            </w:pPr>
            <w:r>
              <w:rPr>
                <w:rFonts w:eastAsia="ArialNarrow" w:cs="ArialNarrow" w:ascii="Verdana" w:hAnsi="Verdana"/>
                <w:color w:val="111111"/>
                <w:sz w:val="16"/>
                <w:szCs w:val="16"/>
                <w:shd w:fill="FFFFFF" w:val="clear"/>
                <w:lang w:eastAsia="en-US"/>
              </w:rPr>
            </w:r>
          </w:p>
        </w:tc>
      </w:tr>
      <w:tr>
        <w:trPr/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pacing w:lineRule="auto" w:line="2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P.P.H.U. Tadeusz Pędziwiatr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Przedłęcze 52, 98 – 277 Brąszewice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 w:eastAsia="ArialNarrow" w:cs="ArialNarrow"/>
                <w:color w:val="111111"/>
                <w:sz w:val="16"/>
                <w:szCs w:val="16"/>
                <w:shd w:fill="FFFFFF" w:val="clear"/>
                <w:lang w:eastAsia="en-US"/>
              </w:rPr>
            </w:pPr>
            <w:r>
              <w:rPr>
                <w:rFonts w:eastAsia="ArialNarrow" w:cs="ArialNarrow" w:ascii="Verdana" w:hAnsi="Verdana"/>
                <w:color w:val="111111"/>
                <w:sz w:val="16"/>
                <w:szCs w:val="16"/>
                <w:shd w:fill="FFFFFF" w:val="clear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35" w:leader="none"/>
              </w:tabs>
              <w:snapToGrid w:val="false"/>
              <w:spacing w:lineRule="auto" w:line="240"/>
              <w:jc w:val="center"/>
              <w:rPr>
                <w:rFonts w:ascii="Verdana" w:hAnsi="Verdana" w:eastAsia="ArialNarrow" w:cs="ArialNarrow"/>
                <w:color w:val="111111"/>
                <w:sz w:val="16"/>
                <w:szCs w:val="16"/>
                <w:shd w:fill="FFFFFF" w:val="clear"/>
                <w:lang w:eastAsia="en-US"/>
              </w:rPr>
            </w:pPr>
            <w:r>
              <w:rPr>
                <w:rFonts w:eastAsia="ArialNarrow" w:cs="ArialNarrow" w:ascii="Verdana" w:hAnsi="Verdana"/>
                <w:color w:val="111111"/>
                <w:sz w:val="16"/>
                <w:szCs w:val="16"/>
                <w:shd w:fill="FFFFFF" w:val="clear"/>
                <w:lang w:eastAsia="en-US"/>
              </w:rPr>
              <w:t>475 395,00 zł</w:t>
            </w:r>
          </w:p>
        </w:tc>
      </w:tr>
    </w:tbl>
    <w:p>
      <w:pPr>
        <w:pStyle w:val="Normal"/>
        <w:suppressAutoHyphens w:val="false"/>
        <w:spacing w:lineRule="auto" w:line="360"/>
        <w:jc w:val="both"/>
        <w:rPr>
          <w:rFonts w:ascii="Calibri" w:hAnsi="Calibri" w:cs="Calibri" w:asciiTheme="majorHAnsi" w:cstheme="majorHAnsi" w:hAnsiTheme="majorHAnsi"/>
          <w:b/>
          <w:bCs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Zamawiający poinformował przed terminem otwarcia ofert, że na realizację zamówienia zamierza przeznaczyć kwotę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</w:rPr>
        <w:t>303 835,93 zł. (brutto).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Calibri" w:asciiTheme="majorHAnsi" w:cstheme="majorHAnsi" w:hAnsiTheme="majorHAnsi"/>
          <w:b/>
          <w:bCs/>
          <w:sz w:val="24"/>
          <w:szCs w:val="24"/>
        </w:rPr>
      </w:pPr>
      <w:r>
        <w:rPr>
          <w:rFonts w:cs="Calibri" w:cstheme="majorHAnsi" w:ascii="Calibri" w:hAnsi="Calibri"/>
          <w:b/>
          <w:bCs/>
          <w:sz w:val="24"/>
          <w:szCs w:val="24"/>
        </w:rPr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Równocześnie Zamawiający informuje, iż nie posiada środków budżetowych na zwiększenie tej kwoty do wysokości oferty z najniższą ceną. W związku z tym, zgodnie z art. 255 pkt 3) PZP Zamawiający zmuszony jest unieważnić postępowanie. 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 xml:space="preserve">Mając na uwadze powyższe należy uznać, iż decyzja Zamawiającego jest zgodna ze stanem faktycznym i prawnym przedmiotowego postępowania. W oparciu o obowiązujące przepisy Zamawiający był zobowiązany do podjęcia decyzji o unieważnieniu postępowania. </w:t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suppressAutoHyphens w:val="false"/>
        <w:spacing w:lineRule="auto" w:line="360"/>
        <w:jc w:val="both"/>
        <w:rPr>
          <w:rFonts w:ascii="Calibri" w:hAnsi="Calibri" w:cs="Calibri" w:asciiTheme="majorHAnsi" w:cstheme="majorHAnsi" w:hAnsiTheme="majorHAnsi"/>
          <w:color w:val="002060"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</w:rPr>
        <w:t>Zamawiający informuje, że o wszczęciu postępowania dotyczącego tego samego przedmiotu zamówienia lub obejmującego ten sam przedmiot zamówienia zostaniecie Państwo poinformowani.</w:t>
      </w:r>
    </w:p>
    <w:sectPr>
      <w:headerReference w:type="default" r:id="rId4"/>
      <w:footerReference w:type="default" r:id="rId5"/>
      <w:footerReference w:type="first" r:id="rId6"/>
      <w:type w:val="nextPage"/>
      <w:pgSz w:w="11906" w:h="16838"/>
      <w:pgMar w:left="993" w:right="852" w:gutter="0" w:header="720" w:top="777" w:footer="230" w:bottom="993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50" w:leader="none"/>
        <w:tab w:val="left" w:pos="5818" w:leader="none"/>
      </w:tabs>
      <w:ind w:right="260" w:hanging="0"/>
      <w:jc w:val="right"/>
      <w:rPr>
        <w:color w:val="0F243E" w:themeColor="text2" w:themeShade="80"/>
        <w:sz w:val="20"/>
        <w:szCs w:val="20"/>
      </w:rPr>
    </w:pPr>
    <w:r>
      <w:rPr>
        <w:color w:val="548DD4" w:themeColor="text2" w:themeTint="99"/>
        <w:spacing w:val="60"/>
        <w:sz w:val="20"/>
        <w:szCs w:val="20"/>
      </w:rPr>
      <w:t>Strona</w:t>
    </w:r>
    <w:r>
      <w:rPr>
        <w:color w:val="548DD4" w:themeColor="text2" w:themeTint="99"/>
        <w:sz w:val="20"/>
        <w:szCs w:val="20"/>
      </w:rPr>
      <w:t xml:space="preserve"> </w:t>
    </w:r>
    <w:r>
      <w:rPr>
        <w:color w:val="17365D"/>
        <w:sz w:val="20"/>
        <w:szCs w:val="20"/>
      </w:rPr>
      <w:fldChar w:fldCharType="begin"/>
    </w:r>
    <w:r>
      <w:rPr>
        <w:sz w:val="20"/>
        <w:szCs w:val="20"/>
        <w:color w:val="17365D"/>
      </w:rPr>
      <w:instrText xml:space="preserve"> PAGE </w:instrText>
    </w:r>
    <w:r>
      <w:rPr>
        <w:sz w:val="20"/>
        <w:szCs w:val="20"/>
        <w:color w:val="17365D"/>
      </w:rPr>
      <w:fldChar w:fldCharType="separate"/>
    </w:r>
    <w:r>
      <w:rPr>
        <w:sz w:val="20"/>
        <w:szCs w:val="20"/>
        <w:color w:val="17365D"/>
      </w:rPr>
      <w:t>2</w:t>
    </w:r>
    <w:r>
      <w:rPr>
        <w:sz w:val="20"/>
        <w:szCs w:val="20"/>
        <w:color w:val="17365D"/>
      </w:rPr>
      <w:fldChar w:fldCharType="end"/>
    </w:r>
    <w:r>
      <w:rPr>
        <w:color w:val="17365D" w:themeColor="text2" w:themeShade="bf"/>
        <w:sz w:val="20"/>
        <w:szCs w:val="20"/>
      </w:rPr>
      <w:t xml:space="preserve"> | </w:t>
    </w:r>
    <w:r>
      <w:rPr>
        <w:color w:val="17365D"/>
        <w:sz w:val="20"/>
        <w:szCs w:val="20"/>
      </w:rPr>
      <w:fldChar w:fldCharType="begin"/>
    </w:r>
    <w:r>
      <w:rPr>
        <w:sz w:val="20"/>
        <w:szCs w:val="20"/>
        <w:color w:val="17365D"/>
      </w:rPr>
      <w:instrText xml:space="preserve"> NUMPAGES </w:instrText>
    </w:r>
    <w:r>
      <w:rPr>
        <w:sz w:val="20"/>
        <w:szCs w:val="20"/>
        <w:color w:val="17365D"/>
      </w:rPr>
      <w:fldChar w:fldCharType="separate"/>
    </w:r>
    <w:r>
      <w:rPr>
        <w:sz w:val="20"/>
        <w:szCs w:val="20"/>
        <w:color w:val="17365D"/>
      </w:rPr>
      <w:t>2</w:t>
    </w:r>
    <w:r>
      <w:rPr>
        <w:sz w:val="20"/>
        <w:szCs w:val="20"/>
        <w:color w:val="17365D"/>
      </w:rPr>
      <w:fldChar w:fldCharType="end"/>
    </w:r>
  </w:p>
  <w:p>
    <w:pPr>
      <w:pStyle w:val="Normal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50" w:leader="none"/>
        <w:tab w:val="left" w:pos="5818" w:leader="none"/>
      </w:tabs>
      <w:ind w:right="260" w:hanging="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Strona</w:t>
    </w:r>
    <w:r>
      <w:rPr>
        <w:color w:val="548DD4" w:themeColor="text2" w:themeTint="99"/>
      </w:rPr>
      <w:t xml:space="preserve"> </w:t>
    </w:r>
    <w:r>
      <w:rPr>
        <w:color w:val="17365D"/>
      </w:rPr>
      <w:fldChar w:fldCharType="begin"/>
    </w:r>
    <w:r>
      <w:rPr>
        <w:color w:val="17365D"/>
      </w:rPr>
      <w:instrText xml:space="preserve"> PAGE </w:instrText>
    </w:r>
    <w:r>
      <w:rPr>
        <w:color w:val="17365D"/>
      </w:rPr>
      <w:fldChar w:fldCharType="separate"/>
    </w:r>
    <w:r>
      <w:rPr>
        <w:color w:val="17365D"/>
      </w:rPr>
      <w:t>1</w:t>
    </w:r>
    <w:r>
      <w:rPr>
        <w:color w:val="17365D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/>
      </w:rPr>
      <w:fldChar w:fldCharType="begin"/>
    </w:r>
    <w:r>
      <w:rPr>
        <w:color w:val="17365D"/>
      </w:rPr>
      <w:instrText xml:space="preserve"> NUMPAGES </w:instrText>
    </w:r>
    <w:r>
      <w:rPr>
        <w:color w:val="17365D"/>
      </w:rPr>
      <w:fldChar w:fldCharType="separate"/>
    </w:r>
    <w:r>
      <w:rPr>
        <w:color w:val="17365D"/>
      </w:rPr>
      <w:t>2</w:t>
    </w:r>
    <w:r>
      <w:rPr>
        <w:color w:val="17365D"/>
      </w:rPr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eastAsia="Calibri" w:cs="Calibri"/>
        <w:color w:val="434343"/>
        <w:sz w:val="18"/>
        <w:szCs w:val="18"/>
      </w:rPr>
    </w:pPr>
    <w:r>
      <w:rPr>
        <w:rFonts w:eastAsia="Calibri" w:cs="Calibri" w:ascii="Calibri" w:hAnsi="Calibri"/>
        <w:color w:val="434343"/>
        <w:sz w:val="18"/>
        <w:szCs w:val="18"/>
      </w:rPr>
      <w:t>Nr postępowania: ZP.1.2023</w:t>
    </w:r>
  </w:p>
  <w:p>
    <w:pPr>
      <w:pStyle w:val="Normal"/>
      <w:jc w:val="center"/>
      <w:rPr>
        <w:rFonts w:ascii="Calibri" w:hAnsi="Calibri" w:eastAsia="Calibri" w:cs="Calibri"/>
        <w:b/>
        <w:bCs/>
        <w:color w:val="0070C0"/>
        <w:sz w:val="18"/>
        <w:szCs w:val="18"/>
      </w:rPr>
    </w:pPr>
    <w:bookmarkStart w:id="1" w:name="_Hlk137977020"/>
    <w:r>
      <w:rPr>
        <w:rFonts w:eastAsia="Calibri" w:cs="Calibri" w:ascii="Calibri" w:hAnsi="Calibri"/>
        <w:b/>
        <w:bCs/>
        <w:color w:val="0070C0"/>
        <w:sz w:val="18"/>
        <w:szCs w:val="18"/>
      </w:rPr>
      <w:t>Termomodernizacja remizy OSP w Pichlicach</w:t>
    </w:r>
    <w:bookmarkEnd w:id="1"/>
  </w:p>
  <w:p>
    <w:pPr>
      <w:pStyle w:val="Normal"/>
      <w:jc w:val="center"/>
      <w:rPr>
        <w:rFonts w:ascii="Calibri" w:hAnsi="Calibri" w:eastAsia="Calibri" w:cs="Calibri"/>
        <w:color w:val="434343"/>
        <w:sz w:val="18"/>
        <w:szCs w:val="18"/>
      </w:rPr>
    </w:pPr>
    <w:r>
      <w:rPr>
        <w:rFonts w:eastAsia="Calibri" w:cs="Calibri" w:ascii="Calibri" w:hAnsi="Calibri"/>
        <w:color w:val="434343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7933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1c56b7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1c56b7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uiPriority w:val="9"/>
    <w:unhideWhenUsed/>
    <w:qFormat/>
    <w:rsid w:val="001c56b7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uiPriority w:val="9"/>
    <w:unhideWhenUsed/>
    <w:qFormat/>
    <w:rsid w:val="001c56b7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uiPriority w:val="9"/>
    <w:unhideWhenUsed/>
    <w:qFormat/>
    <w:rsid w:val="001c56b7"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uiPriority w:val="9"/>
    <w:semiHidden/>
    <w:unhideWhenUsed/>
    <w:qFormat/>
    <w:rsid w:val="001c56b7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26d8a"/>
    <w:rPr/>
  </w:style>
  <w:style w:type="character" w:styleId="StopkaZnak" w:customStyle="1">
    <w:name w:val="Stopka Znak"/>
    <w:basedOn w:val="DefaultParagraphFont"/>
    <w:uiPriority w:val="99"/>
    <w:qFormat/>
    <w:rsid w:val="00526d8a"/>
    <w:rPr/>
  </w:style>
  <w:style w:type="character" w:styleId="Czeinternetowe">
    <w:name w:val="Hyperlink"/>
    <w:basedOn w:val="DefaultParagraphFont"/>
    <w:uiPriority w:val="99"/>
    <w:unhideWhenUsed/>
    <w:rsid w:val="00f35e6f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821a35"/>
    <w:rPr>
      <w:color w:val="605E5C"/>
      <w:shd w:fill="E1DFDD" w:val="clear"/>
    </w:rPr>
  </w:style>
  <w:style w:type="character" w:styleId="Odwiedzoneczeinternetowe" w:customStyle="1">
    <w:name w:val="FollowedHyperlink"/>
    <w:basedOn w:val="DefaultParagraphFont"/>
    <w:uiPriority w:val="99"/>
    <w:semiHidden/>
    <w:unhideWhenUsed/>
    <w:rsid w:val="005978fc"/>
    <w:rPr>
      <w:color w:val="800080" w:themeColor="followedHyperlink"/>
      <w:u w:val="single"/>
    </w:rPr>
  </w:style>
  <w:style w:type="character" w:styleId="Nagwek1Znak" w:customStyle="1">
    <w:name w:val="Nagłówek 1 Znak"/>
    <w:basedOn w:val="DefaultParagraphFont"/>
    <w:qFormat/>
    <w:rsid w:val="0003147e"/>
    <w:rPr>
      <w:sz w:val="40"/>
      <w:szCs w:val="40"/>
    </w:rPr>
  </w:style>
  <w:style w:type="character" w:styleId="Nagwek2Znak" w:customStyle="1">
    <w:name w:val="Nagłówek 2 Znak"/>
    <w:basedOn w:val="DefaultParagraphFont"/>
    <w:uiPriority w:val="9"/>
    <w:qFormat/>
    <w:rsid w:val="000b1bb6"/>
    <w:rPr>
      <w:sz w:val="32"/>
      <w:szCs w:val="32"/>
    </w:rPr>
  </w:style>
  <w:style w:type="character" w:styleId="Kolorowalistaakcent1Znak" w:customStyle="1">
    <w:name w:val="Kolorowa lista — akcent 1 Znak"/>
    <w:link w:val="Kolorowalistaakcent11"/>
    <w:uiPriority w:val="34"/>
    <w:qFormat/>
    <w:locked/>
    <w:rsid w:val="00d857ac"/>
    <w:rPr>
      <w:rFonts w:ascii="Calibri" w:hAnsi="Calibri" w:eastAsia="SimSun" w:cs="Times New Roman"/>
      <w:sz w:val="20"/>
      <w:szCs w:val="20"/>
      <w:lang w:val="pl-PL" w:eastAsia="zh-CN"/>
    </w:rPr>
  </w:style>
  <w:style w:type="character" w:styleId="Alb" w:customStyle="1">
    <w:name w:val="a_lb"/>
    <w:qFormat/>
    <w:rsid w:val="00d857ac"/>
    <w:rPr>
      <w:rFonts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a06fd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06f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a06f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a06f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2a1"/>
    <w:rPr>
      <w:color w:val="605E5C"/>
      <w:shd w:fill="E1DFDD" w:val="clear"/>
    </w:rPr>
  </w:style>
  <w:style w:type="character" w:styleId="Czeindeksu" w:customStyle="1">
    <w:name w:val="Łącze indeks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526d8a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"/>
    <w:next w:val="Normal"/>
    <w:uiPriority w:val="10"/>
    <w:qFormat/>
    <w:rsid w:val="001c56b7"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next w:val="Normal"/>
    <w:uiPriority w:val="11"/>
    <w:qFormat/>
    <w:rsid w:val="001c56b7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opka">
    <w:name w:val="Footer"/>
    <w:basedOn w:val="Normal"/>
    <w:link w:val="StopkaZnak"/>
    <w:uiPriority w:val="99"/>
    <w:unhideWhenUsed/>
    <w:rsid w:val="00526d8a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bf13e5"/>
    <w:pPr>
      <w:spacing w:before="0" w:after="0"/>
      <w:ind w:left="720" w:hanging="0"/>
      <w:contextualSpacing/>
    </w:pPr>
    <w:rPr/>
  </w:style>
  <w:style w:type="paragraph" w:styleId="Spistreci2">
    <w:name w:val="TOC 2"/>
    <w:basedOn w:val="Normal"/>
    <w:next w:val="Normal"/>
    <w:autoRedefine/>
    <w:uiPriority w:val="39"/>
    <w:unhideWhenUsed/>
    <w:rsid w:val="003b2b9a"/>
    <w:pPr>
      <w:tabs>
        <w:tab w:val="clear" w:pos="720"/>
        <w:tab w:val="right" w:pos="10064" w:leader="none"/>
      </w:tabs>
      <w:spacing w:before="0" w:after="100"/>
      <w:ind w:left="220" w:hanging="0"/>
      <w:jc w:val="both"/>
    </w:pPr>
    <w:rPr/>
  </w:style>
  <w:style w:type="paragraph" w:styleId="Spistreci4">
    <w:name w:val="TOC 4"/>
    <w:basedOn w:val="Normal"/>
    <w:next w:val="Normal"/>
    <w:autoRedefine/>
    <w:uiPriority w:val="39"/>
    <w:unhideWhenUsed/>
    <w:rsid w:val="00aa0627"/>
    <w:pPr>
      <w:spacing w:before="0" w:after="100"/>
      <w:ind w:left="660" w:hanging="0"/>
    </w:pPr>
    <w:rPr/>
  </w:style>
  <w:style w:type="paragraph" w:styleId="Spistreci5">
    <w:name w:val="TOC 5"/>
    <w:basedOn w:val="Normal"/>
    <w:next w:val="Normal"/>
    <w:autoRedefine/>
    <w:uiPriority w:val="39"/>
    <w:unhideWhenUsed/>
    <w:rsid w:val="00aa0627"/>
    <w:pPr>
      <w:spacing w:before="0" w:after="100"/>
      <w:ind w:left="880" w:hanging="0"/>
    </w:pPr>
    <w:rPr/>
  </w:style>
  <w:style w:type="paragraph" w:styleId="Spistreci1">
    <w:name w:val="TOC 1"/>
    <w:basedOn w:val="Normal"/>
    <w:next w:val="Normal"/>
    <w:autoRedefine/>
    <w:uiPriority w:val="39"/>
    <w:unhideWhenUsed/>
    <w:rsid w:val="003b2b9a"/>
    <w:pPr>
      <w:tabs>
        <w:tab w:val="clear" w:pos="720"/>
        <w:tab w:val="right" w:pos="10064" w:leader="none"/>
      </w:tabs>
      <w:spacing w:before="0" w:after="100"/>
    </w:pPr>
    <w:rPr/>
  </w:style>
  <w:style w:type="paragraph" w:styleId="Default" w:customStyle="1">
    <w:name w:val="Default"/>
    <w:qFormat/>
    <w:rsid w:val="00a27539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Arial"/>
      <w:color w:val="000000"/>
      <w:kern w:val="0"/>
      <w:sz w:val="24"/>
      <w:szCs w:val="24"/>
      <w:lang w:val="pl-PL" w:eastAsia="pl-PL" w:bidi="ar-SA"/>
    </w:rPr>
  </w:style>
  <w:style w:type="paragraph" w:styleId="Kolorowalistaakcent11" w:customStyle="1">
    <w:name w:val="Kolorowa lista — akcent 11"/>
    <w:basedOn w:val="Normal"/>
    <w:link w:val="Kolorowalistaakcent1Znak"/>
    <w:qFormat/>
    <w:rsid w:val="00d857ac"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 w:cs="Times New Roman"/>
      <w:sz w:val="20"/>
      <w:szCs w:val="20"/>
      <w:lang w:eastAsia="zh-CN"/>
    </w:rPr>
  </w:style>
  <w:style w:type="paragraph" w:styleId="Indexheading">
    <w:name w:val="index heading"/>
    <w:basedOn w:val="Gwka"/>
    <w:qFormat/>
    <w:pPr/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unhideWhenUsed/>
    <w:qFormat/>
    <w:rsid w:val="0044036e"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a06fd"/>
    <w:pPr>
      <w:spacing w:lineRule="auto" w:line="24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a06f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a06fd"/>
    <w:pPr/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c56b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26d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EC45-4332-41D2-95B5-A284D297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LibreOffice/7.5.4.2$Windows_X86_64 LibreOffice_project/36ccfdc35048b057fd9854c757a8b67ec53977b6</Application>
  <AppVersion>15.0000</AppVersion>
  <Pages>2</Pages>
  <Words>313</Words>
  <Characters>2038</Characters>
  <CharactersWithSpaces>2332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2023-09-11T16:08:00Z</dcterms:created>
  <dc:creator>User</dc:creator>
  <dc:description/>
  <dc:language>pl-PL</dc:language>
  <cp:lastModifiedBy/>
  <cp:lastPrinted>2023-10-11T10:08:16Z</cp:lastPrinted>
  <dcterms:modified xsi:type="dcterms:W3CDTF">2023-10-11T10:09:04Z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