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9053" w14:textId="77777777" w:rsidR="00C75EF1" w:rsidRPr="00072FF4" w:rsidRDefault="00C75EF1" w:rsidP="00C75EF1">
      <w:pPr>
        <w:pStyle w:val="Tematkomentarza"/>
        <w:tabs>
          <w:tab w:val="left" w:pos="6237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43776318"/>
      <w:bookmarkStart w:id="1" w:name="_GoBack"/>
      <w:bookmarkEnd w:id="1"/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6BEC3E13" w14:textId="77E57182" w:rsidR="00C75EF1" w:rsidRPr="00072FF4" w:rsidRDefault="00C75EF1" w:rsidP="00C75EF1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DO.WAL.261.ZP.13.23.EJ</w:t>
      </w:r>
      <w:r w:rsidR="008613BA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072FF4"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Z</w:t>
      </w:r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72FF4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1E4E74">
        <w:rPr>
          <w:rFonts w:ascii="Calibri" w:hAnsi="Calibri" w:cs="Calibri"/>
          <w:b w:val="0"/>
          <w:sz w:val="24"/>
          <w:szCs w:val="24"/>
        </w:rPr>
        <w:t>06</w:t>
      </w:r>
      <w:r w:rsidR="008613BA">
        <w:rPr>
          <w:rFonts w:ascii="Calibri" w:hAnsi="Calibri" w:cs="Calibri"/>
          <w:b w:val="0"/>
          <w:sz w:val="24"/>
          <w:szCs w:val="24"/>
        </w:rPr>
        <w:t>.09</w:t>
      </w:r>
      <w:r w:rsidRPr="00072FF4">
        <w:rPr>
          <w:rFonts w:ascii="Calibri" w:hAnsi="Calibri" w:cs="Calibri"/>
          <w:b w:val="0"/>
          <w:sz w:val="24"/>
          <w:szCs w:val="24"/>
        </w:rPr>
        <w:t>.2023 r.</w:t>
      </w:r>
    </w:p>
    <w:p w14:paraId="3217A2E2" w14:textId="77777777" w:rsidR="00C75EF1" w:rsidRPr="00072FF4" w:rsidRDefault="00C75EF1" w:rsidP="001000AA">
      <w:pPr>
        <w:spacing w:before="600" w:after="360"/>
        <w:ind w:left="5432" w:firstLine="96"/>
        <w:rPr>
          <w:rFonts w:cs="Calibri"/>
          <w:b/>
          <w:noProof/>
          <w:sz w:val="28"/>
          <w:szCs w:val="28"/>
        </w:rPr>
      </w:pPr>
      <w:r w:rsidRPr="00072FF4">
        <w:rPr>
          <w:rFonts w:cs="Calibri"/>
          <w:b/>
          <w:noProof/>
          <w:sz w:val="28"/>
          <w:szCs w:val="28"/>
        </w:rPr>
        <w:t>Wszyscy Wykonawcy</w:t>
      </w:r>
    </w:p>
    <w:bookmarkEnd w:id="0"/>
    <w:p w14:paraId="4FD095E9" w14:textId="3F01D988" w:rsidR="00C75EF1" w:rsidRPr="00072FF4" w:rsidRDefault="00C75EF1" w:rsidP="00C75EF1">
      <w:pPr>
        <w:spacing w:before="240"/>
        <w:ind w:left="851" w:hanging="851"/>
        <w:rPr>
          <w:rFonts w:cs="Calibri"/>
          <w:bCs/>
          <w:noProof/>
          <w:sz w:val="24"/>
          <w:szCs w:val="24"/>
        </w:rPr>
      </w:pPr>
      <w:r w:rsidRPr="00072FF4">
        <w:rPr>
          <w:rFonts w:cs="Calibri"/>
          <w:bCs/>
          <w:noProof/>
          <w:sz w:val="24"/>
          <w:szCs w:val="24"/>
        </w:rPr>
        <w:t>dotyczy: postępowania na usługi „Asysty technicznej i konserwacji, modyfikacji i rozwoju systemu e-PFRON2” – numer sprawy ZP/13/23.</w:t>
      </w:r>
    </w:p>
    <w:p w14:paraId="3477A52F" w14:textId="77777777" w:rsidR="001000AA" w:rsidRPr="00072FF4" w:rsidRDefault="001000AA" w:rsidP="001000AA">
      <w:pPr>
        <w:spacing w:before="240"/>
        <w:rPr>
          <w:rStyle w:val="Mocnowyrniony"/>
          <w:sz w:val="24"/>
          <w:szCs w:val="24"/>
        </w:rPr>
      </w:pPr>
      <w:r w:rsidRPr="00072FF4">
        <w:rPr>
          <w:rStyle w:val="Mocnowyrniony"/>
          <w:sz w:val="24"/>
          <w:szCs w:val="24"/>
        </w:rPr>
        <w:t>ZMIANA TREŚCI SPECYFIKACJI WARUNKÓW ZAMÓWIENIA</w:t>
      </w:r>
    </w:p>
    <w:p w14:paraId="6D08D23E" w14:textId="43392EAC" w:rsidR="001000AA" w:rsidRPr="00072FF4" w:rsidRDefault="001000AA" w:rsidP="001000AA">
      <w:pPr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Zamawiający zgodnie z art. 137 ust. 1 ustawy Prawo zamówień publicznych (Dz. U. z 2023 r., poz. 1605) zwanej dalej ustawą Pzp, dokonał następujących zmian w treści Specyfikacji Warunków Zamówienia</w:t>
      </w:r>
      <w:r w:rsidR="00072FF4" w:rsidRPr="00072FF4">
        <w:rPr>
          <w:rStyle w:val="Mocnowyrniony"/>
          <w:b w:val="0"/>
          <w:bCs w:val="0"/>
          <w:sz w:val="24"/>
          <w:szCs w:val="24"/>
        </w:rPr>
        <w:t xml:space="preserve">, zwanej dalej </w:t>
      </w:r>
      <w:r w:rsidRPr="00072FF4">
        <w:rPr>
          <w:rStyle w:val="Mocnowyrniony"/>
          <w:b w:val="0"/>
          <w:bCs w:val="0"/>
          <w:sz w:val="24"/>
          <w:szCs w:val="24"/>
        </w:rPr>
        <w:t>SWZ:</w:t>
      </w:r>
    </w:p>
    <w:p w14:paraId="6C292C83" w14:textId="1A1D6630" w:rsidR="009640ED" w:rsidRPr="009640ED" w:rsidRDefault="00620F16" w:rsidP="00620F16">
      <w:pPr>
        <w:numPr>
          <w:ilvl w:val="0"/>
          <w:numId w:val="21"/>
        </w:numPr>
        <w:spacing w:after="11"/>
        <w:ind w:left="284" w:hanging="295"/>
        <w:rPr>
          <w:rStyle w:val="Mocnowyrniony"/>
          <w:b w:val="0"/>
          <w:bCs w:val="0"/>
          <w:sz w:val="24"/>
          <w:szCs w:val="24"/>
        </w:rPr>
      </w:pPr>
      <w:bookmarkStart w:id="2" w:name="_Hlk144805530"/>
      <w:bookmarkStart w:id="3" w:name="_Hlk75516811"/>
      <w:bookmarkStart w:id="4" w:name="_Hlk76126154"/>
      <w:r>
        <w:rPr>
          <w:rStyle w:val="Mocnowyrniony"/>
          <w:b w:val="0"/>
          <w:bCs w:val="0"/>
          <w:sz w:val="24"/>
          <w:szCs w:val="24"/>
        </w:rPr>
        <w:t>Załącznik 1 do SWZ Opis przedmiotu zamówienia</w:t>
      </w:r>
      <w:r w:rsidR="00D54134">
        <w:rPr>
          <w:rStyle w:val="Mocnowyrniony"/>
          <w:b w:val="0"/>
          <w:bCs w:val="0"/>
          <w:sz w:val="24"/>
          <w:szCs w:val="24"/>
        </w:rPr>
        <w:t xml:space="preserve"> (OPZ)</w:t>
      </w:r>
      <w:r w:rsidR="009640ED">
        <w:rPr>
          <w:rStyle w:val="Mocnowyrniony"/>
          <w:rFonts w:eastAsia="Calibri"/>
          <w:b w:val="0"/>
          <w:bCs w:val="0"/>
          <w:sz w:val="24"/>
          <w:szCs w:val="24"/>
        </w:rPr>
        <w:t>:</w:t>
      </w:r>
    </w:p>
    <w:p w14:paraId="0B407742" w14:textId="11672BD4" w:rsidR="001000AA" w:rsidRPr="00620F16" w:rsidRDefault="00D54134" w:rsidP="009640ED">
      <w:pPr>
        <w:numPr>
          <w:ilvl w:val="1"/>
          <w:numId w:val="21"/>
        </w:numPr>
        <w:spacing w:after="11"/>
        <w:ind w:left="709"/>
        <w:rPr>
          <w:rStyle w:val="Mocnowyrniony"/>
          <w:b w:val="0"/>
          <w:bCs w:val="0"/>
          <w:sz w:val="24"/>
          <w:szCs w:val="24"/>
        </w:rPr>
      </w:pPr>
      <w:r w:rsidRPr="00D54134">
        <w:rPr>
          <w:rStyle w:val="Mocnowyrniony"/>
          <w:rFonts w:eastAsia="Calibri"/>
          <w:b w:val="0"/>
          <w:bCs w:val="0"/>
          <w:sz w:val="24"/>
          <w:szCs w:val="24"/>
        </w:rPr>
        <w:t xml:space="preserve">Rozdział 4.1 Wymagania dotyczące Usługi Asysty Technicznej i Konserwacji 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br/>
      </w:r>
      <w:r w:rsidR="00620F16">
        <w:rPr>
          <w:rStyle w:val="Mocnowyrniony"/>
          <w:rFonts w:eastAsia="Calibri"/>
          <w:b w:val="0"/>
          <w:bCs w:val="0"/>
          <w:sz w:val="24"/>
          <w:szCs w:val="24"/>
        </w:rPr>
        <w:t xml:space="preserve">pkt. ATK-06. </w:t>
      </w:r>
      <w:r>
        <w:rPr>
          <w:rStyle w:val="Mocnowyrniony"/>
          <w:b w:val="0"/>
          <w:bCs w:val="0"/>
          <w:sz w:val="24"/>
          <w:szCs w:val="24"/>
        </w:rPr>
        <w:t>OPZ</w:t>
      </w:r>
      <w:r w:rsidR="001000AA" w:rsidRPr="00620F16">
        <w:rPr>
          <w:rStyle w:val="Mocnowyrniony"/>
          <w:b w:val="0"/>
          <w:bCs w:val="0"/>
          <w:sz w:val="24"/>
          <w:szCs w:val="24"/>
        </w:rPr>
        <w:t xml:space="preserve"> otrzymuje brzmienie:</w:t>
      </w:r>
    </w:p>
    <w:bookmarkEnd w:id="2"/>
    <w:p w14:paraId="11226883" w14:textId="3E1E3328" w:rsidR="001000AA" w:rsidRDefault="001000AA" w:rsidP="009640ED">
      <w:pPr>
        <w:spacing w:after="11"/>
        <w:ind w:left="1701" w:hanging="992"/>
        <w:rPr>
          <w:rStyle w:val="Mocnowyrniony"/>
          <w:rFonts w:eastAsia="Calibri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„</w:t>
      </w:r>
      <w:r w:rsidR="00620F16" w:rsidRPr="00620F16">
        <w:rPr>
          <w:rStyle w:val="Mocnowyrniony"/>
          <w:b w:val="0"/>
          <w:bCs w:val="0"/>
          <w:sz w:val="24"/>
          <w:szCs w:val="24"/>
        </w:rPr>
        <w:t>ATK-06.</w:t>
      </w:r>
      <w:r w:rsidR="00620F16" w:rsidRPr="00620F16">
        <w:rPr>
          <w:rStyle w:val="Mocnowyrniony"/>
          <w:b w:val="0"/>
          <w:bCs w:val="0"/>
          <w:sz w:val="24"/>
          <w:szCs w:val="24"/>
        </w:rPr>
        <w:tab/>
        <w:t>Zapewnienia wysokiego poziomu bezpieczeństwa Systemu i danych w</w:t>
      </w:r>
      <w:r w:rsidR="005B2D4A">
        <w:rPr>
          <w:rStyle w:val="Mocnowyrniony"/>
          <w:b w:val="0"/>
          <w:bCs w:val="0"/>
          <w:sz w:val="24"/>
          <w:szCs w:val="24"/>
        </w:rPr>
        <w:t> </w:t>
      </w:r>
      <w:r w:rsidR="00620F16" w:rsidRPr="00620F16">
        <w:rPr>
          <w:rStyle w:val="Mocnowyrniony"/>
          <w:b w:val="0"/>
          <w:bCs w:val="0"/>
          <w:sz w:val="24"/>
          <w:szCs w:val="24"/>
        </w:rPr>
        <w:t>nim</w:t>
      </w:r>
      <w:r w:rsidR="005B2D4A">
        <w:rPr>
          <w:rStyle w:val="Mocnowyrniony"/>
          <w:b w:val="0"/>
          <w:bCs w:val="0"/>
          <w:sz w:val="24"/>
          <w:szCs w:val="24"/>
        </w:rPr>
        <w:t> </w:t>
      </w:r>
      <w:r w:rsidR="00620F16" w:rsidRPr="00620F16">
        <w:rPr>
          <w:rStyle w:val="Mocnowyrniony"/>
          <w:b w:val="0"/>
          <w:bCs w:val="0"/>
          <w:sz w:val="24"/>
          <w:szCs w:val="24"/>
        </w:rPr>
        <w:t>przetwarzanych, między innymi poprzez instalowanie poprawek bezpieczeństwa dla Systemu, w tym do Oprogramowania Systemowego i</w:t>
      </w:r>
      <w:r w:rsidR="005B2D4A">
        <w:rPr>
          <w:rStyle w:val="Mocnowyrniony"/>
          <w:b w:val="0"/>
          <w:bCs w:val="0"/>
          <w:sz w:val="24"/>
          <w:szCs w:val="24"/>
        </w:rPr>
        <w:t> </w:t>
      </w:r>
      <w:r w:rsidR="00620F16" w:rsidRPr="00620F16">
        <w:rPr>
          <w:rStyle w:val="Mocnowyrniony"/>
          <w:b w:val="0"/>
          <w:bCs w:val="0"/>
          <w:sz w:val="24"/>
          <w:szCs w:val="24"/>
        </w:rPr>
        <w:t>Narzędziowego oraz Oprogramowania Standardowego/Obcego raz w</w:t>
      </w:r>
      <w:r w:rsidR="005B2D4A">
        <w:rPr>
          <w:rStyle w:val="Mocnowyrniony"/>
          <w:b w:val="0"/>
          <w:bCs w:val="0"/>
          <w:sz w:val="24"/>
          <w:szCs w:val="24"/>
        </w:rPr>
        <w:t> </w:t>
      </w:r>
      <w:r w:rsidR="00620F16" w:rsidRPr="00620F16">
        <w:rPr>
          <w:rStyle w:val="Mocnowyrniony"/>
          <w:b w:val="0"/>
          <w:bCs w:val="0"/>
          <w:sz w:val="24"/>
          <w:szCs w:val="24"/>
        </w:rPr>
        <w:t>miesiącu, a w przypadku poprawek krytycznych w terminie 3 Dni Roboczych od dnia wydania ich przez producenta, wprowadzanie zmian konfiguracyjnych w Systemie, mających na celu zwiększenie poziomu bezpieczeństwa, zapewnienia zgodności z wymaganiami ujętymi w</w:t>
      </w:r>
      <w:r w:rsidR="005B2D4A">
        <w:rPr>
          <w:rStyle w:val="Mocnowyrniony"/>
          <w:b w:val="0"/>
          <w:bCs w:val="0"/>
          <w:sz w:val="24"/>
          <w:szCs w:val="24"/>
        </w:rPr>
        <w:t> </w:t>
      </w:r>
      <w:r w:rsidR="00620F16" w:rsidRPr="00620F16">
        <w:rPr>
          <w:rStyle w:val="Mocnowyrniony"/>
          <w:b w:val="0"/>
          <w:bCs w:val="0"/>
          <w:sz w:val="24"/>
          <w:szCs w:val="24"/>
        </w:rPr>
        <w:t>rozporządzeniu KRI, oraz dokumentach wewnętrznych</w:t>
      </w:r>
      <w:r w:rsidR="00620F16">
        <w:rPr>
          <w:rStyle w:val="Mocnowyrniony"/>
          <w:b w:val="0"/>
          <w:bCs w:val="0"/>
          <w:sz w:val="24"/>
          <w:szCs w:val="24"/>
        </w:rPr>
        <w:t>.</w:t>
      </w: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”.</w:t>
      </w:r>
      <w:bookmarkEnd w:id="3"/>
      <w:bookmarkEnd w:id="4"/>
    </w:p>
    <w:p w14:paraId="0A44D4F5" w14:textId="279D673D" w:rsidR="009640ED" w:rsidRDefault="00D54134" w:rsidP="009640ED">
      <w:pPr>
        <w:numPr>
          <w:ilvl w:val="1"/>
          <w:numId w:val="21"/>
        </w:numPr>
        <w:spacing w:after="11"/>
        <w:ind w:left="709"/>
        <w:rPr>
          <w:rStyle w:val="Mocnowyrniony"/>
          <w:rFonts w:eastAsia="Calibri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 xml:space="preserve">Rozdział 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4.1</w:t>
      </w: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 xml:space="preserve"> 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Wymagania dotyczące Usługi Asysty Technicznej i Konserwacji 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br/>
      </w:r>
      <w:r w:rsidR="009640ED" w:rsidRPr="009640ED">
        <w:rPr>
          <w:rStyle w:val="Mocnowyrniony"/>
          <w:rFonts w:eastAsia="Calibri"/>
          <w:b w:val="0"/>
          <w:bCs w:val="0"/>
          <w:sz w:val="24"/>
          <w:szCs w:val="24"/>
        </w:rPr>
        <w:t>pkt. ATK-</w:t>
      </w:r>
      <w:r w:rsidR="009640ED">
        <w:rPr>
          <w:rStyle w:val="Mocnowyrniony"/>
          <w:rFonts w:eastAsia="Calibri"/>
          <w:b w:val="0"/>
          <w:bCs w:val="0"/>
          <w:sz w:val="24"/>
          <w:szCs w:val="24"/>
        </w:rPr>
        <w:t>11</w:t>
      </w:r>
      <w:r w:rsidR="009640ED"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. 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OPZ</w:t>
      </w:r>
      <w:r w:rsidR="009640ED"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 otrzymuje brzmienie:</w:t>
      </w:r>
    </w:p>
    <w:p w14:paraId="3DFAE050" w14:textId="0486BA01" w:rsidR="009640ED" w:rsidRDefault="009640ED" w:rsidP="009640ED">
      <w:pPr>
        <w:spacing w:after="11"/>
        <w:ind w:left="1701" w:hanging="992"/>
        <w:rPr>
          <w:rStyle w:val="Mocnowyrniony"/>
          <w:rFonts w:eastAsia="Calibri"/>
          <w:b w:val="0"/>
          <w:bCs w:val="0"/>
          <w:sz w:val="24"/>
          <w:szCs w:val="24"/>
        </w:rPr>
      </w:pPr>
      <w:r>
        <w:rPr>
          <w:rStyle w:val="Mocnowyrniony"/>
          <w:rFonts w:eastAsia="Calibri"/>
          <w:b w:val="0"/>
          <w:bCs w:val="0"/>
          <w:sz w:val="24"/>
          <w:szCs w:val="24"/>
        </w:rPr>
        <w:t>„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>ATK-11.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ab/>
        <w:t>Zapewnienia stałej opieki co najmniej jednego konsultanta do wsparcia przy rozwiązywaniu bieżących problemów związanych z funkcjonowaniem Systemu. Wsparcie takie będzie polegało na umożliwieniu bezpośrednie go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t> 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>kontaktu z Pracodawcą lub osobą wskazaną przez Pracodawcę, bądź upoważnionych pracowników PFRON (drogą telefoniczną lub mailową) w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t> 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>celu rozwiązania Przypadku Szczególnego – jedynie za uprzednią prośbą/zgodą Zamawiającego i może odbywać się niezależnie od Okna Serwisowego.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”.</w:t>
      </w:r>
    </w:p>
    <w:p w14:paraId="77CCA314" w14:textId="3F9A7521" w:rsidR="009640ED" w:rsidRDefault="00D54134" w:rsidP="009640ED">
      <w:pPr>
        <w:numPr>
          <w:ilvl w:val="1"/>
          <w:numId w:val="21"/>
        </w:numPr>
        <w:spacing w:after="11"/>
        <w:ind w:left="709"/>
        <w:rPr>
          <w:rStyle w:val="Mocnowyrniony"/>
          <w:rFonts w:eastAsia="Calibri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 xml:space="preserve">Rozdział 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4.1</w:t>
      </w: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 xml:space="preserve"> 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Wymagania dotyczące Usługi Asysty Technicznej i Konserwacji 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br/>
      </w:r>
      <w:r w:rsidR="009640ED" w:rsidRPr="009640ED">
        <w:rPr>
          <w:rStyle w:val="Mocnowyrniony"/>
          <w:rFonts w:eastAsia="Calibri"/>
          <w:b w:val="0"/>
          <w:bCs w:val="0"/>
          <w:sz w:val="24"/>
          <w:szCs w:val="24"/>
        </w:rPr>
        <w:t>pkt. ATK-1</w:t>
      </w:r>
      <w:r w:rsidR="009640ED">
        <w:rPr>
          <w:rStyle w:val="Mocnowyrniony"/>
          <w:rFonts w:eastAsia="Calibri"/>
          <w:b w:val="0"/>
          <w:bCs w:val="0"/>
          <w:sz w:val="24"/>
          <w:szCs w:val="24"/>
        </w:rPr>
        <w:t>5</w:t>
      </w:r>
      <w:r w:rsidR="009640ED"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. 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OPZ</w:t>
      </w:r>
      <w:r w:rsidR="009640ED"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 otrzymuje brzmienie:</w:t>
      </w:r>
    </w:p>
    <w:p w14:paraId="4EDC7AF7" w14:textId="69712159" w:rsidR="005B2D4A" w:rsidRDefault="009640ED" w:rsidP="00D54134">
      <w:pPr>
        <w:spacing w:after="11"/>
        <w:ind w:left="1701" w:hanging="992"/>
        <w:rPr>
          <w:rStyle w:val="Mocnowyrniony"/>
          <w:rFonts w:eastAsia="Calibri"/>
          <w:b w:val="0"/>
          <w:bCs w:val="0"/>
          <w:sz w:val="24"/>
          <w:szCs w:val="24"/>
        </w:rPr>
      </w:pPr>
      <w:r>
        <w:rPr>
          <w:rStyle w:val="Mocnowyrniony"/>
          <w:rFonts w:eastAsia="Calibri"/>
          <w:b w:val="0"/>
          <w:bCs w:val="0"/>
          <w:sz w:val="24"/>
          <w:szCs w:val="24"/>
        </w:rPr>
        <w:t>„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>ATK-15.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ab/>
        <w:t xml:space="preserve">Aktualizacji warstw Oprogramowania Systemowego i Narzędziowego oraz Oprogramowania Standardowego/Obcego nie później niż miesiąc po 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lastRenderedPageBreak/>
        <w:t>udostępnieniu przez producentów danego oprogramowania nowej, stabilnej jego wersji po wcześniejszym uzgodnieniu z Zamawiający i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t> 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>w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t> 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>terminie na jaki wyrazi zgodę Zamawiający. Wyżej wymieniony termin może zostać w szczególnych przypadkach zmieniony przez Zamawiającego na dłuższy. W przypadku krytycznych poprawek bezpieczeństwa wymaga się ich niezwłocznej instalacji. Wymóg nie dotyczy aktualizacji, do których instalacji konieczne będzie poniesienie przez Wykonawcę dodatkowych kosztów z tytułu zakupu licencji – wówczas koszty i decyzję o instalacji ponosi Zamawiający. Wymóg nie dotyczy również aktualizacji, których wprowadzenie wymuszałoby zmiany w Kodach Źródłowych Systemu w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t> 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>zakresie większym niż plików konfiguracyjnych - wówczas decyzja o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t> 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>zasadności i sposobie realizacji jest podejmowana przez Kierowników Umowy Zamawiającego i Wykonawcy, a w przypadku braku porozumienia przenoszone do rozstrzygnięcia przez nadzór projektu. Na czas instalacji ww. poprawek zawieszone jest ATK-01.</w:t>
      </w:r>
      <w:r w:rsidR="00D54134">
        <w:rPr>
          <w:rStyle w:val="Mocnowyrniony"/>
          <w:rFonts w:eastAsia="Calibri"/>
          <w:b w:val="0"/>
          <w:bCs w:val="0"/>
          <w:sz w:val="24"/>
          <w:szCs w:val="24"/>
        </w:rPr>
        <w:t>”.</w:t>
      </w:r>
    </w:p>
    <w:p w14:paraId="622D6071" w14:textId="36149673" w:rsidR="009640ED" w:rsidRPr="00D54134" w:rsidRDefault="009640ED" w:rsidP="005B2D4A">
      <w:pPr>
        <w:numPr>
          <w:ilvl w:val="1"/>
          <w:numId w:val="21"/>
        </w:numPr>
        <w:spacing w:after="11"/>
        <w:ind w:left="709"/>
        <w:rPr>
          <w:rStyle w:val="Mocnowyrniony"/>
          <w:rFonts w:eastAsia="Calibri"/>
          <w:b w:val="0"/>
          <w:bCs w:val="0"/>
          <w:sz w:val="24"/>
          <w:szCs w:val="24"/>
        </w:rPr>
      </w:pP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>Rozdział 4.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2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 Wymagania dotyczące Rozwoju</w:t>
      </w:r>
      <w:r w:rsidR="00D54134">
        <w:rPr>
          <w:rStyle w:val="Mocnowyrniony"/>
          <w:rFonts w:eastAsia="Calibri"/>
          <w:b w:val="0"/>
          <w:bCs w:val="0"/>
          <w:sz w:val="24"/>
          <w:szCs w:val="24"/>
        </w:rPr>
        <w:t xml:space="preserve"> </w:t>
      </w:r>
      <w:r w:rsidRPr="00D54134">
        <w:rPr>
          <w:rStyle w:val="Mocnowyrniony"/>
          <w:rFonts w:eastAsia="Calibri"/>
          <w:b w:val="0"/>
          <w:bCs w:val="0"/>
          <w:sz w:val="24"/>
          <w:szCs w:val="24"/>
        </w:rPr>
        <w:t xml:space="preserve">pkt. UMR-30. </w:t>
      </w:r>
      <w:r w:rsidR="00D54134">
        <w:rPr>
          <w:rStyle w:val="Mocnowyrniony"/>
          <w:rFonts w:eastAsia="Calibri"/>
          <w:b w:val="0"/>
          <w:bCs w:val="0"/>
          <w:sz w:val="24"/>
          <w:szCs w:val="24"/>
        </w:rPr>
        <w:t>OPZ</w:t>
      </w:r>
      <w:r w:rsidRPr="00D54134">
        <w:rPr>
          <w:rStyle w:val="Mocnowyrniony"/>
          <w:rFonts w:eastAsia="Calibri"/>
          <w:b w:val="0"/>
          <w:bCs w:val="0"/>
          <w:sz w:val="24"/>
          <w:szCs w:val="24"/>
        </w:rPr>
        <w:t xml:space="preserve"> otrzymuje brzmienie:</w:t>
      </w:r>
    </w:p>
    <w:p w14:paraId="25100DD3" w14:textId="0A5DB361" w:rsidR="009640ED" w:rsidRPr="009640ED" w:rsidRDefault="00D54134" w:rsidP="005B2D4A">
      <w:pPr>
        <w:spacing w:after="11"/>
        <w:ind w:left="1701" w:hanging="992"/>
        <w:rPr>
          <w:rStyle w:val="Mocnowyrniony"/>
          <w:rFonts w:eastAsia="Calibri"/>
          <w:b w:val="0"/>
          <w:bCs w:val="0"/>
          <w:sz w:val="24"/>
          <w:szCs w:val="24"/>
        </w:rPr>
      </w:pPr>
      <w:r>
        <w:rPr>
          <w:rStyle w:val="Mocnowyrniony"/>
          <w:rFonts w:eastAsia="Calibri"/>
          <w:b w:val="0"/>
          <w:bCs w:val="0"/>
          <w:sz w:val="24"/>
          <w:szCs w:val="24"/>
        </w:rPr>
        <w:t>„</w:t>
      </w:r>
      <w:r w:rsidRPr="00D54134">
        <w:rPr>
          <w:rStyle w:val="Mocnowyrniony"/>
          <w:rFonts w:eastAsia="Calibri"/>
          <w:b w:val="0"/>
          <w:bCs w:val="0"/>
          <w:sz w:val="24"/>
          <w:szCs w:val="24"/>
        </w:rPr>
        <w:t>UMR-30.</w:t>
      </w:r>
      <w:r w:rsidRPr="00D54134">
        <w:rPr>
          <w:rStyle w:val="Mocnowyrniony"/>
          <w:rFonts w:eastAsia="Calibri"/>
          <w:b w:val="0"/>
          <w:bCs w:val="0"/>
          <w:sz w:val="24"/>
          <w:szCs w:val="24"/>
        </w:rPr>
        <w:tab/>
        <w:t>Po weryfikacji Pakietu Aktualizacji Zamawiający niezwłocznie potwierdzi wykonanie (Odbiór pozytywny) lub stwierdzi niewykonanie Zlecenia (Odbiór negatywny). W przypadku Odbioru negatywnego Produkt Zlecenia podlega dalszym pracom, do czasu jego należytego wykonania (patrz procedura odbiorowa określona w Umowie). Kara umowna z tytułu nienależytego wykonania przedmiotu Zlecenia zostanie naliczona po przeprowadzeniu jednej iteracji odbiorowej jeżeli Zamawiający zgłosi uwagi po raz drugi.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”.</w:t>
      </w:r>
    </w:p>
    <w:p w14:paraId="1C5A7155" w14:textId="1EB7F8EE" w:rsidR="001E4E74" w:rsidRDefault="001E4E74" w:rsidP="0092392D">
      <w:pPr>
        <w:numPr>
          <w:ilvl w:val="0"/>
          <w:numId w:val="21"/>
        </w:numPr>
        <w:spacing w:before="240" w:after="11"/>
        <w:ind w:left="284" w:hanging="295"/>
        <w:rPr>
          <w:rStyle w:val="Mocnowyrniony"/>
          <w:rFonts w:eastAsia="Calibri"/>
          <w:b w:val="0"/>
          <w:bCs w:val="0"/>
          <w:sz w:val="24"/>
          <w:szCs w:val="24"/>
        </w:rPr>
      </w:pP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>Załącznik nr 2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 xml:space="preserve"> do OPZ</w:t>
      </w: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 xml:space="preserve"> Wymagania WCAG 2.1 punk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t</w:t>
      </w: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 xml:space="preserve"> 6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 xml:space="preserve"> otrzymuje brzmienie:</w:t>
      </w:r>
    </w:p>
    <w:p w14:paraId="59349614" w14:textId="08261EDD" w:rsidR="001E4E74" w:rsidRPr="001E4E74" w:rsidRDefault="001E4E74" w:rsidP="001E4E74">
      <w:pPr>
        <w:spacing w:after="0"/>
        <w:ind w:left="284"/>
        <w:rPr>
          <w:rStyle w:val="Mocnowyrniony"/>
          <w:rFonts w:eastAsia="Calibri"/>
          <w:b w:val="0"/>
          <w:bCs w:val="0"/>
          <w:sz w:val="24"/>
          <w:szCs w:val="24"/>
        </w:rPr>
      </w:pPr>
      <w:r>
        <w:rPr>
          <w:rStyle w:val="Mocnowyrniony"/>
          <w:rFonts w:eastAsia="Calibri"/>
          <w:b w:val="0"/>
          <w:bCs w:val="0"/>
          <w:sz w:val="24"/>
          <w:szCs w:val="24"/>
        </w:rPr>
        <w:t>„</w:t>
      </w: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>6. Zalecenia na poziomie AAA.</w:t>
      </w:r>
    </w:p>
    <w:p w14:paraId="516E70E1" w14:textId="77777777" w:rsidR="001E4E74" w:rsidRPr="001E4E74" w:rsidRDefault="001E4E74" w:rsidP="001E4E74">
      <w:pPr>
        <w:spacing w:after="0"/>
        <w:ind w:left="567"/>
        <w:rPr>
          <w:rStyle w:val="Mocnowyrniony"/>
          <w:rFonts w:eastAsia="Calibri"/>
          <w:b w:val="0"/>
          <w:bCs w:val="0"/>
          <w:sz w:val="24"/>
          <w:szCs w:val="24"/>
        </w:rPr>
      </w:pP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>Interfejs graficzny serwisu/systemu będzie zgodny z wytycznymi WCAG 2.1 poziomu A oraz AA. Dla wskazanych poniżej elementów interfejsu spełnione zostaną zalecenia na poziomie AAA:</w:t>
      </w:r>
    </w:p>
    <w:p w14:paraId="14ED4BFF" w14:textId="77777777" w:rsidR="001E4E74" w:rsidRPr="001E4E74" w:rsidRDefault="001E4E74" w:rsidP="001E4E74">
      <w:pPr>
        <w:spacing w:after="0"/>
        <w:ind w:left="851" w:hanging="284"/>
        <w:rPr>
          <w:rStyle w:val="Mocnowyrniony"/>
          <w:rFonts w:eastAsia="Calibri"/>
          <w:b w:val="0"/>
          <w:bCs w:val="0"/>
          <w:sz w:val="24"/>
          <w:szCs w:val="24"/>
        </w:rPr>
      </w:pP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>1.</w:t>
      </w: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ab/>
        <w:t>1.4.8 Prezentacja wizualna:</w:t>
      </w:r>
    </w:p>
    <w:p w14:paraId="6E892A75" w14:textId="77777777" w:rsidR="001E4E74" w:rsidRPr="001E4E74" w:rsidRDefault="001E4E74" w:rsidP="001E4E74">
      <w:pPr>
        <w:spacing w:after="0"/>
        <w:ind w:left="1134" w:hanging="283"/>
        <w:rPr>
          <w:rStyle w:val="Mocnowyrniony"/>
          <w:rFonts w:eastAsia="Calibri"/>
          <w:b w:val="0"/>
          <w:bCs w:val="0"/>
          <w:sz w:val="24"/>
          <w:szCs w:val="24"/>
        </w:rPr>
      </w:pP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>a.</w:t>
      </w: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ab/>
        <w:t>interlinia to przynajmniej 150%, a odstęp pomiędzy paragrafami 1.5 razy wartości interlinii,</w:t>
      </w:r>
    </w:p>
    <w:p w14:paraId="1F2ECCE2" w14:textId="77777777" w:rsidR="001E4E74" w:rsidRPr="001E4E74" w:rsidRDefault="001E4E74" w:rsidP="001E4E74">
      <w:pPr>
        <w:spacing w:after="0"/>
        <w:ind w:left="1134" w:hanging="283"/>
        <w:rPr>
          <w:rStyle w:val="Mocnowyrniony"/>
          <w:rFonts w:eastAsia="Calibri"/>
          <w:b w:val="0"/>
          <w:bCs w:val="0"/>
          <w:sz w:val="24"/>
          <w:szCs w:val="24"/>
        </w:rPr>
      </w:pP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>b.</w:t>
      </w: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ab/>
        <w:t>tekst powiększony do 200% nie wymaga przesuwania horyzontalnego.</w:t>
      </w:r>
    </w:p>
    <w:p w14:paraId="6176AFAC" w14:textId="77777777" w:rsidR="001E4E74" w:rsidRPr="001E4E74" w:rsidRDefault="001E4E74" w:rsidP="001E4E74">
      <w:pPr>
        <w:spacing w:after="0"/>
        <w:ind w:left="851" w:hanging="284"/>
        <w:rPr>
          <w:rStyle w:val="Mocnowyrniony"/>
          <w:rFonts w:eastAsia="Calibri"/>
          <w:b w:val="0"/>
          <w:bCs w:val="0"/>
          <w:sz w:val="24"/>
          <w:szCs w:val="24"/>
        </w:rPr>
      </w:pP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>2.</w:t>
      </w: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ab/>
        <w:t>2.4.9 Cel łącza (z samego łącza): wymaganie opisaliśmy w punkcie 3.8 Linki;</w:t>
      </w:r>
    </w:p>
    <w:p w14:paraId="12D5721E" w14:textId="5B571038" w:rsidR="001E4E74" w:rsidRDefault="001E4E74" w:rsidP="001E4E74">
      <w:pPr>
        <w:spacing w:after="0"/>
        <w:ind w:left="851" w:hanging="284"/>
        <w:rPr>
          <w:rStyle w:val="Mocnowyrniony"/>
          <w:rFonts w:eastAsia="Calibri"/>
          <w:b w:val="0"/>
          <w:bCs w:val="0"/>
          <w:sz w:val="24"/>
          <w:szCs w:val="24"/>
        </w:rPr>
      </w:pP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>3.</w:t>
      </w:r>
      <w:r w:rsidRPr="001E4E74">
        <w:rPr>
          <w:rStyle w:val="Mocnowyrniony"/>
          <w:rFonts w:eastAsia="Calibri"/>
          <w:b w:val="0"/>
          <w:bCs w:val="0"/>
          <w:sz w:val="24"/>
          <w:szCs w:val="24"/>
        </w:rPr>
        <w:tab/>
        <w:t>2.5.5 Rozmiar celu dotykowego: wielkość kontrolki (poziom AAA). Wielkość obiektu, który trzeba dotknąć lub kliknąć myszą, musi być na tyle duża, by Użytkownik mógł łatwo trafić palcem lub kursorem myszy.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”.</w:t>
      </w:r>
    </w:p>
    <w:p w14:paraId="67CCD3DF" w14:textId="38407878" w:rsidR="009640ED" w:rsidRDefault="00D54134" w:rsidP="0092392D">
      <w:pPr>
        <w:numPr>
          <w:ilvl w:val="0"/>
          <w:numId w:val="21"/>
        </w:numPr>
        <w:spacing w:before="240" w:after="11"/>
        <w:ind w:left="284" w:hanging="295"/>
        <w:rPr>
          <w:rStyle w:val="Mocnowyrniony"/>
          <w:rFonts w:eastAsia="Calibri"/>
          <w:b w:val="0"/>
          <w:bCs w:val="0"/>
          <w:sz w:val="24"/>
          <w:szCs w:val="24"/>
        </w:rPr>
      </w:pP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Załącznik 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9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 do SWZ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 xml:space="preserve"> Projektowane Postanowienia Umowy (PPU) Paragraf 7 Procedura Odbioru ust. 11 PPU otrzymuje brzmienie:</w:t>
      </w:r>
    </w:p>
    <w:p w14:paraId="4914F353" w14:textId="25DAD176" w:rsidR="00D54134" w:rsidRDefault="00D54134" w:rsidP="00D54134">
      <w:pPr>
        <w:spacing w:after="11"/>
        <w:ind w:left="851" w:hanging="567"/>
        <w:rPr>
          <w:rStyle w:val="Mocnowyrniony"/>
          <w:rFonts w:eastAsia="Calibri"/>
          <w:b w:val="0"/>
          <w:bCs w:val="0"/>
          <w:sz w:val="24"/>
          <w:szCs w:val="24"/>
        </w:rPr>
      </w:pPr>
      <w:r>
        <w:rPr>
          <w:rStyle w:val="Mocnowyrniony"/>
          <w:rFonts w:eastAsia="Calibri"/>
          <w:b w:val="0"/>
          <w:bCs w:val="0"/>
          <w:sz w:val="24"/>
          <w:szCs w:val="24"/>
        </w:rPr>
        <w:lastRenderedPageBreak/>
        <w:t>„</w:t>
      </w:r>
      <w:r w:rsidRPr="00D54134">
        <w:rPr>
          <w:rStyle w:val="Mocnowyrniony"/>
          <w:rFonts w:eastAsia="Calibri"/>
          <w:b w:val="0"/>
          <w:bCs w:val="0"/>
          <w:sz w:val="24"/>
          <w:szCs w:val="24"/>
        </w:rPr>
        <w:t>11.</w:t>
      </w:r>
      <w:r w:rsidRPr="00D54134">
        <w:rPr>
          <w:rStyle w:val="Mocnowyrniony"/>
          <w:rFonts w:eastAsia="Calibri"/>
          <w:b w:val="0"/>
          <w:bCs w:val="0"/>
          <w:sz w:val="24"/>
          <w:szCs w:val="24"/>
        </w:rPr>
        <w:tab/>
        <w:t>Ilekroć w niniejszym Paragrafie jest mowa o wadach, to pod tym pojęciem należy rozumieć wady w rozumieniu Kodeksu cywilnego (w tym wady prawne), jak również wady i usterki w rozumieniu ustawy o prawie autorskim i prawach pokrewnych oraz nieprawidłowości i niezgodność przedmiotu Odbioru z wymaganiami określonymi w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 </w:t>
      </w:r>
      <w:r w:rsidRPr="00D54134">
        <w:rPr>
          <w:rStyle w:val="Mocnowyrniony"/>
          <w:rFonts w:eastAsia="Calibri"/>
          <w:b w:val="0"/>
          <w:bCs w:val="0"/>
          <w:sz w:val="24"/>
          <w:szCs w:val="24"/>
        </w:rPr>
        <w:t>Umowie, w tym OPZ i Zamówieniu lub uzgodnionymi przez Strony po zawarciu Umowy. W przypadku odbioru Produktów powstałych w wyniku realizacji Zlecenia w ramach Rozwoju zgłoszone wady mogą dotyczyć jedynie obszaru, który obejmowało Zlecenie.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”.</w:t>
      </w:r>
    </w:p>
    <w:p w14:paraId="3C56B6CF" w14:textId="77777777" w:rsidR="00732956" w:rsidRPr="007747EA" w:rsidRDefault="00732956" w:rsidP="0092392D">
      <w:pPr>
        <w:numPr>
          <w:ilvl w:val="0"/>
          <w:numId w:val="21"/>
        </w:numPr>
        <w:spacing w:before="240" w:after="11"/>
        <w:ind w:left="284" w:hanging="295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 w:rsidRPr="007747EA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W związku z powyższymi zmianami Zamawiający dokonuje zmiany terminu:</w:t>
      </w:r>
    </w:p>
    <w:p w14:paraId="65AFEEE0" w14:textId="3577F292" w:rsidR="00732956" w:rsidRPr="007747EA" w:rsidRDefault="00732956" w:rsidP="00732956">
      <w:pPr>
        <w:numPr>
          <w:ilvl w:val="0"/>
          <w:numId w:val="23"/>
        </w:numPr>
        <w:tabs>
          <w:tab w:val="left" w:pos="0"/>
        </w:tabs>
        <w:spacing w:after="11"/>
        <w:ind w:left="851" w:hanging="436"/>
        <w:rPr>
          <w:rStyle w:val="Mocnowyrniony"/>
          <w:rFonts w:cs="Calibri"/>
          <w:color w:val="000000"/>
          <w:sz w:val="24"/>
          <w:szCs w:val="24"/>
        </w:rPr>
      </w:pPr>
      <w:r w:rsidRPr="007747EA">
        <w:rPr>
          <w:rStyle w:val="Mocnowyrniony"/>
          <w:rFonts w:cs="Calibri"/>
          <w:color w:val="000000"/>
          <w:sz w:val="24"/>
          <w:szCs w:val="24"/>
        </w:rPr>
        <w:t xml:space="preserve">składania ofert na dzień </w:t>
      </w:r>
      <w:r>
        <w:rPr>
          <w:rStyle w:val="Mocnowyrniony"/>
          <w:rFonts w:cs="Calibri"/>
          <w:color w:val="000000"/>
          <w:sz w:val="24"/>
          <w:szCs w:val="24"/>
        </w:rPr>
        <w:t>20.09</w:t>
      </w:r>
      <w:r w:rsidRPr="007747EA">
        <w:rPr>
          <w:rStyle w:val="Mocnowyrniony"/>
          <w:rFonts w:cs="Calibri"/>
          <w:color w:val="000000"/>
          <w:sz w:val="24"/>
          <w:szCs w:val="24"/>
        </w:rPr>
        <w:t>.202</w:t>
      </w:r>
      <w:r>
        <w:rPr>
          <w:rStyle w:val="Mocnowyrniony"/>
          <w:rFonts w:cs="Calibri"/>
          <w:color w:val="000000"/>
          <w:sz w:val="24"/>
          <w:szCs w:val="24"/>
        </w:rPr>
        <w:t>3</w:t>
      </w:r>
      <w:r w:rsidRPr="007747EA">
        <w:rPr>
          <w:rStyle w:val="Mocnowyrniony"/>
          <w:rFonts w:cs="Calibri"/>
          <w:color w:val="000000"/>
          <w:sz w:val="24"/>
          <w:szCs w:val="24"/>
        </w:rPr>
        <w:t xml:space="preserve"> r. godz. 11:00,</w:t>
      </w:r>
    </w:p>
    <w:p w14:paraId="296BF2C0" w14:textId="7D7948E5" w:rsidR="00732956" w:rsidRPr="007747EA" w:rsidRDefault="00732956" w:rsidP="00732956">
      <w:pPr>
        <w:numPr>
          <w:ilvl w:val="0"/>
          <w:numId w:val="23"/>
        </w:numPr>
        <w:tabs>
          <w:tab w:val="left" w:pos="0"/>
        </w:tabs>
        <w:spacing w:after="11"/>
        <w:ind w:left="851" w:hanging="436"/>
        <w:rPr>
          <w:rStyle w:val="Mocnowyrniony"/>
          <w:rFonts w:cs="Calibri"/>
          <w:color w:val="000000"/>
          <w:sz w:val="24"/>
          <w:szCs w:val="24"/>
        </w:rPr>
      </w:pPr>
      <w:r w:rsidRPr="007747EA">
        <w:rPr>
          <w:rStyle w:val="Mocnowyrniony"/>
          <w:rFonts w:cs="Calibri"/>
          <w:color w:val="000000"/>
          <w:sz w:val="24"/>
          <w:szCs w:val="24"/>
        </w:rPr>
        <w:t xml:space="preserve">otwarcia ofert na dzień </w:t>
      </w:r>
      <w:r>
        <w:rPr>
          <w:rStyle w:val="Mocnowyrniony"/>
          <w:rFonts w:cs="Calibri"/>
          <w:color w:val="000000"/>
          <w:sz w:val="24"/>
          <w:szCs w:val="24"/>
        </w:rPr>
        <w:t>20.09</w:t>
      </w:r>
      <w:r w:rsidRPr="007747EA">
        <w:rPr>
          <w:rStyle w:val="Mocnowyrniony"/>
          <w:rFonts w:cs="Calibri"/>
          <w:color w:val="000000"/>
          <w:sz w:val="24"/>
          <w:szCs w:val="24"/>
        </w:rPr>
        <w:t>.202</w:t>
      </w:r>
      <w:r>
        <w:rPr>
          <w:rStyle w:val="Mocnowyrniony"/>
          <w:rFonts w:cs="Calibri"/>
          <w:color w:val="000000"/>
          <w:sz w:val="24"/>
          <w:szCs w:val="24"/>
        </w:rPr>
        <w:t>3</w:t>
      </w:r>
      <w:r w:rsidRPr="007747EA">
        <w:rPr>
          <w:rStyle w:val="Mocnowyrniony"/>
          <w:rFonts w:cs="Calibri"/>
          <w:color w:val="000000"/>
          <w:sz w:val="24"/>
          <w:szCs w:val="24"/>
        </w:rPr>
        <w:t xml:space="preserve"> r. godz. 12:00.</w:t>
      </w:r>
    </w:p>
    <w:p w14:paraId="2D4C6E64" w14:textId="0D9AA3CF" w:rsidR="00732956" w:rsidRPr="007747EA" w:rsidRDefault="00732956" w:rsidP="00732956">
      <w:pPr>
        <w:spacing w:after="11"/>
        <w:ind w:left="284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 w:rsidRPr="007747EA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W konsekwencji zmiany terminu składania i otwarcia ofert Zamawiający dokonuje zmiany następujących zapisów SWZ:</w:t>
      </w:r>
    </w:p>
    <w:p w14:paraId="51388F9D" w14:textId="0307531C" w:rsidR="00732956" w:rsidRDefault="00732956" w:rsidP="00732956">
      <w:pPr>
        <w:numPr>
          <w:ilvl w:val="0"/>
          <w:numId w:val="24"/>
        </w:numPr>
        <w:tabs>
          <w:tab w:val="left" w:pos="0"/>
        </w:tabs>
        <w:spacing w:after="11"/>
        <w:ind w:left="709"/>
        <w:rPr>
          <w:rFonts w:cs="Calibri"/>
          <w:bCs/>
          <w:sz w:val="24"/>
          <w:szCs w:val="24"/>
          <w:lang w:eastAsia="pl-PL"/>
        </w:rPr>
      </w:pPr>
      <w:r w:rsidRPr="00732956">
        <w:rPr>
          <w:rFonts w:cs="Calibri"/>
          <w:bCs/>
          <w:sz w:val="24"/>
          <w:szCs w:val="24"/>
          <w:lang w:eastAsia="pl-PL"/>
        </w:rPr>
        <w:t>Rozdzia</w:t>
      </w:r>
      <w:r w:rsidR="0092392D">
        <w:rPr>
          <w:rFonts w:cs="Calibri"/>
          <w:bCs/>
          <w:sz w:val="24"/>
          <w:szCs w:val="24"/>
          <w:lang w:eastAsia="pl-PL"/>
        </w:rPr>
        <w:t>ł</w:t>
      </w:r>
      <w:r w:rsidRPr="00732956">
        <w:rPr>
          <w:rFonts w:cs="Calibri"/>
          <w:bCs/>
          <w:sz w:val="24"/>
          <w:szCs w:val="24"/>
          <w:lang w:eastAsia="pl-PL"/>
        </w:rPr>
        <w:t xml:space="preserve"> X</w:t>
      </w:r>
      <w:r>
        <w:rPr>
          <w:rFonts w:cs="Calibri"/>
          <w:bCs/>
          <w:sz w:val="24"/>
          <w:szCs w:val="24"/>
          <w:lang w:eastAsia="pl-PL"/>
        </w:rPr>
        <w:t>I</w:t>
      </w:r>
      <w:r w:rsidRPr="00732956">
        <w:rPr>
          <w:rFonts w:cs="Calibri"/>
          <w:bCs/>
          <w:sz w:val="24"/>
          <w:szCs w:val="24"/>
          <w:lang w:eastAsia="pl-PL"/>
        </w:rPr>
        <w:t>. Termin związania ofertą pkt 1 SWZ otrzymuje brzmienie:</w:t>
      </w:r>
      <w:r>
        <w:rPr>
          <w:rFonts w:cs="Calibri"/>
          <w:bCs/>
          <w:sz w:val="24"/>
          <w:szCs w:val="24"/>
          <w:lang w:eastAsia="pl-PL"/>
        </w:rPr>
        <w:t xml:space="preserve"> </w:t>
      </w:r>
    </w:p>
    <w:p w14:paraId="6833C678" w14:textId="5EBBCECD" w:rsidR="00732956" w:rsidRPr="00732956" w:rsidRDefault="00732956" w:rsidP="00732956">
      <w:pPr>
        <w:tabs>
          <w:tab w:val="left" w:pos="0"/>
        </w:tabs>
        <w:spacing w:after="11"/>
        <w:ind w:left="1134" w:hanging="425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„</w:t>
      </w:r>
      <w:r w:rsidRPr="00732956">
        <w:rPr>
          <w:rFonts w:cs="Calibri"/>
          <w:bCs/>
          <w:sz w:val="24"/>
          <w:szCs w:val="24"/>
          <w:lang w:eastAsia="pl-PL"/>
        </w:rPr>
        <w:t>1.</w:t>
      </w:r>
      <w:r w:rsidRPr="00732956">
        <w:rPr>
          <w:rFonts w:cs="Calibri"/>
          <w:bCs/>
          <w:sz w:val="24"/>
          <w:szCs w:val="24"/>
          <w:lang w:eastAsia="pl-PL"/>
        </w:rPr>
        <w:tab/>
        <w:t>Wykonawca jest związany ofertą od dnia upływu terminu składania ofert, przy czym pierwszym dniem terminu związania ofertą jest dzień, w którym upływa termin składania ofert do dnia 1</w:t>
      </w:r>
      <w:r>
        <w:rPr>
          <w:rFonts w:cs="Calibri"/>
          <w:bCs/>
          <w:sz w:val="24"/>
          <w:szCs w:val="24"/>
          <w:lang w:eastAsia="pl-PL"/>
        </w:rPr>
        <w:t>8</w:t>
      </w:r>
      <w:r w:rsidRPr="00732956">
        <w:rPr>
          <w:rFonts w:cs="Calibri"/>
          <w:bCs/>
          <w:sz w:val="24"/>
          <w:szCs w:val="24"/>
          <w:lang w:eastAsia="pl-PL"/>
        </w:rPr>
        <w:t>.12.2023 r.</w:t>
      </w:r>
      <w:r>
        <w:rPr>
          <w:rFonts w:cs="Calibri"/>
          <w:bCs/>
          <w:sz w:val="24"/>
          <w:szCs w:val="24"/>
          <w:lang w:eastAsia="pl-PL"/>
        </w:rPr>
        <w:t>”.</w:t>
      </w:r>
    </w:p>
    <w:p w14:paraId="111DAFED" w14:textId="66024CBB" w:rsidR="00732956" w:rsidRPr="00732956" w:rsidRDefault="00732956" w:rsidP="00732956">
      <w:pPr>
        <w:numPr>
          <w:ilvl w:val="0"/>
          <w:numId w:val="24"/>
        </w:numPr>
        <w:tabs>
          <w:tab w:val="left" w:pos="0"/>
        </w:tabs>
        <w:spacing w:after="11"/>
        <w:ind w:left="709"/>
        <w:rPr>
          <w:rFonts w:cs="Calibri"/>
          <w:bCs/>
          <w:sz w:val="24"/>
          <w:szCs w:val="24"/>
          <w:lang w:eastAsia="ar-SA"/>
        </w:rPr>
      </w:pPr>
      <w:r w:rsidRPr="00732956">
        <w:rPr>
          <w:rFonts w:cs="Calibri"/>
          <w:bCs/>
          <w:sz w:val="24"/>
          <w:szCs w:val="24"/>
          <w:lang w:eastAsia="ar-SA"/>
        </w:rPr>
        <w:t>Rozdzia</w:t>
      </w:r>
      <w:r w:rsidR="0092392D">
        <w:rPr>
          <w:rFonts w:cs="Calibri"/>
          <w:bCs/>
          <w:sz w:val="24"/>
          <w:szCs w:val="24"/>
          <w:lang w:eastAsia="ar-SA"/>
        </w:rPr>
        <w:t>ł</w:t>
      </w:r>
      <w:r w:rsidRPr="00732956">
        <w:rPr>
          <w:rFonts w:cs="Calibri"/>
          <w:bCs/>
          <w:sz w:val="24"/>
          <w:szCs w:val="24"/>
          <w:lang w:eastAsia="ar-SA"/>
        </w:rPr>
        <w:t xml:space="preserve"> XI</w:t>
      </w:r>
      <w:r w:rsidR="0092392D">
        <w:rPr>
          <w:rFonts w:cs="Calibri"/>
          <w:bCs/>
          <w:sz w:val="24"/>
          <w:szCs w:val="24"/>
          <w:lang w:eastAsia="ar-SA"/>
        </w:rPr>
        <w:t>I</w:t>
      </w:r>
      <w:r w:rsidRPr="00732956">
        <w:rPr>
          <w:rFonts w:cs="Calibri"/>
          <w:bCs/>
          <w:sz w:val="24"/>
          <w:szCs w:val="24"/>
          <w:lang w:eastAsia="ar-SA"/>
        </w:rPr>
        <w:t>I. Sposób oraz termin składania ofert pkt 2 SWZ</w:t>
      </w:r>
      <w:r w:rsidR="0092392D">
        <w:rPr>
          <w:rFonts w:cs="Calibri"/>
          <w:bCs/>
          <w:sz w:val="24"/>
          <w:szCs w:val="24"/>
          <w:lang w:eastAsia="ar-SA"/>
        </w:rPr>
        <w:t xml:space="preserve"> otrzymuje brzmienie</w:t>
      </w:r>
      <w:r w:rsidRPr="00732956">
        <w:rPr>
          <w:rFonts w:cs="Calibri"/>
          <w:bCs/>
          <w:sz w:val="24"/>
          <w:szCs w:val="24"/>
          <w:lang w:eastAsia="ar-SA"/>
        </w:rPr>
        <w:t>:</w:t>
      </w:r>
    </w:p>
    <w:p w14:paraId="247AD98B" w14:textId="1048C801" w:rsidR="00732956" w:rsidRPr="0092392D" w:rsidRDefault="0092392D" w:rsidP="0092392D">
      <w:pPr>
        <w:keepNext/>
        <w:tabs>
          <w:tab w:val="left" w:pos="1134"/>
        </w:tabs>
        <w:spacing w:after="0"/>
        <w:ind w:left="709"/>
        <w:rPr>
          <w:rFonts w:eastAsia="Calibri" w:cs="Calibri"/>
          <w:bCs/>
          <w:color w:val="000000"/>
          <w:spacing w:val="-4"/>
          <w:sz w:val="24"/>
          <w:szCs w:val="24"/>
        </w:rPr>
      </w:pPr>
      <w:r w:rsidRPr="0092392D">
        <w:rPr>
          <w:rFonts w:eastAsia="Calibri" w:cs="Calibri"/>
          <w:bCs/>
          <w:color w:val="000000"/>
          <w:spacing w:val="-4"/>
          <w:sz w:val="24"/>
          <w:szCs w:val="24"/>
        </w:rPr>
        <w:t>„2.</w:t>
      </w:r>
      <w:r w:rsidRPr="0092392D">
        <w:rPr>
          <w:rFonts w:eastAsia="Calibri" w:cs="Calibri"/>
          <w:bCs/>
          <w:color w:val="000000"/>
          <w:spacing w:val="-4"/>
          <w:sz w:val="24"/>
          <w:szCs w:val="24"/>
        </w:rPr>
        <w:tab/>
        <w:t>Ofertę wraz z wymaganymi załącznikami należy złożyć w terminie do 20.09.2023 r., do godz. 11:00.”.</w:t>
      </w:r>
    </w:p>
    <w:p w14:paraId="17F86D02" w14:textId="1EDBE89E" w:rsidR="00732956" w:rsidRPr="00732956" w:rsidRDefault="00732956" w:rsidP="00732956">
      <w:pPr>
        <w:numPr>
          <w:ilvl w:val="0"/>
          <w:numId w:val="24"/>
        </w:numPr>
        <w:tabs>
          <w:tab w:val="left" w:pos="0"/>
        </w:tabs>
        <w:spacing w:after="11"/>
        <w:ind w:left="709"/>
        <w:rPr>
          <w:rFonts w:cs="Calibri"/>
          <w:bCs/>
          <w:sz w:val="24"/>
          <w:szCs w:val="24"/>
          <w:lang w:eastAsia="ar-SA"/>
        </w:rPr>
      </w:pPr>
      <w:r w:rsidRPr="00732956">
        <w:rPr>
          <w:rFonts w:cs="Calibri"/>
          <w:bCs/>
          <w:sz w:val="24"/>
          <w:szCs w:val="24"/>
          <w:lang w:eastAsia="ar-SA"/>
        </w:rPr>
        <w:t>Rozdzia</w:t>
      </w:r>
      <w:r w:rsidR="0092392D">
        <w:rPr>
          <w:rFonts w:cs="Calibri"/>
          <w:bCs/>
          <w:sz w:val="24"/>
          <w:szCs w:val="24"/>
          <w:lang w:eastAsia="ar-SA"/>
        </w:rPr>
        <w:t>ł</w:t>
      </w:r>
      <w:r w:rsidRPr="00732956">
        <w:rPr>
          <w:rFonts w:cs="Calibri"/>
          <w:bCs/>
          <w:sz w:val="24"/>
          <w:szCs w:val="24"/>
          <w:lang w:eastAsia="ar-SA"/>
        </w:rPr>
        <w:t xml:space="preserve"> XI</w:t>
      </w:r>
      <w:r w:rsidR="0092392D">
        <w:rPr>
          <w:rFonts w:cs="Calibri"/>
          <w:bCs/>
          <w:sz w:val="24"/>
          <w:szCs w:val="24"/>
          <w:lang w:eastAsia="ar-SA"/>
        </w:rPr>
        <w:t>V</w:t>
      </w:r>
      <w:r w:rsidRPr="00732956">
        <w:rPr>
          <w:rFonts w:cs="Calibri"/>
          <w:bCs/>
          <w:sz w:val="24"/>
          <w:szCs w:val="24"/>
          <w:lang w:eastAsia="ar-SA"/>
        </w:rPr>
        <w:t xml:space="preserve">. </w:t>
      </w:r>
      <w:r w:rsidRPr="00732956">
        <w:rPr>
          <w:rFonts w:cs="Calibri"/>
          <w:bCs/>
          <w:sz w:val="24"/>
          <w:szCs w:val="24"/>
        </w:rPr>
        <w:t>Termin otwarcia ofert</w:t>
      </w:r>
      <w:r w:rsidRPr="00732956">
        <w:rPr>
          <w:rFonts w:cs="Calibri"/>
          <w:bCs/>
          <w:sz w:val="24"/>
          <w:szCs w:val="24"/>
          <w:lang w:eastAsia="ar-SA"/>
        </w:rPr>
        <w:t xml:space="preserve"> pkt 1 SWZ</w:t>
      </w:r>
      <w:r w:rsidR="0092392D">
        <w:rPr>
          <w:rFonts w:cs="Calibri"/>
          <w:bCs/>
          <w:sz w:val="24"/>
          <w:szCs w:val="24"/>
          <w:lang w:eastAsia="ar-SA"/>
        </w:rPr>
        <w:t xml:space="preserve"> otrzymuje brzmienie</w:t>
      </w:r>
      <w:r w:rsidRPr="00732956">
        <w:rPr>
          <w:rFonts w:cs="Calibri"/>
          <w:bCs/>
          <w:sz w:val="24"/>
          <w:szCs w:val="24"/>
          <w:lang w:eastAsia="ar-SA"/>
        </w:rPr>
        <w:t xml:space="preserve">: </w:t>
      </w:r>
    </w:p>
    <w:p w14:paraId="1D946E1A" w14:textId="534E491A" w:rsidR="00732956" w:rsidRPr="00732956" w:rsidRDefault="0092392D" w:rsidP="0092392D">
      <w:pPr>
        <w:pStyle w:val="Akapitzlist"/>
        <w:autoSpaceDE w:val="0"/>
        <w:autoSpaceDN w:val="0"/>
        <w:adjustRightInd w:val="0"/>
        <w:spacing w:after="0"/>
        <w:ind w:left="1134" w:hanging="425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„</w:t>
      </w:r>
      <w:r w:rsidRPr="0092392D">
        <w:rPr>
          <w:rFonts w:cs="Calibri"/>
          <w:bCs/>
          <w:color w:val="000000"/>
          <w:sz w:val="24"/>
          <w:szCs w:val="24"/>
        </w:rPr>
        <w:t>1.</w:t>
      </w:r>
      <w:r w:rsidRPr="0092392D">
        <w:rPr>
          <w:rFonts w:cs="Calibri"/>
          <w:bCs/>
          <w:color w:val="000000"/>
          <w:sz w:val="24"/>
          <w:szCs w:val="24"/>
        </w:rPr>
        <w:tab/>
        <w:t>Otwarcie ofert nastąpi niezwłocznie po upływie terminu składania Ofert, tj.</w:t>
      </w:r>
      <w:r>
        <w:rPr>
          <w:rFonts w:cs="Calibri"/>
          <w:bCs/>
          <w:color w:val="000000"/>
          <w:sz w:val="24"/>
          <w:szCs w:val="24"/>
        </w:rPr>
        <w:t> </w:t>
      </w:r>
      <w:r w:rsidRPr="0092392D">
        <w:rPr>
          <w:rFonts w:cs="Calibri"/>
          <w:bCs/>
          <w:color w:val="000000"/>
          <w:sz w:val="24"/>
          <w:szCs w:val="24"/>
        </w:rPr>
        <w:t>w</w:t>
      </w:r>
      <w:r>
        <w:rPr>
          <w:rFonts w:cs="Calibri"/>
          <w:bCs/>
          <w:color w:val="000000"/>
          <w:sz w:val="24"/>
          <w:szCs w:val="24"/>
        </w:rPr>
        <w:t> </w:t>
      </w:r>
      <w:r w:rsidRPr="0092392D">
        <w:rPr>
          <w:rFonts w:cs="Calibri"/>
          <w:bCs/>
          <w:color w:val="000000"/>
          <w:sz w:val="24"/>
          <w:szCs w:val="24"/>
        </w:rPr>
        <w:t xml:space="preserve">dniu </w:t>
      </w:r>
      <w:r>
        <w:rPr>
          <w:rFonts w:cs="Calibri"/>
          <w:bCs/>
          <w:color w:val="000000"/>
          <w:sz w:val="24"/>
          <w:szCs w:val="24"/>
        </w:rPr>
        <w:t>20</w:t>
      </w:r>
      <w:r w:rsidRPr="0092392D">
        <w:rPr>
          <w:rFonts w:cs="Calibri"/>
          <w:bCs/>
          <w:color w:val="000000"/>
          <w:sz w:val="24"/>
          <w:szCs w:val="24"/>
        </w:rPr>
        <w:t>.09.2023 r. o godz. 12:00 Otwarcie Ofert dokonywane jest przez odszyfrowanie i otwarcie Ofert.</w:t>
      </w:r>
      <w:r w:rsidR="00732956" w:rsidRPr="00732956">
        <w:rPr>
          <w:rFonts w:cs="Calibri"/>
          <w:bCs/>
          <w:color w:val="000000"/>
          <w:sz w:val="24"/>
          <w:szCs w:val="24"/>
        </w:rPr>
        <w:t>”</w:t>
      </w:r>
      <w:r>
        <w:rPr>
          <w:rFonts w:cs="Calibri"/>
          <w:bCs/>
          <w:color w:val="000000"/>
          <w:sz w:val="24"/>
          <w:szCs w:val="24"/>
        </w:rPr>
        <w:t>.</w:t>
      </w:r>
    </w:p>
    <w:p w14:paraId="6250913E" w14:textId="77777777" w:rsidR="00732956" w:rsidRPr="00732956" w:rsidRDefault="00732956" w:rsidP="00732956">
      <w:pPr>
        <w:spacing w:after="11"/>
        <w:ind w:left="709"/>
        <w:rPr>
          <w:rStyle w:val="Mocnowyrniony"/>
          <w:rFonts w:cs="Calibri"/>
          <w:b w:val="0"/>
          <w:color w:val="000000"/>
          <w:sz w:val="24"/>
          <w:szCs w:val="24"/>
        </w:rPr>
      </w:pPr>
    </w:p>
    <w:p w14:paraId="1BF2FB3C" w14:textId="47E0E166" w:rsidR="001000AA" w:rsidRPr="00072FF4" w:rsidRDefault="00732956" w:rsidP="00732956">
      <w:pPr>
        <w:spacing w:after="120"/>
        <w:rPr>
          <w:rFonts w:cs="Calibri"/>
          <w:sz w:val="24"/>
          <w:szCs w:val="24"/>
          <w:lang w:eastAsia="pl-PL"/>
        </w:rPr>
      </w:pPr>
      <w:r w:rsidRPr="007747EA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Pozostałe zapisy SWZ nie ulegają zmianie.</w:t>
      </w:r>
    </w:p>
    <w:sectPr w:rsidR="001000AA" w:rsidRPr="00072FF4" w:rsidSect="001000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134" w:footer="125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9BB9" w14:textId="77777777" w:rsidR="00B05137" w:rsidRDefault="00B05137">
      <w:pPr>
        <w:spacing w:after="0" w:line="240" w:lineRule="auto"/>
      </w:pPr>
      <w:r>
        <w:separator/>
      </w:r>
    </w:p>
  </w:endnote>
  <w:endnote w:type="continuationSeparator" w:id="0">
    <w:p w14:paraId="359DB7FA" w14:textId="77777777" w:rsidR="00B05137" w:rsidRDefault="00B0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47A57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5023295" wp14:editId="005B5B45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5" name="Obraz 25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AC02B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7358AC0" wp14:editId="0C18D393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27" name="Obraz 2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D5B72" w14:textId="77777777" w:rsidR="00B05137" w:rsidRDefault="00B051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133A13" w14:textId="77777777" w:rsidR="00B05137" w:rsidRDefault="00B0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CE94" w14:textId="77777777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3165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BC91113" wp14:editId="7BA0E9C8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9E541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903D6"/>
    <w:multiLevelType w:val="hybridMultilevel"/>
    <w:tmpl w:val="F68A95A2"/>
    <w:lvl w:ilvl="0" w:tplc="8D30DC3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D7E12"/>
    <w:multiLevelType w:val="hybridMultilevel"/>
    <w:tmpl w:val="A8DC70FC"/>
    <w:lvl w:ilvl="0" w:tplc="DB784404">
      <w:start w:val="1"/>
      <w:numFmt w:val="lowerRoman"/>
      <w:lvlText w:val="%1."/>
      <w:lvlJc w:val="righ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35C12"/>
    <w:multiLevelType w:val="hybridMultilevel"/>
    <w:tmpl w:val="DDB2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76998"/>
    <w:multiLevelType w:val="hybridMultilevel"/>
    <w:tmpl w:val="4B546A3C"/>
    <w:lvl w:ilvl="0" w:tplc="226830D2">
      <w:start w:val="1"/>
      <w:numFmt w:val="lowerLetter"/>
      <w:lvlText w:val="%1)"/>
      <w:lvlJc w:val="left"/>
      <w:pPr>
        <w:ind w:left="3479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C6F47"/>
    <w:multiLevelType w:val="hybridMultilevel"/>
    <w:tmpl w:val="A53216D2"/>
    <w:lvl w:ilvl="0" w:tplc="0415000B">
      <w:start w:val="1"/>
      <w:numFmt w:val="bullet"/>
      <w:lvlText w:val=""/>
      <w:lvlJc w:val="left"/>
      <w:pPr>
        <w:ind w:left="1080" w:hanging="72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8D3CEC"/>
    <w:multiLevelType w:val="hybridMultilevel"/>
    <w:tmpl w:val="496E92F0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4"/>
  </w:num>
  <w:num w:numId="5">
    <w:abstractNumId w:val="1"/>
  </w:num>
  <w:num w:numId="6">
    <w:abstractNumId w:val="18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22"/>
  </w:num>
  <w:num w:numId="12">
    <w:abstractNumId w:val="21"/>
  </w:num>
  <w:num w:numId="13">
    <w:abstractNumId w:val="15"/>
  </w:num>
  <w:num w:numId="14">
    <w:abstractNumId w:val="11"/>
  </w:num>
  <w:num w:numId="15">
    <w:abstractNumId w:val="13"/>
  </w:num>
  <w:num w:numId="16">
    <w:abstractNumId w:val="20"/>
  </w:num>
  <w:num w:numId="17">
    <w:abstractNumId w:val="23"/>
  </w:num>
  <w:num w:numId="18">
    <w:abstractNumId w:val="12"/>
  </w:num>
  <w:num w:numId="19">
    <w:abstractNumId w:val="9"/>
  </w:num>
  <w:num w:numId="20">
    <w:abstractNumId w:val="4"/>
  </w:num>
  <w:num w:numId="21">
    <w:abstractNumId w:val="2"/>
  </w:num>
  <w:num w:numId="22">
    <w:abstractNumId w:val="7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72FF4"/>
    <w:rsid w:val="00091E7E"/>
    <w:rsid w:val="00092842"/>
    <w:rsid w:val="000A34FB"/>
    <w:rsid w:val="000B09F4"/>
    <w:rsid w:val="001000AA"/>
    <w:rsid w:val="00132623"/>
    <w:rsid w:val="0014029D"/>
    <w:rsid w:val="00161E95"/>
    <w:rsid w:val="00163201"/>
    <w:rsid w:val="00181466"/>
    <w:rsid w:val="001E4E74"/>
    <w:rsid w:val="002461E7"/>
    <w:rsid w:val="00265742"/>
    <w:rsid w:val="002A3319"/>
    <w:rsid w:val="002D2710"/>
    <w:rsid w:val="002E0D36"/>
    <w:rsid w:val="0032268E"/>
    <w:rsid w:val="00323140"/>
    <w:rsid w:val="003273A8"/>
    <w:rsid w:val="0033435F"/>
    <w:rsid w:val="00342BCC"/>
    <w:rsid w:val="003436A6"/>
    <w:rsid w:val="00366262"/>
    <w:rsid w:val="00387E8F"/>
    <w:rsid w:val="003B48DF"/>
    <w:rsid w:val="003B68DC"/>
    <w:rsid w:val="003E5F06"/>
    <w:rsid w:val="0041072C"/>
    <w:rsid w:val="004124EF"/>
    <w:rsid w:val="0043376A"/>
    <w:rsid w:val="00454EFE"/>
    <w:rsid w:val="00496CB5"/>
    <w:rsid w:val="004D7961"/>
    <w:rsid w:val="00502415"/>
    <w:rsid w:val="005070F0"/>
    <w:rsid w:val="00542D99"/>
    <w:rsid w:val="00546DEE"/>
    <w:rsid w:val="00567974"/>
    <w:rsid w:val="005B2D4A"/>
    <w:rsid w:val="005B4445"/>
    <w:rsid w:val="005E09D8"/>
    <w:rsid w:val="00620F16"/>
    <w:rsid w:val="0062731B"/>
    <w:rsid w:val="00633FB3"/>
    <w:rsid w:val="00644574"/>
    <w:rsid w:val="00645141"/>
    <w:rsid w:val="006771E9"/>
    <w:rsid w:val="006B3880"/>
    <w:rsid w:val="006E60D7"/>
    <w:rsid w:val="00732956"/>
    <w:rsid w:val="0079581E"/>
    <w:rsid w:val="007C0BE1"/>
    <w:rsid w:val="007D1C8E"/>
    <w:rsid w:val="007E2C1D"/>
    <w:rsid w:val="007E3988"/>
    <w:rsid w:val="0080060F"/>
    <w:rsid w:val="008202B0"/>
    <w:rsid w:val="00821B19"/>
    <w:rsid w:val="00825AE5"/>
    <w:rsid w:val="008613BA"/>
    <w:rsid w:val="00866193"/>
    <w:rsid w:val="00894D9E"/>
    <w:rsid w:val="008A2B98"/>
    <w:rsid w:val="008C0DD2"/>
    <w:rsid w:val="008C39CF"/>
    <w:rsid w:val="008C6298"/>
    <w:rsid w:val="008F09E6"/>
    <w:rsid w:val="0092392D"/>
    <w:rsid w:val="0092417A"/>
    <w:rsid w:val="0092652F"/>
    <w:rsid w:val="009269D2"/>
    <w:rsid w:val="00945190"/>
    <w:rsid w:val="00946765"/>
    <w:rsid w:val="009640ED"/>
    <w:rsid w:val="00990130"/>
    <w:rsid w:val="009F3223"/>
    <w:rsid w:val="00A23326"/>
    <w:rsid w:val="00A45B62"/>
    <w:rsid w:val="00A94D81"/>
    <w:rsid w:val="00AA1C80"/>
    <w:rsid w:val="00AC1539"/>
    <w:rsid w:val="00AE259D"/>
    <w:rsid w:val="00B04DF2"/>
    <w:rsid w:val="00B05137"/>
    <w:rsid w:val="00B26F75"/>
    <w:rsid w:val="00B66B2F"/>
    <w:rsid w:val="00B71470"/>
    <w:rsid w:val="00B90A5A"/>
    <w:rsid w:val="00BB2DFC"/>
    <w:rsid w:val="00BD2BDD"/>
    <w:rsid w:val="00C72B8F"/>
    <w:rsid w:val="00C75EF1"/>
    <w:rsid w:val="00CA409C"/>
    <w:rsid w:val="00CB4758"/>
    <w:rsid w:val="00D44CF7"/>
    <w:rsid w:val="00D526F6"/>
    <w:rsid w:val="00D54134"/>
    <w:rsid w:val="00D6570A"/>
    <w:rsid w:val="00D9647D"/>
    <w:rsid w:val="00DF0878"/>
    <w:rsid w:val="00E01178"/>
    <w:rsid w:val="00E302A6"/>
    <w:rsid w:val="00E441DC"/>
    <w:rsid w:val="00EA01DA"/>
    <w:rsid w:val="00EC5246"/>
    <w:rsid w:val="00EE2184"/>
    <w:rsid w:val="00F21BFA"/>
    <w:rsid w:val="00F4062E"/>
    <w:rsid w:val="00F43CA8"/>
    <w:rsid w:val="00F97517"/>
    <w:rsid w:val="00FA1C80"/>
    <w:rsid w:val="00FA6CB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4D31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E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E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75EF1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75EF1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basedOn w:val="Normalny"/>
    <w:rsid w:val="00496CB5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A8"/>
    <w:rPr>
      <w:sz w:val="16"/>
      <w:szCs w:val="16"/>
    </w:rPr>
  </w:style>
  <w:style w:type="character" w:customStyle="1" w:styleId="Mocnowyrniony">
    <w:name w:val="Mocno wyróżniony"/>
    <w:qFormat/>
    <w:rsid w:val="00100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1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2</cp:revision>
  <cp:lastPrinted>2023-09-06T12:45:00Z</cp:lastPrinted>
  <dcterms:created xsi:type="dcterms:W3CDTF">2023-09-11T08:40:00Z</dcterms:created>
  <dcterms:modified xsi:type="dcterms:W3CDTF">2023-09-11T08:40:00Z</dcterms:modified>
</cp:coreProperties>
</file>