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408F0" w14:textId="1713B8A1" w:rsidR="00746809" w:rsidRPr="00746809" w:rsidRDefault="00746809" w:rsidP="00746809">
      <w:pPr>
        <w:pStyle w:val="Lista"/>
        <w:spacing w:after="0"/>
        <w:jc w:val="center"/>
        <w:rPr>
          <w:rFonts w:cs="Times New Roman"/>
          <w:b/>
          <w:snapToGrid w:val="0"/>
          <w:webHidden/>
        </w:rPr>
      </w:pPr>
      <w:r w:rsidRPr="00746809">
        <w:rPr>
          <w:rFonts w:cs="Times New Roman"/>
          <w:b/>
          <w:snapToGrid w:val="0"/>
          <w:webHidden/>
        </w:rPr>
        <w:t>OPIS PRZEDMIOTU ZAMÓWIENIA</w:t>
      </w:r>
    </w:p>
    <w:p w14:paraId="6277B55A" w14:textId="77777777" w:rsidR="00746809" w:rsidRPr="00026DB9" w:rsidRDefault="00746809" w:rsidP="00746809">
      <w:pPr>
        <w:pStyle w:val="Lista"/>
        <w:spacing w:after="0"/>
        <w:jc w:val="both"/>
        <w:rPr>
          <w:rFonts w:cs="Times New Roman"/>
          <w:b/>
          <w:bCs/>
          <w:snapToGrid w:val="0"/>
        </w:rPr>
      </w:pPr>
    </w:p>
    <w:p w14:paraId="2575398E" w14:textId="77777777" w:rsidR="00746809" w:rsidRPr="00026DB9" w:rsidRDefault="00746809" w:rsidP="008216CE">
      <w:pPr>
        <w:pStyle w:val="Lista"/>
        <w:rPr>
          <w:rFonts w:cs="Times New Roman"/>
          <w:b/>
          <w:bCs/>
          <w:snapToGrid w:val="0"/>
        </w:rPr>
      </w:pPr>
      <w:r w:rsidRPr="00026DB9">
        <w:rPr>
          <w:rFonts w:cs="Times New Roman"/>
          <w:b/>
          <w:bCs/>
          <w:snapToGrid w:val="0"/>
        </w:rPr>
        <w:t>„</w:t>
      </w:r>
      <w:r w:rsidRPr="000C5070">
        <w:rPr>
          <w:rFonts w:cs="Times New Roman"/>
          <w:b/>
          <w:bCs/>
          <w:snapToGrid w:val="0"/>
        </w:rPr>
        <w:t>Zakup komputerów dla szkół podstawowych do zdalnego nauczania - przeciwdziałanie i zwalczanie wirusa COVID-19 (zdalna szkoła - wsparcie Ogólnopolskiej Sieci Edukacyjnej w systemie kształcenia zdalnego)</w:t>
      </w:r>
      <w:r>
        <w:rPr>
          <w:rFonts w:cs="Times New Roman"/>
          <w:b/>
          <w:bCs/>
          <w:snapToGrid w:val="0"/>
        </w:rPr>
        <w:t>.</w:t>
      </w:r>
      <w:r w:rsidRPr="00026DB9">
        <w:rPr>
          <w:rFonts w:cs="Times New Roman"/>
          <w:b/>
          <w:bCs/>
          <w:snapToGrid w:val="0"/>
        </w:rPr>
        <w:t>”</w:t>
      </w:r>
    </w:p>
    <w:p w14:paraId="108A00C6" w14:textId="01C81665" w:rsidR="00211D77" w:rsidRDefault="00746809" w:rsidP="008216CE">
      <w:pPr>
        <w:pStyle w:val="Lista"/>
        <w:spacing w:after="0"/>
      </w:pPr>
      <w:r>
        <w:rPr>
          <w:rFonts w:cs="Times New Roman"/>
          <w:bCs/>
          <w:snapToGrid w:val="0"/>
          <w:webHidden/>
        </w:rPr>
        <w:t xml:space="preserve">Kod CPV:  </w:t>
      </w:r>
      <w:r w:rsidRPr="000C5070">
        <w:rPr>
          <w:bCs/>
          <w:snapToGrid w:val="0"/>
        </w:rPr>
        <w:t>30213100-6</w:t>
      </w:r>
      <w:r>
        <w:rPr>
          <w:bCs/>
          <w:snapToGrid w:val="0"/>
        </w:rPr>
        <w:t xml:space="preserve"> Komputery przenośne</w:t>
      </w:r>
    </w:p>
    <w:p w14:paraId="51C21976" w14:textId="1E57A99F" w:rsidR="00746809" w:rsidRDefault="00746809" w:rsidP="008216CE"/>
    <w:p w14:paraId="05FB4ACB" w14:textId="093367EB" w:rsidR="00823DE0" w:rsidRDefault="00823DE0" w:rsidP="008216CE">
      <w:pPr>
        <w:rPr>
          <w:rFonts w:cstheme="minorHAnsi"/>
          <w:sz w:val="24"/>
          <w:szCs w:val="24"/>
        </w:rPr>
      </w:pPr>
      <w:r w:rsidRPr="00171073">
        <w:rPr>
          <w:b/>
          <w:color w:val="0070C0"/>
        </w:rPr>
        <w:t xml:space="preserve">Przedmiotem zamówienia jest dostawa 33 komputerów </w:t>
      </w:r>
      <w:r w:rsidR="00171073" w:rsidRPr="00171073">
        <w:rPr>
          <w:rFonts w:cstheme="minorHAnsi"/>
          <w:b/>
          <w:color w:val="0070C0"/>
          <w:sz w:val="24"/>
          <w:szCs w:val="24"/>
        </w:rPr>
        <w:t>przenośnych typu notebook</w:t>
      </w:r>
      <w:r w:rsidR="00171073">
        <w:rPr>
          <w:rFonts w:cstheme="minorHAnsi"/>
          <w:sz w:val="24"/>
          <w:szCs w:val="24"/>
        </w:rPr>
        <w:t xml:space="preserve">. </w:t>
      </w:r>
    </w:p>
    <w:p w14:paraId="1426673C" w14:textId="3B0F6D32" w:rsidR="00171073" w:rsidRDefault="00171073" w:rsidP="008216C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Wykonawca dostarczy przedmiot zamówienia w miejsce wskazane przez Zamawiającego. </w:t>
      </w:r>
      <w:r w:rsidRPr="00171073">
        <w:rPr>
          <w:rFonts w:cstheme="minorHAnsi"/>
          <w:color w:val="0070C0"/>
          <w:sz w:val="24"/>
          <w:szCs w:val="24"/>
        </w:rPr>
        <w:t>Koszty dostawy należy wkalkulować w cenę całkowitą oferty.</w:t>
      </w:r>
      <w:bookmarkStart w:id="0" w:name="_GoBack"/>
      <w:bookmarkEnd w:id="0"/>
    </w:p>
    <w:p w14:paraId="018DE178" w14:textId="1328AF34" w:rsidR="00171073" w:rsidRDefault="00171073" w:rsidP="008216CE">
      <w:r>
        <w:rPr>
          <w:rFonts w:cstheme="minorHAnsi"/>
          <w:sz w:val="24"/>
          <w:szCs w:val="24"/>
        </w:rPr>
        <w:t>Adres dostawy: Białe Błota, ul. Czysta 1a (Szkoła Podstawowa im. Mariana Rejewskiego)</w:t>
      </w:r>
    </w:p>
    <w:tbl>
      <w:tblPr>
        <w:tblW w:w="10418" w:type="dxa"/>
        <w:jc w:val="center"/>
        <w:tblLook w:val="04A0" w:firstRow="1" w:lastRow="0" w:firstColumn="1" w:lastColumn="0" w:noHBand="0" w:noVBand="1"/>
      </w:tblPr>
      <w:tblGrid>
        <w:gridCol w:w="444"/>
        <w:gridCol w:w="1749"/>
        <w:gridCol w:w="8225"/>
      </w:tblGrid>
      <w:tr w:rsidR="00746809" w:rsidRPr="004F7F5C" w14:paraId="29900CC8" w14:textId="77777777" w:rsidTr="00E4732C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15" w:type="dxa"/>
              <w:left w:w="71" w:type="dxa"/>
              <w:bottom w:w="15" w:type="dxa"/>
              <w:right w:w="71" w:type="dxa"/>
            </w:tcMar>
            <w:vAlign w:val="center"/>
            <w:hideMark/>
          </w:tcPr>
          <w:p w14:paraId="6299F3BC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15" w:type="dxa"/>
              <w:left w:w="71" w:type="dxa"/>
              <w:bottom w:w="15" w:type="dxa"/>
              <w:right w:w="71" w:type="dxa"/>
            </w:tcMar>
            <w:vAlign w:val="center"/>
            <w:hideMark/>
          </w:tcPr>
          <w:p w14:paraId="472850F5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Nazwa komponentu</w:t>
            </w:r>
          </w:p>
        </w:tc>
        <w:tc>
          <w:tcPr>
            <w:tcW w:w="8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15" w:type="dxa"/>
              <w:left w:w="71" w:type="dxa"/>
              <w:bottom w:w="15" w:type="dxa"/>
              <w:right w:w="71" w:type="dxa"/>
            </w:tcMar>
            <w:vAlign w:val="center"/>
            <w:hideMark/>
          </w:tcPr>
          <w:p w14:paraId="70B6A2CA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ind w:left="-6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Wymagane minimalne parametry techniczne komputerów</w:t>
            </w:r>
          </w:p>
        </w:tc>
      </w:tr>
      <w:tr w:rsidR="00746809" w:rsidRPr="004F7F5C" w14:paraId="40ABC15B" w14:textId="77777777" w:rsidTr="00E4732C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16470FA1" w14:textId="77777777" w:rsidR="00746809" w:rsidRPr="004F7F5C" w:rsidRDefault="00746809" w:rsidP="008216C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3F2F4517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Typ</w:t>
            </w:r>
          </w:p>
        </w:tc>
        <w:tc>
          <w:tcPr>
            <w:tcW w:w="8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137A66A3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Komputer przenośny typu notebook z ekranem 15" o rozdzielczości:</w:t>
            </w:r>
          </w:p>
          <w:p w14:paraId="59C0488A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HD (1366x768) w technologii LED przeciwodblaskowy</w:t>
            </w:r>
          </w:p>
        </w:tc>
      </w:tr>
      <w:tr w:rsidR="00746809" w:rsidRPr="004F7F5C" w14:paraId="55AF5597" w14:textId="77777777" w:rsidTr="00E4732C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18259721" w14:textId="77777777" w:rsidR="00746809" w:rsidRPr="004F7F5C" w:rsidRDefault="00746809" w:rsidP="008216C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75238302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Zastosowanie</w:t>
            </w:r>
          </w:p>
        </w:tc>
        <w:tc>
          <w:tcPr>
            <w:tcW w:w="8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6E65E281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Komputer będzie wykorzystywany dla potrzeb aplikacji biurowych, aplikacji edukacyjnych, aplikacji obliczeniowych, dostępu do </w:t>
            </w:r>
            <w:proofErr w:type="spellStart"/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internetu</w:t>
            </w:r>
            <w:proofErr w:type="spellEnd"/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 oraz poczty elektronicznej jako lokalna baza danych, stacja programistyczna</w:t>
            </w:r>
          </w:p>
        </w:tc>
      </w:tr>
      <w:tr w:rsidR="00746809" w:rsidRPr="004F7F5C" w14:paraId="24DEBF4C" w14:textId="77777777" w:rsidTr="00E4732C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42735CE5" w14:textId="77777777" w:rsidR="00746809" w:rsidRPr="004F7F5C" w:rsidRDefault="00746809" w:rsidP="008216C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3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5EBF8B44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Procesor</w:t>
            </w:r>
          </w:p>
        </w:tc>
        <w:tc>
          <w:tcPr>
            <w:tcW w:w="8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754E93E1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Procesor klasy x86, 2 rdzeniowy, zaprojektowany do pracy w komputerach przenośnych, taktowany zegarem, co najmniej 2,20 GHz, z pamięcią cache L3 co najmniej 4 MB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628C1952" w14:textId="0453BA0C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Zaoferowany procesor musi uzyskiwać jednocześnie w teście </w:t>
            </w:r>
            <w:proofErr w:type="spellStart"/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Passmark</w:t>
            </w:r>
            <w:proofErr w:type="spellEnd"/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 CPU Mark v10 wynik min.: 5260 punktów (wynik zaproponowanego procesora musi znajdować się na stronie </w:t>
            </w:r>
            <w:hyperlink r:id="rId5" w:history="1">
              <w:r w:rsidRPr="004F7F5C">
                <w:rPr>
                  <w:rStyle w:val="Hipercze"/>
                  <w:rFonts w:asciiTheme="majorHAnsi" w:hAnsiTheme="majorHAnsi" w:cstheme="majorHAnsi"/>
                  <w:sz w:val="24"/>
                  <w:szCs w:val="24"/>
                </w:rPr>
                <w:t>http://www.cpubenchmark.net</w:t>
              </w:r>
            </w:hyperlink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 ) – </w:t>
            </w:r>
            <w:r w:rsidR="008216CE" w:rsidRPr="008216CE">
              <w:rPr>
                <w:rFonts w:asciiTheme="majorHAnsi" w:hAnsiTheme="majorHAnsi" w:cstheme="majorHAnsi"/>
                <w:b/>
                <w:color w:val="0070C0"/>
                <w:sz w:val="24"/>
                <w:szCs w:val="24"/>
              </w:rPr>
              <w:t xml:space="preserve">zaleca się załączenie </w:t>
            </w:r>
            <w:r w:rsidRPr="008216CE">
              <w:rPr>
                <w:rFonts w:asciiTheme="majorHAnsi" w:hAnsiTheme="majorHAnsi" w:cstheme="majorHAnsi"/>
                <w:b/>
                <w:color w:val="0070C0"/>
                <w:sz w:val="24"/>
                <w:szCs w:val="24"/>
              </w:rPr>
              <w:t>wydruk</w:t>
            </w:r>
            <w:r w:rsidR="008216CE" w:rsidRPr="008216CE">
              <w:rPr>
                <w:rFonts w:asciiTheme="majorHAnsi" w:hAnsiTheme="majorHAnsi" w:cstheme="majorHAnsi"/>
                <w:b/>
                <w:color w:val="0070C0"/>
                <w:sz w:val="24"/>
                <w:szCs w:val="24"/>
              </w:rPr>
              <w:t>u</w:t>
            </w:r>
            <w:r w:rsidRPr="008216CE">
              <w:rPr>
                <w:rFonts w:asciiTheme="majorHAnsi" w:hAnsiTheme="majorHAnsi" w:cstheme="majorHAnsi"/>
                <w:b/>
                <w:color w:val="0070C0"/>
                <w:sz w:val="24"/>
                <w:szCs w:val="24"/>
              </w:rPr>
              <w:t xml:space="preserve"> ze strony do oferty.</w:t>
            </w: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 </w:t>
            </w:r>
          </w:p>
          <w:p w14:paraId="33B43EEC" w14:textId="58118E60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W przypadku użycia przez </w:t>
            </w:r>
            <w:r w:rsidR="008216CE">
              <w:rPr>
                <w:rFonts w:asciiTheme="majorHAnsi" w:hAnsiTheme="majorHAnsi" w:cstheme="majorHAnsi"/>
                <w:sz w:val="24"/>
                <w:szCs w:val="24"/>
              </w:rPr>
              <w:t>Wykonawcę</w:t>
            </w: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 testów wydajności Zamawiający zastrzega sobie, iż w celu sprawdzenia poprawności przeprowadzenia testów </w:t>
            </w:r>
            <w:r w:rsidR="008216CE">
              <w:rPr>
                <w:rFonts w:asciiTheme="majorHAnsi" w:hAnsiTheme="majorHAnsi" w:cstheme="majorHAnsi"/>
                <w:sz w:val="24"/>
                <w:szCs w:val="24"/>
              </w:rPr>
              <w:t>Wykonawca</w:t>
            </w: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 musi dostarczyć zamawiającemu oprogramowanie testujące, oba równoważne porównywalne zestawy oraz dokładny opis użytych testów wraz z wynikami w celu ich sprawdzenia w terminie nie dłuższym niż 3 dni od otrzymania zawiadomienia od zamawiającego.</w:t>
            </w:r>
          </w:p>
        </w:tc>
      </w:tr>
      <w:tr w:rsidR="00746809" w:rsidRPr="004F7F5C" w14:paraId="34C69246" w14:textId="77777777" w:rsidTr="00E4732C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105D9F1A" w14:textId="77777777" w:rsidR="00746809" w:rsidRPr="004F7F5C" w:rsidRDefault="00746809" w:rsidP="008216C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72AD6FC6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Pamięć operacyjna RAM</w:t>
            </w:r>
          </w:p>
        </w:tc>
        <w:tc>
          <w:tcPr>
            <w:tcW w:w="8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02A5FC24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1 x 8GB DDR4-2666</w:t>
            </w:r>
          </w:p>
        </w:tc>
      </w:tr>
      <w:tr w:rsidR="00746809" w:rsidRPr="004F7F5C" w14:paraId="38997F07" w14:textId="77777777" w:rsidTr="00E4732C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40E64CD1" w14:textId="77777777" w:rsidR="00746809" w:rsidRPr="004F7F5C" w:rsidRDefault="00746809" w:rsidP="008216C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5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5E1DC00C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Parametry pamięci masowej</w:t>
            </w:r>
          </w:p>
        </w:tc>
        <w:tc>
          <w:tcPr>
            <w:tcW w:w="8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365D6932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Min. 256 GB SSD </w:t>
            </w:r>
          </w:p>
        </w:tc>
      </w:tr>
      <w:tr w:rsidR="00746809" w:rsidRPr="004F7F5C" w14:paraId="02857A7C" w14:textId="77777777" w:rsidTr="00E4732C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73AAFD8A" w14:textId="77777777" w:rsidR="00746809" w:rsidRPr="004F7F5C" w:rsidRDefault="00746809" w:rsidP="008216C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6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01CD9AB6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Karta graficzna</w:t>
            </w:r>
          </w:p>
        </w:tc>
        <w:tc>
          <w:tcPr>
            <w:tcW w:w="8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47B4EA18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Zintegrowana w procesorze z możliwością dynamicznego przydzielenia pamięci systemowej, ze sprzętowym wsparciem dla DirectX 12, wyposażona w min 32 jednostki wykonawcze (EU) oraz taktowania na poziomie min. 900 MHz.</w:t>
            </w:r>
          </w:p>
        </w:tc>
      </w:tr>
      <w:tr w:rsidR="00746809" w:rsidRPr="004F7F5C" w14:paraId="4595C9B7" w14:textId="77777777" w:rsidTr="00E4732C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55B89068" w14:textId="77777777" w:rsidR="00746809" w:rsidRPr="004F7F5C" w:rsidRDefault="00746809" w:rsidP="008216C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7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2488C9D1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Wyposażenie multimedialne</w:t>
            </w:r>
          </w:p>
        </w:tc>
        <w:tc>
          <w:tcPr>
            <w:tcW w:w="8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2EB30DD9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Karta dźwiękowa stereo, wbudowane 2 głośniki (stereo)</w:t>
            </w:r>
          </w:p>
          <w:p w14:paraId="26271D25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Wbudowany w obudowę matrycy mikrofon wraz z kamerą HD</w:t>
            </w:r>
          </w:p>
        </w:tc>
      </w:tr>
      <w:tr w:rsidR="00746809" w:rsidRPr="004F7F5C" w14:paraId="4D004369" w14:textId="77777777" w:rsidTr="00E4732C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1E6850F1" w14:textId="77777777" w:rsidR="00746809" w:rsidRPr="004F7F5C" w:rsidRDefault="00746809" w:rsidP="008216C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8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22F5F0C3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Zgodność z systemami operacyjnymi i standardami</w:t>
            </w:r>
          </w:p>
        </w:tc>
        <w:tc>
          <w:tcPr>
            <w:tcW w:w="8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5022400E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Zgodność z 64-bitową wersją systemu operacyjnego Microsoft Windows 10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,</w:t>
            </w: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 zainstalowany system operacyjny </w:t>
            </w:r>
            <w:proofErr w:type="spellStart"/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National</w:t>
            </w:r>
            <w:proofErr w:type="spellEnd"/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Academic</w:t>
            </w:r>
            <w:proofErr w:type="spellEnd"/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 Standard niewymagający aktywacji za pomocą telefonu w firmie Microsoft</w:t>
            </w:r>
            <w:r w:rsidRPr="004F7F5C">
              <w:rPr>
                <w:rFonts w:asciiTheme="majorHAnsi" w:hAnsiTheme="majorHAnsi" w:cstheme="majorHAnsi"/>
                <w:b/>
                <w:bCs/>
                <w:color w:val="00B050"/>
                <w:sz w:val="24"/>
                <w:szCs w:val="24"/>
              </w:rPr>
              <w:t>.</w:t>
            </w:r>
          </w:p>
        </w:tc>
      </w:tr>
      <w:tr w:rsidR="00746809" w:rsidRPr="004F7F5C" w14:paraId="5054525D" w14:textId="77777777" w:rsidTr="00E4732C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1E26E352" w14:textId="77777777" w:rsidR="00746809" w:rsidRPr="004F7F5C" w:rsidRDefault="00746809" w:rsidP="008216CE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54EB81E7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Waga </w:t>
            </w:r>
          </w:p>
        </w:tc>
        <w:tc>
          <w:tcPr>
            <w:tcW w:w="8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69E34ED6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Waga max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</w:t>
            </w: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5</w:t>
            </w: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 kg z baterią 3-cell</w:t>
            </w:r>
          </w:p>
        </w:tc>
      </w:tr>
      <w:tr w:rsidR="00746809" w:rsidRPr="004F7F5C" w14:paraId="51E63407" w14:textId="77777777" w:rsidTr="00E4732C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4DE8A5D5" w14:textId="77777777" w:rsidR="00746809" w:rsidRPr="004F7F5C" w:rsidRDefault="00746809" w:rsidP="008216C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712EB35E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BIOS</w:t>
            </w:r>
          </w:p>
        </w:tc>
        <w:tc>
          <w:tcPr>
            <w:tcW w:w="8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27A418EF" w14:textId="77777777" w:rsidR="00746809" w:rsidRPr="004F7F5C" w:rsidRDefault="00746809" w:rsidP="008216CE">
            <w:pPr>
              <w:pStyle w:val="NormalnyWeb"/>
              <w:numPr>
                <w:ilvl w:val="1"/>
                <w:numId w:val="1"/>
              </w:numPr>
              <w:spacing w:before="0" w:beforeAutospacing="0" w:after="0" w:afterAutospacing="0"/>
              <w:ind w:left="3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Możliwość odczytania z BIOS: </w:t>
            </w:r>
          </w:p>
          <w:p w14:paraId="5D5D3EFF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ind w:left="36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1. Wersji BIOS</w:t>
            </w:r>
          </w:p>
          <w:p w14:paraId="5D46A2FD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ind w:left="36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2. Modelu procesora, prędkości procesora, </w:t>
            </w:r>
          </w:p>
          <w:p w14:paraId="79E7A264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ind w:left="36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3. Informacji o ilości pamięci RAM </w:t>
            </w:r>
          </w:p>
          <w:p w14:paraId="464DD867" w14:textId="77777777" w:rsidR="00746809" w:rsidRPr="003A636B" w:rsidRDefault="00746809" w:rsidP="008216CE">
            <w:pPr>
              <w:pStyle w:val="NormalnyWeb"/>
              <w:spacing w:before="0" w:beforeAutospacing="0" w:after="0" w:afterAutospacing="0"/>
              <w:ind w:left="36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4. Informacji o: numerze seryjnym.</w:t>
            </w:r>
          </w:p>
          <w:p w14:paraId="3373CDD9" w14:textId="77777777" w:rsidR="00746809" w:rsidRPr="004F7F5C" w:rsidRDefault="00746809" w:rsidP="008216CE">
            <w:pPr>
              <w:pStyle w:val="NormalnyWeb"/>
              <w:numPr>
                <w:ilvl w:val="1"/>
                <w:numId w:val="2"/>
              </w:numPr>
              <w:spacing w:before="0" w:beforeAutospacing="0" w:after="0" w:afterAutospacing="0"/>
              <w:ind w:left="3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Możliwość wyłączenia/włączenia: wirtualizacji, z poziomu BIOS bez uruchamiania systemu operacyjnego z dysku twardego komputera lub innych, podłączonych do niego, urządzeń zewnętrznych.</w:t>
            </w:r>
          </w:p>
          <w:p w14:paraId="7CACBCEB" w14:textId="77777777" w:rsidR="00746809" w:rsidRPr="004F7F5C" w:rsidRDefault="00746809" w:rsidP="008216CE">
            <w:pPr>
              <w:pStyle w:val="NormalnyWeb"/>
              <w:numPr>
                <w:ilvl w:val="1"/>
                <w:numId w:val="2"/>
              </w:numPr>
              <w:spacing w:before="0" w:beforeAutospacing="0" w:after="0" w:afterAutospacing="0"/>
              <w:ind w:left="3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Funkcja blokowania/odblokowania BOOT-</w:t>
            </w:r>
            <w:proofErr w:type="spellStart"/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owania</w:t>
            </w:r>
            <w:proofErr w:type="spellEnd"/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stacji roboczej z dysku twardego, zewnętrznych urządzeń oraz sieci bez potrzeby uruchamiania systemu operacyjnego z dysku twardego komputera lub innych, podłączonych do niego, urządzeń zewnętrznych.</w:t>
            </w:r>
          </w:p>
          <w:p w14:paraId="09D88154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Ustawienia hasła Administratora oraz </w:t>
            </w:r>
            <w:proofErr w:type="spellStart"/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PowerOn</w:t>
            </w:r>
            <w:proofErr w:type="spellEnd"/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bez potrzeby uruchamiania systemu operacyjnego z dysku twardego komputera lub innych, podłączonych do niego, urządzeń zewnętrznych.</w:t>
            </w:r>
          </w:p>
        </w:tc>
      </w:tr>
      <w:tr w:rsidR="00746809" w:rsidRPr="004F7F5C" w14:paraId="68360FDF" w14:textId="77777777" w:rsidTr="00E4732C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0766D972" w14:textId="77777777" w:rsidR="00746809" w:rsidRPr="004F7F5C" w:rsidRDefault="00746809" w:rsidP="008216C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0FB0A948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Bezpieczeństwo</w:t>
            </w:r>
          </w:p>
        </w:tc>
        <w:tc>
          <w:tcPr>
            <w:tcW w:w="8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</w:tcPr>
          <w:p w14:paraId="075AF1D9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FW TPM 2.0</w:t>
            </w:r>
          </w:p>
          <w:p w14:paraId="46FCB845" w14:textId="77777777" w:rsidR="00746809" w:rsidRPr="004F7F5C" w:rsidRDefault="00746809" w:rsidP="008216CE">
            <w:pPr>
              <w:pStyle w:val="NormalnyWeb"/>
              <w:numPr>
                <w:ilvl w:val="2"/>
                <w:numId w:val="2"/>
              </w:numPr>
              <w:tabs>
                <w:tab w:val="clear" w:pos="2160"/>
              </w:tabs>
              <w:spacing w:before="0" w:beforeAutospacing="0" w:after="0" w:afterAutospacing="0"/>
              <w:ind w:left="556" w:hanging="425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Złącze typu </w:t>
            </w:r>
            <w:proofErr w:type="spellStart"/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Kensington</w:t>
            </w:r>
            <w:proofErr w:type="spellEnd"/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 Lock</w:t>
            </w:r>
          </w:p>
        </w:tc>
      </w:tr>
      <w:tr w:rsidR="00746809" w:rsidRPr="004F7F5C" w14:paraId="7E00E40E" w14:textId="77777777" w:rsidTr="00E4732C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7D0BD1EC" w14:textId="77777777" w:rsidR="00746809" w:rsidRPr="004F7F5C" w:rsidRDefault="00746809" w:rsidP="008216CE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49814ADD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Warunki gwarancji</w:t>
            </w:r>
          </w:p>
        </w:tc>
        <w:tc>
          <w:tcPr>
            <w:tcW w:w="8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0021CB25" w14:textId="382721F2" w:rsidR="00746809" w:rsidRPr="004F7F5C" w:rsidRDefault="004A0D01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</w:t>
            </w:r>
            <w:r w:rsidR="00746809" w:rsidRPr="004F7F5C">
              <w:rPr>
                <w:rFonts w:asciiTheme="majorHAnsi" w:hAnsiTheme="majorHAnsi" w:cstheme="majorHAnsi"/>
                <w:sz w:val="24"/>
                <w:szCs w:val="24"/>
              </w:rPr>
              <w:t>-letnia gwarancja producenta </w:t>
            </w:r>
          </w:p>
          <w:p w14:paraId="2B7AE92A" w14:textId="5020CD5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Firma serwisująca musi posiadać ISO 9001:2000 na świadczenie usług serwisowych oraz posiadać autoryzacje producenta komputera – </w:t>
            </w:r>
            <w:r w:rsidRPr="008216CE">
              <w:rPr>
                <w:rFonts w:asciiTheme="majorHAnsi" w:hAnsiTheme="majorHAnsi" w:cstheme="majorHAnsi"/>
                <w:b/>
                <w:color w:val="0070C0"/>
                <w:sz w:val="24"/>
                <w:szCs w:val="24"/>
              </w:rPr>
              <w:t xml:space="preserve">dokumenty potwierdzające </w:t>
            </w:r>
            <w:r w:rsidR="008216CE" w:rsidRPr="008216CE">
              <w:rPr>
                <w:rFonts w:asciiTheme="majorHAnsi" w:hAnsiTheme="majorHAnsi" w:cstheme="majorHAnsi"/>
                <w:b/>
                <w:color w:val="0070C0"/>
                <w:sz w:val="24"/>
                <w:szCs w:val="24"/>
              </w:rPr>
              <w:t xml:space="preserve">zaleca się </w:t>
            </w:r>
            <w:r w:rsidRPr="008216CE">
              <w:rPr>
                <w:rFonts w:asciiTheme="majorHAnsi" w:hAnsiTheme="majorHAnsi" w:cstheme="majorHAnsi"/>
                <w:b/>
                <w:color w:val="0070C0"/>
                <w:sz w:val="24"/>
                <w:szCs w:val="24"/>
              </w:rPr>
              <w:t>załączyć do oferty</w:t>
            </w: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254FB5DF" w14:textId="5ECFF8E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 xml:space="preserve">Serwis urządzeń musi być realizowany przez Producenta lub Autoryzowanego Partnera Serwisowego Producenta – </w:t>
            </w:r>
            <w:r w:rsidR="008216CE" w:rsidRPr="008216CE">
              <w:rPr>
                <w:rFonts w:asciiTheme="majorHAnsi" w:hAnsiTheme="majorHAnsi" w:cstheme="majorHAnsi"/>
                <w:b/>
                <w:color w:val="0070C0"/>
                <w:sz w:val="24"/>
                <w:szCs w:val="24"/>
              </w:rPr>
              <w:t xml:space="preserve">zaleca się </w:t>
            </w:r>
            <w:r w:rsidRPr="008216CE">
              <w:rPr>
                <w:rFonts w:asciiTheme="majorHAnsi" w:hAnsiTheme="majorHAnsi" w:cstheme="majorHAnsi"/>
                <w:b/>
                <w:color w:val="0070C0"/>
                <w:sz w:val="24"/>
                <w:szCs w:val="24"/>
              </w:rPr>
              <w:t>dołączenie do oferty oświadczenia Wykonawcy potwierdzonego przez Producenta, że serwis będzie realizowany przez Producenta lub Autoryzowanego Partnera Serwisowego Producenta</w:t>
            </w:r>
          </w:p>
        </w:tc>
      </w:tr>
      <w:tr w:rsidR="00746809" w:rsidRPr="004F7F5C" w14:paraId="5820BB20" w14:textId="77777777" w:rsidTr="00E4732C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0339E832" w14:textId="77777777" w:rsidR="00746809" w:rsidRPr="004F7F5C" w:rsidRDefault="00746809" w:rsidP="008216C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5F8D8A6C" w14:textId="77777777" w:rsidR="00746809" w:rsidRPr="004F7F5C" w:rsidRDefault="00746809" w:rsidP="008216CE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sz w:val="24"/>
                <w:szCs w:val="24"/>
              </w:rPr>
              <w:t>Wymagania dodatkowe</w:t>
            </w:r>
          </w:p>
        </w:tc>
        <w:tc>
          <w:tcPr>
            <w:tcW w:w="8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54043D48" w14:textId="61427DBF" w:rsidR="00746809" w:rsidRPr="004F7F5C" w:rsidRDefault="00746809" w:rsidP="008216CE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/>
              <w:ind w:left="3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Wbudowane porty i złącza: 1 x HDMI 1.4,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3</w:t>
            </w:r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x</w:t>
            </w:r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USB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,</w:t>
            </w:r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1 x </w:t>
            </w:r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RJ-45, 1 x złącze słuchawkowo/mikrofonowe (COMBO), </w:t>
            </w:r>
          </w:p>
          <w:p w14:paraId="41AFE127" w14:textId="77777777" w:rsidR="00746809" w:rsidRPr="004F7F5C" w:rsidRDefault="00746809" w:rsidP="008216CE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/>
              <w:ind w:left="3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Karta sieciowa LAN 10/100/1000 Ethernet RJ 45 zintegrowana z płytą główną oraz WLAN 802.11b/g/n/AC (2x2)</w:t>
            </w:r>
            <w:r w:rsidRPr="004F7F5C">
              <w:rPr>
                <w:rFonts w:asciiTheme="majorHAnsi" w:hAnsiTheme="majorHAnsi" w:cstheme="majorHAnsi"/>
                <w:b/>
                <w:bCs/>
                <w:color w:val="00B050"/>
                <w:sz w:val="24"/>
                <w:szCs w:val="24"/>
              </w:rPr>
              <w:t xml:space="preserve"> </w:t>
            </w:r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+ Bluetooth 5.0 (COMBO), zintegrowany z płytą główną lub w postaci wewnętrznego modułu mini-PCI Express. </w:t>
            </w:r>
          </w:p>
          <w:p w14:paraId="135D6186" w14:textId="77777777" w:rsidR="00746809" w:rsidRDefault="00746809" w:rsidP="008216CE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/>
              <w:ind w:left="3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Klawiatura (układ US -QWERTY), min 102 klawisze z wydzieloną strefą klawiszy numerycznych. </w:t>
            </w:r>
            <w:proofErr w:type="spellStart"/>
            <w:r w:rsidRPr="004F7F5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Touchpad</w:t>
            </w:r>
            <w:proofErr w:type="spellEnd"/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.</w:t>
            </w:r>
          </w:p>
          <w:p w14:paraId="007308AE" w14:textId="77777777" w:rsidR="00746809" w:rsidRPr="00395A86" w:rsidRDefault="00746809" w:rsidP="008216CE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/>
              <w:ind w:left="36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95A8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Możliwość telefonicznego sprawdzenia konfiguracji sprzętowej komputera oraz warunków gwarancji po podaniu numeru seryjnego bezpośrednio u producenta lub jego przedstawiciela.</w:t>
            </w:r>
          </w:p>
        </w:tc>
      </w:tr>
    </w:tbl>
    <w:p w14:paraId="241305DD" w14:textId="77777777" w:rsidR="00746809" w:rsidRDefault="00746809"/>
    <w:sectPr w:rsidR="00746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579F"/>
    <w:multiLevelType w:val="multilevel"/>
    <w:tmpl w:val="67046D7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34760C"/>
    <w:multiLevelType w:val="hybridMultilevel"/>
    <w:tmpl w:val="05A00C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156CD"/>
    <w:multiLevelType w:val="multilevel"/>
    <w:tmpl w:val="69F8D9B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25618B"/>
    <w:multiLevelType w:val="multilevel"/>
    <w:tmpl w:val="BD1456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B33909"/>
    <w:multiLevelType w:val="hybridMultilevel"/>
    <w:tmpl w:val="640EDF7C"/>
    <w:lvl w:ilvl="0" w:tplc="530C6440">
      <w:start w:val="1"/>
      <w:numFmt w:val="decimal"/>
      <w:lvlText w:val="%1."/>
      <w:lvlJc w:val="left"/>
      <w:pPr>
        <w:ind w:left="645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num w:numId="1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09"/>
    <w:rsid w:val="00171073"/>
    <w:rsid w:val="002E741F"/>
    <w:rsid w:val="004A0D01"/>
    <w:rsid w:val="005E0B6C"/>
    <w:rsid w:val="00670710"/>
    <w:rsid w:val="00746809"/>
    <w:rsid w:val="008216CE"/>
    <w:rsid w:val="00823DE0"/>
    <w:rsid w:val="00D42569"/>
    <w:rsid w:val="00F173A4"/>
    <w:rsid w:val="00FB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2BCE0"/>
  <w15:chartTrackingRefBased/>
  <w15:docId w15:val="{1A548775-19B4-427F-98F9-B1C6FDA60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809"/>
    <w:rPr>
      <w:rFonts w:asciiTheme="minorHAnsi" w:eastAsiaTheme="minorEastAsia" w:hAnsiTheme="minorHAnsi" w:cstheme="minorBidi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46809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746809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styleId="Lista">
    <w:name w:val="List"/>
    <w:basedOn w:val="Tekstpodstawowy"/>
    <w:rsid w:val="00746809"/>
    <w:pPr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68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6809"/>
    <w:rPr>
      <w:rFonts w:asciiTheme="minorHAnsi" w:eastAsiaTheme="minorEastAsia" w:hAnsiTheme="minorHAnsi" w:cstheme="minorBidi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B6C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pubenchmark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Patrycjusz Migawa</dc:creator>
  <cp:keywords/>
  <dc:description/>
  <cp:lastModifiedBy>Monika MD. Dominikowska</cp:lastModifiedBy>
  <cp:revision>6</cp:revision>
  <cp:lastPrinted>2020-10-21T12:40:00Z</cp:lastPrinted>
  <dcterms:created xsi:type="dcterms:W3CDTF">2020-10-20T07:12:00Z</dcterms:created>
  <dcterms:modified xsi:type="dcterms:W3CDTF">2020-10-22T06:33:00Z</dcterms:modified>
</cp:coreProperties>
</file>