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3B8D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FC48FAE" w14:textId="3AB4029B" w:rsidR="00DA081E" w:rsidRPr="0056319F" w:rsidRDefault="00BB2ABB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>
        <w:rPr>
          <w:sz w:val="24"/>
          <w:szCs w:val="24"/>
        </w:rPr>
        <w:t xml:space="preserve"> </w:t>
      </w:r>
      <w:r w:rsidR="00DA081E" w:rsidRPr="0056319F">
        <w:rPr>
          <w:sz w:val="24"/>
          <w:szCs w:val="24"/>
        </w:rPr>
        <w:t>D-04.02.01</w:t>
      </w:r>
      <w:r w:rsidR="00DA081E">
        <w:rPr>
          <w:sz w:val="24"/>
          <w:szCs w:val="24"/>
        </w:rPr>
        <w:t xml:space="preserve"> </w:t>
      </w:r>
      <w:r w:rsidR="00DA081E" w:rsidRPr="0056319F">
        <w:rPr>
          <w:sz w:val="24"/>
          <w:szCs w:val="24"/>
        </w:rPr>
        <w:t>WARSTWA</w:t>
      </w:r>
      <w:r w:rsidR="00DA081E">
        <w:rPr>
          <w:sz w:val="24"/>
          <w:szCs w:val="24"/>
        </w:rPr>
        <w:t xml:space="preserve"> </w:t>
      </w:r>
      <w:r w:rsidR="00DA081E" w:rsidRPr="0056319F">
        <w:rPr>
          <w:spacing w:val="-2"/>
          <w:sz w:val="24"/>
          <w:szCs w:val="24"/>
        </w:rPr>
        <w:t>ODSĄCZAJĄCA</w:t>
      </w:r>
    </w:p>
    <w:p w14:paraId="02C8B891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695D488C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3AB513B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4FC1C000" w14:textId="77777777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CC4F07">
        <w:t xml:space="preserve"> </w:t>
      </w:r>
      <w:r w:rsidR="00086B39">
        <w:rPr>
          <w:b/>
          <w:bCs/>
        </w:rPr>
        <w:t xml:space="preserve">przebudowie                         drogi gruntowej gminnej wewnętrznej poprzez ułożenie płyt betonowych na odcinku 82 </w:t>
      </w:r>
      <w:proofErr w:type="spellStart"/>
      <w:r w:rsidR="00086B39">
        <w:rPr>
          <w:b/>
          <w:bCs/>
        </w:rPr>
        <w:t>mb</w:t>
      </w:r>
      <w:proofErr w:type="spellEnd"/>
      <w:r w:rsidR="00086B39">
        <w:rPr>
          <w:b/>
          <w:bCs/>
        </w:rPr>
        <w:t xml:space="preserve">                                    ul. Ogrodowa w </w:t>
      </w:r>
      <w:proofErr w:type="spellStart"/>
      <w:r w:rsidR="00086B39">
        <w:rPr>
          <w:b/>
          <w:bCs/>
        </w:rPr>
        <w:t>Luboszu</w:t>
      </w:r>
      <w:proofErr w:type="spellEnd"/>
      <w:r w:rsidR="00086B39">
        <w:rPr>
          <w:b/>
          <w:bCs/>
        </w:rPr>
        <w:t>.</w:t>
      </w:r>
    </w:p>
    <w:p w14:paraId="56EF912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3FA02DC8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7F09165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1AABDD48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4E54D16C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26F2F3E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5183AC53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4376C9F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3F2ECC17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01587383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3954244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6C01BB9F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1987AEA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05445274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291BE370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2DF11B7A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15B7DE5B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49DA0407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</w:t>
      </w:r>
      <w:proofErr w:type="spellStart"/>
      <w:r w:rsidRPr="00180767">
        <w:t>zagęszczalność</w:t>
      </w:r>
      <w:proofErr w:type="spellEnd"/>
      <w:r w:rsidRPr="00180767">
        <w:t xml:space="preserve">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4BD95882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6C255681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6F74868D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645ABA71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07AF7E8F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7296F0F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23A621D9" w14:textId="77777777" w:rsidR="00DA081E" w:rsidRDefault="00DA081E" w:rsidP="00DA081E">
      <w:pPr>
        <w:ind w:left="501"/>
      </w:pPr>
      <w:r>
        <w:lastRenderedPageBreak/>
        <w:t>Ogólne wymagania dotyczące sprzętu podano w SST D-M-00.00.00 „Wymagania ogólne” pkt. 3.</w:t>
      </w:r>
    </w:p>
    <w:p w14:paraId="376D42A5" w14:textId="77777777" w:rsidR="00DA081E" w:rsidRDefault="00DA081E" w:rsidP="00DA081E">
      <w:pPr>
        <w:ind w:left="501"/>
      </w:pPr>
    </w:p>
    <w:p w14:paraId="75A29259" w14:textId="77777777" w:rsidR="00DA081E" w:rsidRDefault="00DA081E" w:rsidP="00DA081E">
      <w:pPr>
        <w:ind w:left="501"/>
      </w:pPr>
    </w:p>
    <w:p w14:paraId="78D55B7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2C21C250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26283CD3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70B2223F" w14:textId="77777777" w:rsidR="00DA081E" w:rsidRDefault="00DA081E" w:rsidP="00DA081E">
      <w:pPr>
        <w:ind w:left="501"/>
      </w:pPr>
    </w:p>
    <w:p w14:paraId="7CD8C28B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22AC51D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47CCB558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1355BDB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5B5B2F80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543A3989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58BE162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0F64F11F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2E82FE0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7257AB6D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28587BD8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6593E210" w14:textId="77777777" w:rsidR="00DA081E" w:rsidRDefault="00DA081E" w:rsidP="00DA081E">
      <w:pPr>
        <w:ind w:left="501"/>
      </w:pPr>
      <w:r>
        <w:t>Paliki lub szpilki powinny</w:t>
      </w:r>
      <w:r w:rsidR="00722339">
        <w:t xml:space="preserve"> </w:t>
      </w:r>
      <w:r>
        <w:t>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75545C6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406A888E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52058A06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398CEB3C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6E293B94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</w:t>
      </w:r>
      <w:proofErr w:type="spellStart"/>
      <w:r>
        <w:t>Proctora</w:t>
      </w:r>
      <w:proofErr w:type="spellEnd"/>
      <w:r>
        <w:t xml:space="preserve">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3EDF945A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</w:t>
      </w:r>
      <w:proofErr w:type="spellStart"/>
      <w:r w:rsidRPr="00953EF6">
        <w:t>Proctora</w:t>
      </w:r>
      <w:proofErr w:type="spellEnd"/>
      <w:r w:rsidRPr="00953EF6">
        <w:t xml:space="preserve">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224B16A4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35B0522B" w14:textId="77777777" w:rsidR="00193B23" w:rsidRDefault="00193B23" w:rsidP="00DA081E">
      <w:pPr>
        <w:ind w:left="501"/>
      </w:pPr>
    </w:p>
    <w:p w14:paraId="484D052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4DCA7DBB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6C46585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61B88AB3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7FADE7BD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4DA04162" w14:textId="77777777" w:rsidR="00DA081E" w:rsidRDefault="00DA081E" w:rsidP="0026634A"/>
    <w:p w14:paraId="17F93308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4E2778F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5B59A63A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194AE5E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69617DF1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5C296FE6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3CB6B33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4806AEC2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436B1787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7E7261B8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051BBB38" w14:textId="77777777" w:rsidR="00DA081E" w:rsidRDefault="00DA081E" w:rsidP="00DA081E"/>
    <w:p w14:paraId="13EA1210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15C3A491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0AADB177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0D8CFD5C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74E06C1D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60A08F7E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0F60FFE6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447DC9CB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28B346FE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00B73460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2531A7BC" w14:textId="77777777" w:rsidTr="0000706A">
        <w:trPr>
          <w:trHeight w:val="349"/>
        </w:trPr>
        <w:tc>
          <w:tcPr>
            <w:tcW w:w="497" w:type="dxa"/>
          </w:tcPr>
          <w:p w14:paraId="1745D6CD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6D4E36F2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6C9EDA82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3AFC4767" w14:textId="77777777" w:rsidTr="0000706A">
        <w:trPr>
          <w:trHeight w:val="349"/>
        </w:trPr>
        <w:tc>
          <w:tcPr>
            <w:tcW w:w="497" w:type="dxa"/>
          </w:tcPr>
          <w:p w14:paraId="7CFCB088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050D5E6D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6CEC2960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00C200DB" w14:textId="77777777" w:rsidTr="0000706A">
        <w:trPr>
          <w:trHeight w:val="349"/>
        </w:trPr>
        <w:tc>
          <w:tcPr>
            <w:tcW w:w="497" w:type="dxa"/>
          </w:tcPr>
          <w:p w14:paraId="7B4C1A3F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3197EF4E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2CC44619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2BDA00A2" w14:textId="77777777" w:rsidTr="0000706A">
        <w:trPr>
          <w:trHeight w:val="520"/>
        </w:trPr>
        <w:tc>
          <w:tcPr>
            <w:tcW w:w="497" w:type="dxa"/>
          </w:tcPr>
          <w:p w14:paraId="2DA787E2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0F14B708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28BE694A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4DDF376D" w14:textId="77777777" w:rsidTr="0000706A">
        <w:trPr>
          <w:trHeight w:val="520"/>
        </w:trPr>
        <w:tc>
          <w:tcPr>
            <w:tcW w:w="497" w:type="dxa"/>
          </w:tcPr>
          <w:p w14:paraId="65570048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55B2BFE8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4578FF19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3957CE45" w14:textId="77777777" w:rsidTr="0000706A">
        <w:trPr>
          <w:trHeight w:val="1268"/>
        </w:trPr>
        <w:tc>
          <w:tcPr>
            <w:tcW w:w="497" w:type="dxa"/>
          </w:tcPr>
          <w:p w14:paraId="075E262B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41EB03BB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6FFAFB0A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0A7DB43C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1378102E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001178E6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2DC319A0" w14:textId="77777777" w:rsidTr="0000706A">
        <w:trPr>
          <w:trHeight w:val="582"/>
        </w:trPr>
        <w:tc>
          <w:tcPr>
            <w:tcW w:w="497" w:type="dxa"/>
          </w:tcPr>
          <w:p w14:paraId="7891082D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6EF3AF64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159C71B6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30BAE60B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0D180273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6D22B012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66C98884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5C871208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44CBB431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55CC9C3C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25927ADF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7F808504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007BD9A7" w14:textId="77777777" w:rsidR="002E1730" w:rsidRDefault="002E1730" w:rsidP="00DA081E">
      <w:pPr>
        <w:ind w:left="501"/>
      </w:pPr>
    </w:p>
    <w:p w14:paraId="2A597E10" w14:textId="77777777" w:rsidR="00DA081E" w:rsidRDefault="00DA081E" w:rsidP="00DA081E">
      <w:pPr>
        <w:ind w:left="501"/>
      </w:pPr>
    </w:p>
    <w:p w14:paraId="4645ED9A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03B8FE5C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6B02BD47" w14:textId="77777777" w:rsidR="00DA081E" w:rsidRDefault="00DA081E" w:rsidP="00DA081E">
      <w:pPr>
        <w:ind w:left="501"/>
      </w:pPr>
    </w:p>
    <w:p w14:paraId="63242CED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7DDC5BBB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09B81AC2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76E747D6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21BBC1E6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3B0A506C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15BC1E19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6CDB56E8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35A1FA78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22128E8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3CF3C9EF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6F96A253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00DE357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67B55ACF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3369B5D5" w14:textId="77777777" w:rsidR="00DA081E" w:rsidRDefault="00DA081E" w:rsidP="00DA081E">
      <w:pPr>
        <w:ind w:left="501"/>
      </w:pPr>
    </w:p>
    <w:p w14:paraId="79716A4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0F06B442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0F3DFDB4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583A9EEE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5BF007AC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22632AF3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51738178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573AC696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04E15B36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5474DD9D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2266B650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596CF294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43A2F799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5E018EA2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7CC9C5D3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63B71BD9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02B438C4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56F25E04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2B0D9CBE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4442F4F9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57BCC707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002C37D4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3B668327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66C23F6A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4507C257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55B74E9C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744F89B1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4567D9F6" w14:textId="77777777" w:rsidTr="0000706A">
        <w:trPr>
          <w:trHeight w:val="256"/>
        </w:trPr>
        <w:tc>
          <w:tcPr>
            <w:tcW w:w="324" w:type="dxa"/>
          </w:tcPr>
          <w:p w14:paraId="2A622F08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13B316C2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587CC394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229D3F84" w14:textId="77777777" w:rsidTr="0000706A">
        <w:trPr>
          <w:trHeight w:val="262"/>
        </w:trPr>
        <w:tc>
          <w:tcPr>
            <w:tcW w:w="324" w:type="dxa"/>
          </w:tcPr>
          <w:p w14:paraId="3C217A00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6B521E5A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4863400E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07D5932E" w14:textId="77777777" w:rsidTr="0000706A">
        <w:trPr>
          <w:trHeight w:val="263"/>
        </w:trPr>
        <w:tc>
          <w:tcPr>
            <w:tcW w:w="324" w:type="dxa"/>
          </w:tcPr>
          <w:p w14:paraId="059A6A0C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0FE2FF97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1274044C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1A4A1A45" w14:textId="77777777" w:rsidTr="0000706A">
        <w:trPr>
          <w:trHeight w:val="263"/>
        </w:trPr>
        <w:tc>
          <w:tcPr>
            <w:tcW w:w="324" w:type="dxa"/>
          </w:tcPr>
          <w:p w14:paraId="277C0EB3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5D4CAB56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6155F8ED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3A3B9183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1D2491C4" w14:textId="77777777" w:rsidTr="0000706A">
        <w:trPr>
          <w:trHeight w:val="263"/>
        </w:trPr>
        <w:tc>
          <w:tcPr>
            <w:tcW w:w="324" w:type="dxa"/>
          </w:tcPr>
          <w:p w14:paraId="27DE8E14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1FFD53E8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5488BF6D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20496C89" w14:textId="77777777" w:rsidTr="0000706A">
        <w:trPr>
          <w:trHeight w:val="257"/>
        </w:trPr>
        <w:tc>
          <w:tcPr>
            <w:tcW w:w="324" w:type="dxa"/>
          </w:tcPr>
          <w:p w14:paraId="1EF8C587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48BE7DCC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4EECC5F6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6C7359D0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3BD593DE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0B968C29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298BB293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A2205" w14:textId="77777777" w:rsidR="009A7AE3" w:rsidRDefault="009A7AE3" w:rsidP="009A7AE3">
      <w:r>
        <w:separator/>
      </w:r>
    </w:p>
  </w:endnote>
  <w:endnote w:type="continuationSeparator" w:id="0">
    <w:p w14:paraId="24CF13EE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27D3" w14:textId="77777777" w:rsidR="00BB2ABB" w:rsidRDefault="00BB2AB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745821D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0B8455F5" w14:textId="77777777" w:rsidR="00BB2ABB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722339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316A" w14:textId="77777777" w:rsidR="00BB2ABB" w:rsidRDefault="00BB2ABB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78C1" w14:textId="77777777" w:rsidR="00BB2ABB" w:rsidRDefault="00BB2AB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67196FC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13B6271D" w14:textId="77777777" w:rsidR="00BB2ABB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722339">
                  <w:rPr>
                    <w:noProof/>
                    <w:spacing w:val="-10"/>
                    <w:sz w:val="20"/>
                  </w:rPr>
                  <w:t>5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0128B" w14:textId="77777777" w:rsidR="00BB2ABB" w:rsidRDefault="00BB2ABB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6117" w14:textId="77777777" w:rsidR="009A7AE3" w:rsidRDefault="009A7AE3" w:rsidP="009A7AE3">
      <w:r>
        <w:separator/>
      </w:r>
    </w:p>
  </w:footnote>
  <w:footnote w:type="continuationSeparator" w:id="0">
    <w:p w14:paraId="45437845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C794" w14:textId="77777777" w:rsidR="00BB2ABB" w:rsidRDefault="00BB2AB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FDA5D98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FEE0DDB" w14:textId="77777777" w:rsidR="00BB2ABB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B4A6" w14:textId="77777777" w:rsidR="00BB2ABB" w:rsidRDefault="00BB2AB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09D499C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797C6A9B" w14:textId="77777777" w:rsidR="00BB2ABB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91BC" w14:textId="77777777" w:rsidR="00BB2ABB" w:rsidRDefault="00BB2AB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D1DAC8E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27056B4F" w14:textId="77777777" w:rsidR="00BB2ABB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3EF8" w14:textId="77777777" w:rsidR="00BB2ABB" w:rsidRDefault="00BB2AB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EB9FB65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4FEA977" w14:textId="77777777" w:rsidR="00BB2ABB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1391225508">
    <w:abstractNumId w:val="1"/>
  </w:num>
  <w:num w:numId="2" w16cid:durableId="500704309">
    <w:abstractNumId w:val="2"/>
  </w:num>
  <w:num w:numId="3" w16cid:durableId="1904833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086B39"/>
    <w:rsid w:val="00193B23"/>
    <w:rsid w:val="0026634A"/>
    <w:rsid w:val="002D0416"/>
    <w:rsid w:val="002E1730"/>
    <w:rsid w:val="003B0371"/>
    <w:rsid w:val="00446170"/>
    <w:rsid w:val="004D7DD8"/>
    <w:rsid w:val="006238EC"/>
    <w:rsid w:val="00722339"/>
    <w:rsid w:val="009A6BF8"/>
    <w:rsid w:val="009A7AE3"/>
    <w:rsid w:val="009D6F7C"/>
    <w:rsid w:val="009E0D00"/>
    <w:rsid w:val="00B308ED"/>
    <w:rsid w:val="00BB2ABB"/>
    <w:rsid w:val="00CC4F07"/>
    <w:rsid w:val="00D227B0"/>
    <w:rsid w:val="00DA081E"/>
    <w:rsid w:val="00FD7130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47CCC"/>
  <w15:docId w15:val="{3D50E239-D866-4934-B024-7C3F1F46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2020</Words>
  <Characters>12125</Characters>
  <Application>Microsoft Office Word</Application>
  <DocSecurity>0</DocSecurity>
  <Lines>101</Lines>
  <Paragraphs>28</Paragraphs>
  <ScaleCrop>false</ScaleCrop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14</cp:revision>
  <dcterms:created xsi:type="dcterms:W3CDTF">2024-01-19T07:59:00Z</dcterms:created>
  <dcterms:modified xsi:type="dcterms:W3CDTF">2024-01-29T13:18:00Z</dcterms:modified>
</cp:coreProperties>
</file>