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1856C2C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6237F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B80387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A0E3D7E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6237F">
        <w:rPr>
          <w:rFonts w:ascii="Open Sans" w:hAnsi="Open Sans" w:cs="Open Sans"/>
          <w:color w:val="000000"/>
          <w:sz w:val="20"/>
          <w:szCs w:val="20"/>
        </w:rPr>
        <w:t>3</w:t>
      </w:r>
      <w:r w:rsidR="00B80387">
        <w:rPr>
          <w:rFonts w:ascii="Open Sans" w:hAnsi="Open Sans" w:cs="Open Sans"/>
          <w:color w:val="000000"/>
          <w:sz w:val="20"/>
          <w:szCs w:val="20"/>
        </w:rPr>
        <w:t>8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B80387" w:rsidRPr="00B80387">
        <w:rPr>
          <w:rFonts w:ascii="Open Sans" w:hAnsi="Open Sans" w:cs="Open Sans"/>
          <w:color w:val="000000"/>
          <w:sz w:val="20"/>
          <w:szCs w:val="20"/>
        </w:rPr>
        <w:t>Krzew gatunku „Suchodrzew chiński”</w:t>
      </w:r>
      <w:r w:rsidR="00B80387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6D91D98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8038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64,22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C06632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025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64,22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0258B7FE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025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75,39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029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2023-11-18T18:51:00Z</dcterms:created>
  <dcterms:modified xsi:type="dcterms:W3CDTF">2023-11-18T18:53:00Z</dcterms:modified>
</cp:coreProperties>
</file>