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26D119CE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3B6905">
        <w:rPr>
          <w:rFonts w:ascii="Arial" w:hAnsi="Arial" w:cs="Arial"/>
          <w:b/>
          <w:sz w:val="22"/>
          <w:szCs w:val="22"/>
        </w:rPr>
        <w:t>7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3B6905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3CDBAA10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 xml:space="preserve">2019 </w:t>
            </w:r>
            <w:r w:rsidRPr="003210E5">
              <w:rPr>
                <w:rFonts w:ascii="Arial" w:hAnsi="Arial" w:cs="Arial"/>
              </w:rPr>
              <w:t xml:space="preserve">poz. 2019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Pr="003210E5">
              <w:rPr>
                <w:rFonts w:ascii="Arial" w:hAnsi="Arial" w:cs="Arial"/>
              </w:rPr>
              <w:t>ze zm.)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3985B931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604D81">
        <w:rPr>
          <w:rFonts w:ascii="Arial" w:hAnsi="Arial" w:cs="Arial"/>
          <w:b/>
          <w:sz w:val="22"/>
          <w:szCs w:val="22"/>
        </w:rPr>
        <w:t>Szwy chirurgiczne</w:t>
      </w:r>
      <w:bookmarkStart w:id="0" w:name="_GoBack"/>
      <w:bookmarkEnd w:id="0"/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77777777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5669237F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(Dz. U. z 2020 r. poz. 1076 i 1086),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B6905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04D81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C2EE-AFFF-48EA-A3CA-61C05ADB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15</TotalTime>
  <Pages>1</Pages>
  <Words>186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20</cp:revision>
  <cp:lastPrinted>2010-01-07T09:39:00Z</cp:lastPrinted>
  <dcterms:created xsi:type="dcterms:W3CDTF">2021-01-28T12:14:00Z</dcterms:created>
  <dcterms:modified xsi:type="dcterms:W3CDTF">2022-03-21T12:36:00Z</dcterms:modified>
</cp:coreProperties>
</file>