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jpeg" ContentType="image/jpeg"/>
  <Override PartName="/word/media/image3.jpeg" ContentType="image/jpeg"/>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Calibri" w:hAnsi="Calibri"/>
          <w:sz w:val="21"/>
          <w:szCs w:val="21"/>
        </w:rPr>
      </w:pPr>
      <w:r>
        <w:rPr/>
        <w:drawing>
          <wp:inline distT="0" distB="0" distL="0" distR="0">
            <wp:extent cx="5760720" cy="1147445"/>
            <wp:effectExtent l="0" t="0" r="0" b="0"/>
            <wp:docPr id="1" name="Obraz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
                    <pic:cNvPicPr>
                      <a:picLocks noChangeAspect="1" noChangeArrowheads="1"/>
                    </pic:cNvPicPr>
                  </pic:nvPicPr>
                  <pic:blipFill>
                    <a:blip r:embed="rId2"/>
                    <a:stretch>
                      <a:fillRect/>
                    </a:stretch>
                  </pic:blipFill>
                  <pic:spPr bwMode="auto">
                    <a:xfrm>
                      <a:off x="0" y="0"/>
                      <a:ext cx="5760720" cy="1147445"/>
                    </a:xfrm>
                    <a:prstGeom prst="rect">
                      <a:avLst/>
                    </a:prstGeom>
                  </pic:spPr>
                </pic:pic>
              </a:graphicData>
            </a:graphic>
          </wp:inline>
        </w:drawing>
      </w:r>
    </w:p>
    <w:p>
      <w:pPr>
        <w:pStyle w:val="Normal"/>
        <w:ind w:left="6372" w:hanging="0"/>
        <w:rPr>
          <w:rFonts w:ascii="Calibri" w:hAnsi="Calibri"/>
          <w:sz w:val="21"/>
          <w:szCs w:val="21"/>
        </w:rPr>
      </w:pPr>
      <w:r>
        <w:rPr>
          <w:sz w:val="21"/>
          <w:szCs w:val="21"/>
        </w:rPr>
        <w:t xml:space="preserve">Chełmno, </w:t>
      </w:r>
      <w:r>
        <w:rPr>
          <w:rFonts w:eastAsia="Calibri" w:cs="" w:cstheme="minorBidi" w:eastAsiaTheme="minorHAnsi"/>
          <w:color w:val="auto"/>
          <w:kern w:val="2"/>
          <w:sz w:val="21"/>
          <w:szCs w:val="21"/>
          <w:lang w:val="pl-PL" w:eastAsia="en-US" w:bidi="ar-SA"/>
          <w14:ligatures w14:val="standardContextual"/>
        </w:rPr>
        <w:t>16.02.2024</w:t>
      </w:r>
      <w:r>
        <w:rPr>
          <w:sz w:val="21"/>
          <w:szCs w:val="21"/>
        </w:rPr>
        <w:t xml:space="preserve"> r. </w:t>
      </w:r>
    </w:p>
    <w:p>
      <w:pPr>
        <w:pStyle w:val="Normal"/>
        <w:spacing w:lineRule="auto" w:line="276"/>
        <w:jc w:val="both"/>
        <w:rPr>
          <w:rFonts w:ascii="Arial" w:hAnsi="Arial"/>
          <w:sz w:val="20"/>
          <w:szCs w:val="20"/>
        </w:rPr>
      </w:pPr>
      <w:r>
        <w:rPr>
          <w:rFonts w:cs="Segoe UI Light" w:ascii="Arial" w:hAnsi="Arial"/>
          <w:b/>
          <w:color w:val="000000" w:themeColor="text1"/>
          <w:sz w:val="20"/>
          <w:szCs w:val="20"/>
        </w:rPr>
        <w:t xml:space="preserve">Załącznik nr </w:t>
      </w:r>
      <w:r>
        <w:rPr>
          <w:rFonts w:eastAsia="Calibri" w:cs="Segoe UI Light" w:ascii="Arial" w:hAnsi="Arial"/>
          <w:b/>
          <w:color w:val="000000" w:themeColor="text1"/>
          <w:kern w:val="2"/>
          <w:sz w:val="20"/>
          <w:szCs w:val="20"/>
          <w:lang w:val="pl-PL" w:eastAsia="en-US" w:bidi="ar-SA"/>
        </w:rPr>
        <w:t>6</w:t>
      </w:r>
    </w:p>
    <w:p>
      <w:pPr>
        <w:pStyle w:val="Normal"/>
        <w:spacing w:lineRule="auto" w:line="276"/>
        <w:jc w:val="center"/>
        <w:rPr/>
      </w:pPr>
      <w:r>
        <w:rPr>
          <w:rFonts w:cs="Segoe UI Light" w:ascii="Arial" w:hAnsi="Arial"/>
          <w:b/>
          <w:color w:val="000000" w:themeColor="text1"/>
          <w:sz w:val="20"/>
          <w:szCs w:val="20"/>
        </w:rPr>
        <w:t xml:space="preserve"> </w:t>
      </w:r>
      <w:r>
        <w:rPr>
          <w:rFonts w:cs="Segoe UI Light" w:ascii="Arial" w:hAnsi="Arial"/>
          <w:b/>
          <w:color w:val="000000" w:themeColor="text1"/>
          <w:sz w:val="20"/>
          <w:szCs w:val="20"/>
        </w:rPr>
        <w:t>OPIS PRZEDMIOTU ZAMÓWIENIA</w:t>
      </w:r>
    </w:p>
    <w:p>
      <w:pPr>
        <w:pStyle w:val="Normal"/>
        <w:spacing w:lineRule="auto" w:line="276"/>
        <w:ind w:hanging="0"/>
        <w:jc w:val="both"/>
        <w:rPr>
          <w:rFonts w:ascii="Arial" w:hAnsi="Arial" w:cs="Segoe UI Light"/>
          <w:b/>
          <w:b/>
          <w:color w:val="000000" w:themeColor="text1"/>
          <w:sz w:val="20"/>
          <w:szCs w:val="20"/>
        </w:rPr>
      </w:pPr>
      <w:r>
        <w:rPr>
          <w:rFonts w:eastAsia="Calibri" w:cs="Segoe UI Light" w:ascii="Arial" w:hAnsi="Arial"/>
          <w:b/>
          <w:color w:val="000000" w:themeColor="text1"/>
          <w:kern w:val="2"/>
          <w:sz w:val="20"/>
          <w:szCs w:val="20"/>
          <w:lang w:val="pl-PL" w:eastAsia="en-US" w:bidi="ar-SA"/>
        </w:rPr>
        <w:t xml:space="preserve">Dotyczy: </w:t>
      </w:r>
      <w:r>
        <w:rPr>
          <w:rFonts w:cs="Segoe UI Light" w:ascii="Arial" w:hAnsi="Arial"/>
          <w:b/>
          <w:color w:val="000000" w:themeColor="text1"/>
          <w:sz w:val="20"/>
          <w:szCs w:val="20"/>
        </w:rPr>
        <w:t>a</w:t>
      </w:r>
      <w:r>
        <w:rPr>
          <w:rFonts w:cs="Segoe UI Light"/>
          <w:b/>
          <w:color w:val="000000" w:themeColor="text1"/>
          <w:sz w:val="21"/>
          <w:szCs w:val="21"/>
          <w:lang w:val="pl-PL"/>
        </w:rPr>
        <w:t xml:space="preserve">daptacji pomieszczeń istniejącej Pracowni TK i jej dostosowanie do nowych wymogów i norm związanych z montażem nowego aparatu do Tomografii Komputerowej dla ZOZ w Chełmnie, </w:t>
      </w:r>
      <w:r>
        <w:rPr>
          <w:rFonts w:cs="Segoe UI Light"/>
          <w:b/>
          <w:color w:val="000000" w:themeColor="text1"/>
          <w:sz w:val="21"/>
          <w:szCs w:val="21"/>
          <w:lang w:val="pl-PL"/>
        </w:rPr>
        <w:t>nr post. 7/2024.</w:t>
      </w:r>
    </w:p>
    <w:p>
      <w:pPr>
        <w:pStyle w:val="Normal"/>
        <w:spacing w:lineRule="auto" w:line="276"/>
        <w:ind w:left="-15" w:firstLine="15"/>
        <w:jc w:val="both"/>
        <w:rPr>
          <w:b w:val="false"/>
          <w:b w:val="false"/>
          <w:bCs w:val="false"/>
        </w:rPr>
      </w:pPr>
      <w:r>
        <w:rPr>
          <w:rFonts w:cs="Segoe UI Light"/>
          <w:b w:val="false"/>
          <w:bCs w:val="false"/>
          <w:color w:val="000000" w:themeColor="text1"/>
          <w:sz w:val="21"/>
          <w:szCs w:val="21"/>
          <w:lang w:val="pl-PL"/>
        </w:rPr>
        <w:t>1. Ogólna charakterystyka budynku istniejącego.</w:t>
      </w:r>
    </w:p>
    <w:p>
      <w:pPr>
        <w:pStyle w:val="Normal"/>
        <w:spacing w:lineRule="auto" w:line="276"/>
        <w:ind w:hanging="0"/>
        <w:jc w:val="both"/>
        <w:rPr>
          <w:b w:val="false"/>
          <w:b w:val="false"/>
          <w:bCs w:val="false"/>
        </w:rPr>
      </w:pPr>
      <w:r>
        <w:rPr>
          <w:rFonts w:cs="Segoe UI Light"/>
          <w:b w:val="false"/>
          <w:bCs w:val="false"/>
          <w:color w:val="000000" w:themeColor="text1"/>
          <w:sz w:val="21"/>
          <w:szCs w:val="21"/>
          <w:lang w:val="pl-PL"/>
        </w:rPr>
        <w:t xml:space="preserve">Istniejący budynek „B” wchodzący w skład kompleksu szpitalnego jest jest budynkiem trzypiętrowym, podpiwniczonym. Budynek wykonano w latach siedemdziesiątych ubiegłego stulecia w technologii tradycyjnej murowanej. Ściany nośne murowane, stropy międzypiętrowe gęstożebrowe ceramiczne. W kondygnacji podziemnej znajdują się </w:t>
      </w:r>
      <w:r>
        <w:rPr>
          <w:rFonts w:cs="Segoe UI Light"/>
          <w:b w:val="false"/>
          <w:bCs w:val="false"/>
          <w:color w:val="000000" w:themeColor="text1"/>
          <w:sz w:val="21"/>
          <w:szCs w:val="21"/>
          <w:shd w:fill="auto" w:val="clear"/>
          <w:lang w:val="pl-PL"/>
        </w:rPr>
        <w:t>pomieszczenia techniczne, magazynowe, socjalne. Istniejąca pracowania tomografii komputerowej zlokalizowana jest na parterze Budynku „B” szpitala. Strop nad piwnicą znajdującym się bezpośrednio nad adoptowanym pomieszczeniem pracowni TK nie wykazuje żadnych uszkodzeń, widocznych ugięć. Pracownia tomografii komputerowej zapewnia swobodny dostęp pacjentów (w tym niepełnosprawnych) ora</w:t>
      </w:r>
      <w:r>
        <w:rPr>
          <w:rFonts w:cs="Segoe UI Light"/>
          <w:b w:val="false"/>
          <w:bCs w:val="false"/>
          <w:color w:val="000000" w:themeColor="text1"/>
          <w:sz w:val="21"/>
          <w:szCs w:val="21"/>
          <w:lang w:val="pl-PL"/>
        </w:rPr>
        <w:t>z pracowników i interesantów z ogólnodostępnego korytarza komunikacyjnego szpitala. Sterownia oddzielona jest do pełnej wysokości ze względu na ochronę personelu medycznego i sprzętu.</w:t>
      </w:r>
    </w:p>
    <w:p>
      <w:pPr>
        <w:pStyle w:val="Normal"/>
        <w:spacing w:lineRule="auto" w:line="276"/>
        <w:ind w:left="-15" w:firstLine="15"/>
        <w:jc w:val="both"/>
        <w:rPr>
          <w:b w:val="false"/>
          <w:b w:val="false"/>
          <w:bCs w:val="false"/>
        </w:rPr>
      </w:pPr>
      <w:r>
        <w:rPr>
          <w:rFonts w:cs="Segoe UI Light"/>
          <w:b w:val="false"/>
          <w:bCs w:val="false"/>
          <w:color w:val="000000" w:themeColor="text1"/>
          <w:sz w:val="21"/>
          <w:szCs w:val="21"/>
          <w:lang w:val="pl-PL"/>
        </w:rPr>
        <w:t xml:space="preserve">Obecny tomograf komputerowy SOMATOM SCOPE składa się z gantry o wadze 1204 kg oraz stołu pacjenta o wadze 431 kg, natomiast </w:t>
      </w:r>
      <w:r>
        <w:rPr>
          <w:rFonts w:eastAsia="Calibri" w:cs="Segoe UI Light"/>
          <w:b w:val="false"/>
          <w:bCs w:val="false"/>
          <w:color w:val="000000" w:themeColor="text1"/>
          <w:kern w:val="2"/>
          <w:sz w:val="21"/>
          <w:szCs w:val="21"/>
          <w:lang w:val="pl-PL" w:eastAsia="en-US" w:bidi="ar-SA"/>
        </w:rPr>
        <w:t>nowy tomograf SOMATOM go.Top składa się z gantry (z tabletem, zdalnym sterowaniem, komputerem i UPS) 1315 kg  oraz stołu pacjenta o wadze 354 kg (waga gantry bez  tabletu, zdalnego sterowania, komputera i UPS – 1295 kg).</w:t>
      </w:r>
    </w:p>
    <w:p>
      <w:pPr>
        <w:pStyle w:val="Normal"/>
        <w:spacing w:lineRule="auto" w:line="276"/>
        <w:ind w:left="-15" w:firstLine="15"/>
        <w:jc w:val="both"/>
        <w:rPr>
          <w:b w:val="false"/>
          <w:b w:val="false"/>
          <w:bCs w:val="false"/>
        </w:rPr>
      </w:pPr>
      <w:r>
        <w:rPr>
          <w:rFonts w:cs="Segoe UI Light"/>
          <w:b w:val="false"/>
          <w:bCs w:val="false"/>
          <w:color w:val="000000" w:themeColor="text1"/>
          <w:sz w:val="21"/>
          <w:szCs w:val="21"/>
          <w:lang w:val="pl-PL"/>
        </w:rPr>
        <w:t xml:space="preserve">W 2015 r. podczas </w:t>
      </w:r>
      <w:r>
        <w:rPr>
          <w:rFonts w:eastAsia="Calibri" w:cs="Segoe UI Light"/>
          <w:b w:val="false"/>
          <w:bCs w:val="false"/>
          <w:color w:val="000000" w:themeColor="text1"/>
          <w:kern w:val="2"/>
          <w:sz w:val="21"/>
          <w:szCs w:val="21"/>
          <w:lang w:val="pl-PL" w:eastAsia="en-US" w:bidi="ar-SA"/>
        </w:rPr>
        <w:t>dostosowania</w:t>
      </w:r>
      <w:r>
        <w:rPr>
          <w:rFonts w:cs="Segoe UI Light"/>
          <w:b w:val="false"/>
          <w:bCs w:val="false"/>
          <w:color w:val="000000" w:themeColor="text1"/>
          <w:sz w:val="21"/>
          <w:szCs w:val="21"/>
          <w:lang w:val="pl-PL"/>
        </w:rPr>
        <w:t xml:space="preserve"> pomieszczenia pod obecny tomograf SOMATOM SCOPE skuto istniejącą warstwę podłogową do wierzchu konstrukcji stropu a następnie wykonano nową płytę żelbetonową o grubości min. 6 cm. Zbrojenie płyty zaprojektowano z jednej siatki (pręty dołem) z prętów #10 co 20 cm (stal A-0). Pręty rozdzielcze #6 co 25 cm (stal A-0), otulina zbrojenia dołem 2,0 cm.  W miejscu zakotwienia stołu pacjenta rozkuto istniejące pustaki stropowe i wypełniono betonem. Po zabetonowaniu pustaków wykonano nowe zbrojenie posadzki. Wierzch płyty zaprojektowano 3 mm poniżej wierzchu podłogi w pomieszczeniu pracowni (grubość wykładziny). W posadzce znajdują się kanały kablowe o głębokości min. 6 cm i szerokości 20 cm. Kanały kablowe po montażu urządzeń medycznych i okablowania zadeklowano blachami grubości 4mm. Wierzch blach pokryto wykładziną. Wykonano dwa otwory w stropie nad piwnicą o średnicy 10 cm. Otwór wykonano w miejscu występowania pustaka stropowego. Powyższe dane wynikają z dokumentacji powykonawczej – „Przystosowanie pomieszczeń na potrzeby instalacji tomografu komputerowego Zespołu Opieki Zdrowotnej w Chełmnie, 86-200 Chełmno, Plac Rydygiera 1”, maj 2015 r.</w:t>
      </w:r>
    </w:p>
    <w:p>
      <w:pPr>
        <w:pStyle w:val="Normal"/>
        <w:spacing w:lineRule="auto" w:line="276"/>
        <w:ind w:hanging="0"/>
        <w:jc w:val="both"/>
        <w:rPr>
          <w:rFonts w:ascii="Calibri" w:hAnsi="Calibri" w:eastAsia="Calibri" w:cs="" w:asciiTheme="minorHAnsi" w:cstheme="minorBidi" w:eastAsiaTheme="minorHAnsi" w:hAnsiTheme="minorHAnsi"/>
          <w:b w:val="false"/>
          <w:b w:val="false"/>
          <w:bCs w:val="false"/>
          <w:shd w:fill="auto" w:val="clear"/>
          <w14:ligatures w14:val="standardContextual"/>
        </w:rPr>
      </w:pPr>
      <w:r>
        <w:rPr>
          <w:rFonts w:eastAsia="Calibri" w:cs="" w:cstheme="minorBidi" w:eastAsiaTheme="minorHAnsi"/>
          <w:b w:val="false"/>
          <w:bCs w:val="false"/>
          <w:shd w:fill="auto" w:val="clear"/>
          <w14:ligatures w14:val="standardContextual"/>
        </w:rPr>
      </w:r>
    </w:p>
    <w:p>
      <w:pPr>
        <w:pStyle w:val="Normal"/>
        <w:spacing w:lineRule="auto" w:line="276"/>
        <w:ind w:hanging="0"/>
        <w:jc w:val="both"/>
        <w:rPr>
          <w:rFonts w:ascii="Calibri" w:hAnsi="Calibri" w:eastAsia="Calibri" w:cs="" w:asciiTheme="minorHAnsi" w:cstheme="minorBidi" w:eastAsiaTheme="minorHAnsi" w:hAnsiTheme="minorHAnsi"/>
          <w:b w:val="false"/>
          <w:b w:val="false"/>
          <w:bCs w:val="false"/>
          <w:shd w:fill="auto" w:val="clear"/>
          <w14:ligatures w14:val="standardContextual"/>
        </w:rPr>
      </w:pPr>
      <w:r>
        <w:rPr>
          <w:rFonts w:eastAsia="Calibri" w:cs="" w:cstheme="minorBidi" w:eastAsiaTheme="minorHAnsi"/>
          <w:b w:val="false"/>
          <w:bCs w:val="false"/>
          <w:shd w:fill="auto" w:val="clear"/>
          <w14:ligatures w14:val="standardContextual"/>
        </w:rPr>
      </w:r>
    </w:p>
    <w:p>
      <w:pPr>
        <w:pStyle w:val="Normal"/>
        <w:spacing w:lineRule="auto" w:line="276"/>
        <w:ind w:left="-15" w:firstLine="15"/>
        <w:jc w:val="both"/>
        <w:rPr>
          <w:b w:val="false"/>
          <w:b w:val="false"/>
          <w:bCs w:val="false"/>
        </w:rPr>
      </w:pPr>
      <w:r>
        <w:rPr>
          <w:rFonts w:cs="Segoe UI Light"/>
          <w:b w:val="false"/>
          <w:bCs w:val="false"/>
          <w:color w:val="000000" w:themeColor="text1"/>
          <w:sz w:val="21"/>
          <w:szCs w:val="21"/>
          <w:lang w:val="pl-PL"/>
        </w:rPr>
        <w:t>2. Przewidywany z</w:t>
      </w:r>
      <w:r>
        <w:rPr>
          <w:b w:val="false"/>
          <w:bCs w:val="false"/>
          <w:sz w:val="21"/>
          <w:szCs w:val="21"/>
        </w:rPr>
        <w:t>akres prac do wykonania w związku z wymianą aparatu TK:</w:t>
      </w:r>
    </w:p>
    <w:tbl>
      <w:tblPr>
        <w:tblStyle w:val="Tabela-Siatka"/>
        <w:tblW w:w="906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704"/>
        <w:gridCol w:w="5337"/>
        <w:gridCol w:w="3021"/>
      </w:tblGrid>
      <w:tr>
        <w:trPr/>
        <w:tc>
          <w:tcPr>
            <w:tcW w:w="704" w:type="dxa"/>
            <w:tcBorders/>
            <w:vAlign w:val="center"/>
          </w:tcPr>
          <w:p>
            <w:pPr>
              <w:pStyle w:val="Normal"/>
              <w:widowControl w:val="false"/>
              <w:suppressAutoHyphens w:val="true"/>
              <w:spacing w:lineRule="auto" w:line="240" w:before="0" w:after="0"/>
              <w:jc w:val="center"/>
              <w:rPr>
                <w:rFonts w:ascii="Calibri" w:hAnsi="Calibri"/>
                <w:b/>
                <w:b/>
                <w:bCs/>
                <w:sz w:val="21"/>
                <w:szCs w:val="21"/>
              </w:rPr>
            </w:pPr>
            <w:r>
              <w:rPr>
                <w:rFonts w:eastAsia="Calibri" w:cs=""/>
                <w:b/>
                <w:bCs/>
                <w:kern w:val="2"/>
                <w:sz w:val="21"/>
                <w:szCs w:val="21"/>
                <w:lang w:val="pl-PL" w:eastAsia="en-US" w:bidi="ar-SA"/>
              </w:rPr>
              <w:t>LP</w:t>
            </w:r>
          </w:p>
        </w:tc>
        <w:tc>
          <w:tcPr>
            <w:tcW w:w="5337" w:type="dxa"/>
            <w:tcBorders/>
            <w:vAlign w:val="center"/>
          </w:tcPr>
          <w:p>
            <w:pPr>
              <w:pStyle w:val="Normal"/>
              <w:widowControl w:val="false"/>
              <w:suppressAutoHyphens w:val="true"/>
              <w:spacing w:lineRule="auto" w:line="240" w:before="0" w:after="0"/>
              <w:jc w:val="center"/>
              <w:rPr>
                <w:rFonts w:ascii="Calibri" w:hAnsi="Calibri"/>
                <w:b/>
                <w:b/>
                <w:bCs/>
                <w:sz w:val="21"/>
                <w:szCs w:val="21"/>
              </w:rPr>
            </w:pPr>
            <w:r>
              <w:rPr>
                <w:rFonts w:eastAsia="Calibri" w:cs=""/>
                <w:b/>
                <w:bCs/>
                <w:kern w:val="2"/>
                <w:sz w:val="21"/>
                <w:szCs w:val="21"/>
                <w:lang w:val="pl-PL" w:eastAsia="en-US" w:bidi="ar-SA"/>
              </w:rPr>
              <w:t>ZAKRES</w:t>
            </w:r>
          </w:p>
        </w:tc>
        <w:tc>
          <w:tcPr>
            <w:tcW w:w="3021" w:type="dxa"/>
            <w:tcBorders/>
            <w:vAlign w:val="center"/>
          </w:tcPr>
          <w:p>
            <w:pPr>
              <w:pStyle w:val="Normal"/>
              <w:widowControl w:val="false"/>
              <w:suppressAutoHyphens w:val="true"/>
              <w:spacing w:lineRule="auto" w:line="240" w:before="0" w:after="0"/>
              <w:jc w:val="center"/>
              <w:rPr>
                <w:rFonts w:ascii="Calibri" w:hAnsi="Calibri"/>
                <w:b/>
                <w:b/>
                <w:bCs/>
                <w:sz w:val="21"/>
                <w:szCs w:val="21"/>
              </w:rPr>
            </w:pPr>
            <w:r>
              <w:rPr>
                <w:rFonts w:eastAsia="Calibri" w:cs=""/>
                <w:b/>
                <w:bCs/>
                <w:kern w:val="2"/>
                <w:sz w:val="21"/>
                <w:szCs w:val="21"/>
                <w:lang w:val="pl-PL" w:eastAsia="en-US" w:bidi="ar-SA"/>
              </w:rPr>
              <w:t>ILOŚĆ i J.M. / INNE</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1</w:t>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 xml:space="preserve">Demontaż wykładziny w pracowni TK </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31,5 m</w:t>
            </w:r>
            <w:r>
              <w:rPr>
                <w:rFonts w:eastAsia="Calibri" w:cs=""/>
                <w:kern w:val="2"/>
                <w:sz w:val="21"/>
                <w:szCs w:val="21"/>
                <w:vertAlign w:val="superscript"/>
                <w:lang w:val="pl-PL" w:eastAsia="en-US" w:bidi="ar-SA"/>
              </w:rPr>
              <w:t>2</w:t>
            </w:r>
          </w:p>
        </w:tc>
      </w:tr>
      <w:tr>
        <w:trPr/>
        <w:tc>
          <w:tcPr>
            <w:tcW w:w="704" w:type="dxa"/>
            <w:tcBorders>
              <w:top w:val="nil"/>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t>2</w:t>
            </w:r>
          </w:p>
        </w:tc>
        <w:tc>
          <w:tcPr>
            <w:tcW w:w="5337" w:type="dxa"/>
            <w:tcBorders>
              <w:top w:val="nil"/>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 xml:space="preserve">Dostawa i montaż wykładziny prądoprzewodzącej </w:t>
            </w:r>
          </w:p>
        </w:tc>
        <w:tc>
          <w:tcPr>
            <w:tcW w:w="3021" w:type="dxa"/>
            <w:tcBorders>
              <w:top w:val="nil"/>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31,5 m</w:t>
            </w:r>
            <w:r>
              <w:rPr>
                <w:rFonts w:eastAsia="Calibri" w:cs=""/>
                <w:kern w:val="2"/>
                <w:sz w:val="21"/>
                <w:szCs w:val="21"/>
                <w:vertAlign w:val="superscript"/>
                <w:lang w:val="pl-PL" w:eastAsia="en-US" w:bidi="ar-SA"/>
              </w:rPr>
              <w:t>2</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sz w:val="21"/>
                <w:szCs w:val="21"/>
                <w:shd w:fill="auto" w:val="clear"/>
              </w:rPr>
            </w:pPr>
            <w:r>
              <w:rPr>
                <w:rFonts w:eastAsia="Calibri" w:cs=""/>
                <w:kern w:val="2"/>
                <w:sz w:val="21"/>
                <w:szCs w:val="21"/>
                <w:shd w:fill="auto" w:val="clear"/>
                <w:lang w:val="pl-PL" w:eastAsia="en-US" w:bidi="ar-SA"/>
              </w:rPr>
              <w:t xml:space="preserve">Sprawdzenie nośności stropu i zapewnienie podłoża odpowiedniego do montażu gantry i stołu pacjenta tj. </w:t>
            </w:r>
            <w:r>
              <w:rPr>
                <w:rFonts w:eastAsia="Calibri" w:cs="" w:cstheme="minorBidi" w:eastAsiaTheme="minorHAnsi"/>
                <w:kern w:val="2"/>
                <w:sz w:val="21"/>
                <w:szCs w:val="21"/>
                <w:shd w:fill="auto" w:val="clear"/>
                <w:lang w:val="pl-PL" w:eastAsia="en-US" w:bidi="ar-SA"/>
                <w14:ligatures w14:val="standardContextual"/>
              </w:rPr>
              <w:t>uzyskanie ekspertyzy technicznej potwierdzającej możliwość</w:t>
            </w:r>
          </w:p>
          <w:p>
            <w:pPr>
              <w:pStyle w:val="Normal"/>
              <w:widowControl w:val="false"/>
              <w:suppressAutoHyphens w:val="true"/>
              <w:spacing w:lineRule="auto" w:line="240" w:before="0" w:after="0"/>
              <w:jc w:val="center"/>
              <w:rPr>
                <w:rFonts w:eastAsia="Calibri" w:cs=""/>
                <w:sz w:val="21"/>
                <w:szCs w:val="21"/>
                <w:shd w:fill="auto" w:val="clear"/>
              </w:rPr>
            </w:pPr>
            <w:r>
              <w:rPr>
                <w:rFonts w:eastAsia="Calibri" w:cs="" w:cstheme="minorBidi" w:eastAsiaTheme="minorHAnsi"/>
                <w:kern w:val="2"/>
                <w:sz w:val="21"/>
                <w:szCs w:val="21"/>
                <w:shd w:fill="auto" w:val="clear"/>
                <w:lang w:val="pl-PL" w:eastAsia="en-US" w:bidi="ar-SA"/>
                <w14:ligatures w14:val="standardContextual"/>
              </w:rPr>
              <w:t>posadowienia instalowanego tomografu komputerowego w istniejącej Pracowni TK</w:t>
            </w:r>
          </w:p>
        </w:tc>
        <w:tc>
          <w:tcPr>
            <w:tcW w:w="3021" w:type="dxa"/>
            <w:tcBorders/>
            <w:vAlign w:val="center"/>
          </w:tcPr>
          <w:p>
            <w:pPr>
              <w:pStyle w:val="Normal"/>
              <w:widowControl w:val="false"/>
              <w:suppressAutoHyphens w:val="true"/>
              <w:spacing w:lineRule="auto" w:line="240" w:before="0" w:after="0"/>
              <w:jc w:val="center"/>
              <w:rPr>
                <w:sz w:val="21"/>
                <w:szCs w:val="21"/>
                <w:shd w:fill="auto" w:val="clear"/>
              </w:rPr>
            </w:pPr>
            <w:r>
              <w:rPr>
                <w:rFonts w:eastAsia="Calibri" w:cs=""/>
                <w:kern w:val="2"/>
                <w:sz w:val="21"/>
                <w:szCs w:val="21"/>
                <w:shd w:fill="auto" w:val="clear"/>
                <w:lang w:val="pl-PL" w:eastAsia="en-US" w:bidi="ar-SA"/>
              </w:rPr>
              <w:t>W przypadku konieczności wzmocnienia podłoża, wykonanie wylewki samopoziomującej do stosowania wewnątrz pomieszczeń.</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shd w:fill="auto" w:val="clear"/>
              </w:rPr>
            </w:pPr>
            <w:r>
              <w:rPr>
                <w:rFonts w:eastAsia="Calibri" w:cs=""/>
                <w:kern w:val="2"/>
                <w:sz w:val="21"/>
                <w:szCs w:val="21"/>
                <w:shd w:fill="auto" w:val="clear"/>
                <w:lang w:val="pl-PL" w:eastAsia="en-US" w:bidi="ar-SA"/>
              </w:rPr>
              <w:t xml:space="preserve">Wykonanie podłogowych kanałów instalacyjnych do rozprowadzenia okablowania pomiędzy elementami aparatu - </w:t>
            </w:r>
            <w:r>
              <w:rPr>
                <w:rFonts w:eastAsia="Calibri" w:cs=""/>
                <w:color w:val="000000"/>
                <w:kern w:val="2"/>
                <w:shd w:fill="auto" w:val="clear"/>
                <w:lang w:val="pl-PL" w:eastAsia="en-US" w:bidi="ar-SA"/>
              </w:rPr>
              <w:t>zgodnie z wytycznymi dostawcy aparatu CT</w:t>
            </w:r>
            <w:r>
              <w:rPr>
                <w:rFonts w:eastAsia="Calibri" w:cs=""/>
                <w:kern w:val="2"/>
                <w:shd w:fill="auto" w:val="clear"/>
                <w:lang w:val="pl-PL" w:eastAsia="en-US" w:bidi="ar-SA"/>
              </w:rPr>
              <w:t xml:space="preserve"> </w:t>
            </w:r>
          </w:p>
        </w:tc>
        <w:tc>
          <w:tcPr>
            <w:tcW w:w="3021" w:type="dxa"/>
            <w:tcBorders/>
            <w:vAlign w:val="center"/>
          </w:tcPr>
          <w:p>
            <w:pPr>
              <w:pStyle w:val="Tretekstu"/>
              <w:widowControl w:val="false"/>
              <w:suppressAutoHyphens w:val="true"/>
              <w:spacing w:lineRule="auto" w:line="240" w:before="0" w:after="0"/>
              <w:jc w:val="center"/>
              <w:rPr>
                <w:color w:val="000000"/>
                <w:shd w:fill="auto" w:val="clear"/>
              </w:rPr>
            </w:pPr>
            <w:r>
              <w:rPr>
                <w:rFonts w:eastAsia="Calibri" w:cs="" w:cstheme="minorBidi" w:eastAsiaTheme="minorHAnsi"/>
                <w:color w:val="000000"/>
                <w:sz w:val="21"/>
                <w:szCs w:val="21"/>
                <w:shd w:fill="auto" w:val="clear"/>
                <w14:ligatures w14:val="standardContextual"/>
              </w:rPr>
              <w:t xml:space="preserve">3,2 </w:t>
            </w:r>
            <w:r>
              <w:rPr>
                <w:rFonts w:eastAsia="Calibri" w:cs="" w:cstheme="minorBidi" w:eastAsiaTheme="minorHAnsi"/>
                <w:color w:val="000000"/>
                <w:shd w:fill="auto" w:val="clear"/>
                <w14:ligatures w14:val="standardContextual"/>
              </w:rPr>
              <w:t>mb</w:t>
            </w:r>
          </w:p>
          <w:p>
            <w:pPr>
              <w:pStyle w:val="Normal"/>
              <w:widowControl w:val="false"/>
              <w:suppressAutoHyphens w:val="true"/>
              <w:spacing w:lineRule="auto" w:line="240" w:before="0" w:after="0"/>
              <w:jc w:val="center"/>
              <w:rPr>
                <w:rFonts w:ascii="Calibri" w:hAnsi="Calibri"/>
                <w:sz w:val="21"/>
                <w:szCs w:val="21"/>
                <w:shd w:fill="auto" w:val="clear"/>
              </w:rPr>
            </w:pPr>
            <w:r>
              <w:rPr>
                <w:sz w:val="21"/>
                <w:szCs w:val="21"/>
                <w:shd w:fill="auto" w:val="clear"/>
              </w:rPr>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sz w:val="21"/>
                <w:szCs w:val="21"/>
                <w:shd w:fill="auto" w:val="clear"/>
              </w:rPr>
            </w:pPr>
            <w:r>
              <w:rPr>
                <w:rFonts w:eastAsia="Calibri" w:cs=""/>
                <w:kern w:val="2"/>
                <w:sz w:val="21"/>
                <w:szCs w:val="21"/>
                <w:shd w:fill="auto" w:val="clear"/>
                <w:lang w:val="pl-PL" w:eastAsia="en-US" w:bidi="ar-SA"/>
              </w:rPr>
              <w:t>Wykonanie instalacji uziemiającej wykładzinę proądoprzewodzącą.</w:t>
            </w:r>
          </w:p>
        </w:tc>
        <w:tc>
          <w:tcPr>
            <w:tcW w:w="3021" w:type="dxa"/>
            <w:tcBorders/>
            <w:vAlign w:val="center"/>
          </w:tcPr>
          <w:p>
            <w:pPr>
              <w:pStyle w:val="Normal"/>
              <w:widowControl w:val="false"/>
              <w:suppressAutoHyphens w:val="true"/>
              <w:spacing w:lineRule="auto" w:line="240" w:before="0" w:after="0"/>
              <w:jc w:val="center"/>
              <w:rPr>
                <w:sz w:val="21"/>
                <w:szCs w:val="21"/>
                <w:shd w:fill="auto" w:val="clear"/>
              </w:rPr>
            </w:pPr>
            <w:r>
              <w:rPr>
                <w:rFonts w:eastAsia="Calibri" w:cs=""/>
                <w:kern w:val="2"/>
                <w:sz w:val="21"/>
                <w:szCs w:val="21"/>
                <w:shd w:fill="auto" w:val="clear"/>
                <w:lang w:val="pl-PL" w:eastAsia="en-US" w:bidi="ar-SA"/>
              </w:rPr>
              <w:t>1 kpl.</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cs="" w:asciiTheme="minorHAnsi" w:cstheme="minorBidi" w:hAnsiTheme="minorHAnsi"/>
                <w:sz w:val="21"/>
                <w:szCs w:val="21"/>
                <w:shd w:fill="FFFF00" w:val="clear"/>
                <w14:ligatures w14:val="standardContextual"/>
              </w:rPr>
            </w:pPr>
            <w:r>
              <w:rPr>
                <w:rFonts w:cs="" w:cstheme="minorBidi"/>
                <w:sz w:val="21"/>
                <w:szCs w:val="21"/>
                <w:shd w:fill="FFFF00" w:val="clear"/>
                <w14:ligatures w14:val="standardContextual"/>
              </w:rPr>
            </w:r>
          </w:p>
        </w:tc>
        <w:tc>
          <w:tcPr>
            <w:tcW w:w="5337" w:type="dxa"/>
            <w:tcBorders/>
            <w:vAlign w:val="center"/>
          </w:tcPr>
          <w:p>
            <w:pPr>
              <w:pStyle w:val="Normal"/>
              <w:widowControl w:val="false"/>
              <w:suppressAutoHyphens w:val="true"/>
              <w:spacing w:lineRule="auto" w:line="240" w:before="0" w:after="0"/>
              <w:jc w:val="center"/>
              <w:rPr>
                <w:rFonts w:eastAsia="Calibri" w:cs=""/>
                <w:sz w:val="21"/>
                <w:szCs w:val="21"/>
                <w:shd w:fill="auto" w:val="clear"/>
              </w:rPr>
            </w:pPr>
            <w:r>
              <w:rPr>
                <w:rFonts w:eastAsia="Calibri" w:cs="" w:cstheme="minorBidi" w:eastAsiaTheme="minorHAnsi"/>
                <w:kern w:val="2"/>
                <w:sz w:val="21"/>
                <w:szCs w:val="21"/>
                <w:shd w:fill="auto" w:val="clear"/>
                <w:lang w:val="pl-PL" w:eastAsia="en-US" w:bidi="ar-SA"/>
                <w14:ligatures w14:val="standardContextual"/>
              </w:rPr>
              <w:t>Zapewnienie zasilania aparatu: położenie kabla zasilania do tablicy rozdzielczej aparatu, wykonanie tablicy rozdzielczej, doprowadzenie kabla zasilania od tablicy do gantry, wykonanie pomiaru impedancji linii.</w:t>
            </w:r>
          </w:p>
        </w:tc>
        <w:tc>
          <w:tcPr>
            <w:tcW w:w="3021" w:type="dxa"/>
            <w:tcBorders/>
            <w:vAlign w:val="center"/>
          </w:tcPr>
          <w:p>
            <w:pPr>
              <w:pStyle w:val="Normal"/>
              <w:widowControl w:val="false"/>
              <w:suppressAutoHyphens w:val="true"/>
              <w:spacing w:lineRule="auto" w:line="240" w:before="0" w:after="0"/>
              <w:jc w:val="center"/>
              <w:rPr>
                <w:rFonts w:cs=""/>
                <w:sz w:val="21"/>
                <w:szCs w:val="21"/>
                <w:shd w:fill="auto" w:val="clear"/>
              </w:rPr>
            </w:pPr>
            <w:r>
              <w:rPr>
                <w:rFonts w:eastAsia="Calibri" w:cs="" w:cstheme="minorBidi" w:eastAsiaTheme="minorHAnsi"/>
                <w:sz w:val="21"/>
                <w:szCs w:val="21"/>
                <w:shd w:fill="auto" w:val="clear"/>
                <w14:ligatures w14:val="standardContextual"/>
              </w:rPr>
              <w:t xml:space="preserve">1 kpl. </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sz w:val="21"/>
                <w:szCs w:val="21"/>
                <w:shd w:fill="auto" w:val="clear"/>
              </w:rPr>
            </w:pPr>
            <w:r>
              <w:rPr>
                <w:rFonts w:eastAsia="Calibri" w:cs=""/>
                <w:kern w:val="2"/>
                <w:sz w:val="21"/>
                <w:szCs w:val="21"/>
                <w:shd w:fill="auto" w:val="clear"/>
                <w:lang w:val="pl-PL" w:eastAsia="en-US" w:bidi="ar-SA"/>
              </w:rPr>
              <w:t>Dostawa i montaż tablicy zasilającej zgodnie z wytycznymi dostawcy aparatu.</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1 kpl.</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 xml:space="preserve">Dostawa i montaż klimatyzatora naściennego o parametrach pracy zgodnych z wytycznymi dostawcy aparatu wraz z wykonaniem instalacji elektrycznej do zasilania wraz z sprawdzeniem instalacji i klimatyzacji z uwzględnieniem wydatków ciepła od elementów składowych aparatu, przedmuchanie instalacji. </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1 kpl.</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Wymiana oświetlenia podstawowego w pracowni</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6 szt.</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Wymiana armatury elektrycznej w pracowni (gniazda oraz włączniki).</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1 kpl.</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Wymiana (dostawa, instalacja i okablowanie) dla wyłączników bezpieczeństwa (awaryjnego wyłączania).</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2 kpl.</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Dostawa, montaż i okablowanie lamp ostrzegających o promieniowaniu wraz z wymianą opraw.</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2 kpl.</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Dwukrotne malowanie ścian pracowni farbami odpornymi na zmywanie i umożliwiającymi dezynfekcję</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60,6 m</w:t>
            </w:r>
            <w:r>
              <w:rPr>
                <w:rFonts w:eastAsia="Calibri" w:cs=""/>
                <w:kern w:val="2"/>
                <w:sz w:val="21"/>
                <w:szCs w:val="21"/>
                <w:vertAlign w:val="superscript"/>
                <w:lang w:val="pl-PL" w:eastAsia="en-US" w:bidi="ar-SA"/>
              </w:rPr>
              <w:t>2</w:t>
            </w:r>
          </w:p>
        </w:tc>
      </w:tr>
      <w:tr>
        <w:trPr/>
        <w:tc>
          <w:tcPr>
            <w:tcW w:w="704" w:type="dxa"/>
            <w:tcBorders/>
            <w:vAlign w:val="center"/>
          </w:tcPr>
          <w:p>
            <w:pPr>
              <w:pStyle w:val="Normal"/>
              <w:widowControl w:val="false"/>
              <w:suppressAutoHyphens w:val="true"/>
              <w:spacing w:lineRule="auto" w:line="240" w:before="0" w:after="0"/>
              <w:jc w:val="center"/>
              <w:rPr>
                <w:rFonts w:ascii="Calibri" w:hAnsi="Calibri"/>
                <w:sz w:val="21"/>
                <w:szCs w:val="21"/>
              </w:rPr>
            </w:pPr>
            <w:r>
              <w:rPr>
                <w:sz w:val="21"/>
                <w:szCs w:val="21"/>
              </w:rPr>
            </w:r>
          </w:p>
        </w:tc>
        <w:tc>
          <w:tcPr>
            <w:tcW w:w="5337"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Dwukrotne malowanie ścian sterowni farbami odpornymi na zmywanie i umożliwiającymi dezynfekcję</w:t>
            </w:r>
          </w:p>
        </w:tc>
        <w:tc>
          <w:tcPr>
            <w:tcW w:w="3021" w:type="dxa"/>
            <w:tcBorders/>
            <w:vAlign w:val="center"/>
          </w:tcPr>
          <w:p>
            <w:pPr>
              <w:pStyle w:val="Normal"/>
              <w:widowControl w:val="false"/>
              <w:suppressAutoHyphens w:val="true"/>
              <w:spacing w:lineRule="auto" w:line="240" w:before="0" w:after="0"/>
              <w:jc w:val="center"/>
              <w:rPr>
                <w:rFonts w:ascii="Calibri" w:hAnsi="Calibri"/>
                <w:sz w:val="21"/>
                <w:szCs w:val="21"/>
              </w:rPr>
            </w:pPr>
            <w:r>
              <w:rPr>
                <w:rFonts w:eastAsia="Calibri" w:cs=""/>
                <w:kern w:val="2"/>
                <w:sz w:val="21"/>
                <w:szCs w:val="21"/>
                <w:lang w:val="pl-PL" w:eastAsia="en-US" w:bidi="ar-SA"/>
              </w:rPr>
              <w:t>23,1m</w:t>
            </w:r>
            <w:r>
              <w:rPr>
                <w:rFonts w:eastAsia="Calibri" w:cs=""/>
                <w:kern w:val="2"/>
                <w:sz w:val="21"/>
                <w:szCs w:val="21"/>
                <w:vertAlign w:val="superscript"/>
                <w:lang w:val="pl-PL" w:eastAsia="en-US" w:bidi="ar-SA"/>
              </w:rPr>
              <w:t>2</w:t>
            </w:r>
          </w:p>
        </w:tc>
      </w:tr>
    </w:tbl>
    <w:p>
      <w:pPr>
        <w:pStyle w:val="Normal"/>
        <w:jc w:val="both"/>
        <w:rPr>
          <w:rFonts w:ascii="Calibri" w:hAnsi="Calibri"/>
          <w:sz w:val="21"/>
          <w:szCs w:val="21"/>
        </w:rPr>
      </w:pPr>
      <w:r>
        <w:rPr>
          <w:sz w:val="21"/>
          <w:szCs w:val="21"/>
        </w:rPr>
      </w:r>
    </w:p>
    <w:p>
      <w:pPr>
        <w:pStyle w:val="Normal"/>
        <w:jc w:val="both"/>
        <w:rPr>
          <w:rFonts w:ascii="Calibri" w:hAnsi="Calibri"/>
          <w:sz w:val="21"/>
          <w:szCs w:val="21"/>
        </w:rPr>
      </w:pPr>
      <w:r>
        <w:rPr>
          <w:sz w:val="21"/>
          <w:szCs w:val="21"/>
        </w:rPr>
        <w:t xml:space="preserve">Zgodnie z aktualnym Projektem osłon stałych (pod nowy tomograf  </w:t>
      </w:r>
      <w:r>
        <w:rPr>
          <w:rFonts w:eastAsia="Calibri" w:cs="Segoe UI Light"/>
          <w:b w:val="false"/>
          <w:bCs w:val="false"/>
          <w:color w:val="000000" w:themeColor="text1"/>
          <w:kern w:val="2"/>
          <w:sz w:val="21"/>
          <w:szCs w:val="21"/>
          <w:lang w:val="pl-PL" w:eastAsia="en-US" w:bidi="ar-SA"/>
        </w:rPr>
        <w:t>SOMATOM go.Top) nie przewiduje się dodatkowych osłon dla ścian, stropów, okien, drzwi. Obecne osłony stanowią wystarczającą ochronę przed promieniowaniem.</w:t>
      </w:r>
    </w:p>
    <w:p>
      <w:pPr>
        <w:pStyle w:val="Normal"/>
        <w:jc w:val="both"/>
        <w:rPr>
          <w:rFonts w:ascii="Calibri" w:hAnsi="Calibri"/>
          <w:sz w:val="21"/>
          <w:szCs w:val="21"/>
        </w:rPr>
      </w:pPr>
      <w:r>
        <w:rPr>
          <w:sz w:val="21"/>
          <w:szCs w:val="21"/>
        </w:rPr>
        <w:t>Wszelkie odpady powstałe w wyniku prac wykonawca zutylizuje we własnym zakresie, na własny koszt.</w:t>
      </w:r>
    </w:p>
    <w:p>
      <w:pPr>
        <w:pStyle w:val="Normal"/>
        <w:jc w:val="both"/>
        <w:rPr>
          <w:rFonts w:ascii="Calibri" w:hAnsi="Calibri"/>
          <w:sz w:val="21"/>
          <w:szCs w:val="21"/>
        </w:rPr>
      </w:pPr>
      <w:r>
        <w:rPr>
          <w:sz w:val="21"/>
          <w:szCs w:val="21"/>
        </w:rPr>
        <w:t>Wszelkie roboty budowlane powinny być wykonane zgodnie z przepisami techniczno-budowlanymi, obowiązującymi Normami oraz zasadami wiedzy technicznej i przepisami BHP.</w:t>
      </w:r>
    </w:p>
    <w:p>
      <w:pPr>
        <w:pStyle w:val="Normal"/>
        <w:jc w:val="both"/>
        <w:rPr>
          <w:sz w:val="21"/>
          <w:szCs w:val="21"/>
        </w:rPr>
      </w:pPr>
      <w:r>
        <w:rPr>
          <w:sz w:val="21"/>
          <w:szCs w:val="21"/>
        </w:rPr>
      </w:r>
    </w:p>
    <w:p>
      <w:pPr>
        <w:pStyle w:val="Normal"/>
        <w:jc w:val="both"/>
        <w:rPr>
          <w:rFonts w:ascii="Calibri" w:hAnsi="Calibri"/>
          <w:sz w:val="21"/>
          <w:szCs w:val="21"/>
        </w:rPr>
      </w:pPr>
      <w:r>
        <w:rPr>
          <w:sz w:val="21"/>
          <w:szCs w:val="21"/>
        </w:rPr>
      </w:r>
    </w:p>
    <w:p>
      <w:pPr>
        <w:pStyle w:val="Normal"/>
        <w:jc w:val="both"/>
        <w:rPr>
          <w:rFonts w:ascii="Calibri" w:hAnsi="Calibri"/>
          <w:sz w:val="21"/>
          <w:szCs w:val="21"/>
        </w:rPr>
      </w:pPr>
      <w:r>
        <w:rPr/>
      </w:r>
    </w:p>
    <w:p>
      <w:pPr>
        <w:pStyle w:val="Normal"/>
        <w:jc w:val="both"/>
        <w:rPr>
          <w:rFonts w:ascii="Calibri" w:hAnsi="Calibri"/>
          <w:sz w:val="21"/>
          <w:szCs w:val="21"/>
        </w:rPr>
      </w:pPr>
      <w:r>
        <w:rPr>
          <w:sz w:val="21"/>
          <w:szCs w:val="21"/>
        </w:rPr>
        <w:t>3. Zdjęcia podglądowe.</w:t>
      </w:r>
    </w:p>
    <w:p>
      <w:pPr>
        <w:pStyle w:val="Normal"/>
        <w:jc w:val="both"/>
        <w:rPr>
          <w:rFonts w:ascii="Calibri" w:hAnsi="Calibri"/>
          <w:sz w:val="21"/>
          <w:szCs w:val="21"/>
        </w:rPr>
      </w:pPr>
      <w:r>
        <w:rPr>
          <w:sz w:val="21"/>
          <w:szCs w:val="21"/>
        </w:rPr>
        <w:t>Stan istniejący – Pracownia TK</w:t>
      </w:r>
    </w:p>
    <w:p>
      <w:pPr>
        <w:pStyle w:val="Normal"/>
        <w:jc w:val="both"/>
        <w:rPr>
          <w:rFonts w:ascii="Calibri" w:hAnsi="Calibri"/>
          <w:sz w:val="21"/>
          <w:szCs w:val="21"/>
        </w:rPr>
      </w:pPr>
      <w:r>
        <w:rPr>
          <w:sz w:val="21"/>
          <w:szCs w:val="21"/>
        </w:rPr>
        <w:drawing>
          <wp:anchor behindDoc="0" distT="0" distB="0" distL="0" distR="0" simplePos="0" locked="0" layoutInCell="0" allowOverlap="1" relativeHeight="3">
            <wp:simplePos x="0" y="0"/>
            <wp:positionH relativeFrom="column">
              <wp:align>center</wp:align>
            </wp:positionH>
            <wp:positionV relativeFrom="paragraph">
              <wp:posOffset>635</wp:posOffset>
            </wp:positionV>
            <wp:extent cx="5760720" cy="3400425"/>
            <wp:effectExtent l="0" t="0" r="0" b="0"/>
            <wp:wrapSquare wrapText="largest"/>
            <wp:docPr id="2" name="Obraz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
                    <pic:cNvPicPr>
                      <a:picLocks noChangeAspect="1" noChangeArrowheads="1"/>
                    </pic:cNvPicPr>
                  </pic:nvPicPr>
                  <pic:blipFill>
                    <a:blip r:embed="rId3"/>
                    <a:stretch>
                      <a:fillRect/>
                    </a:stretch>
                  </pic:blipFill>
                  <pic:spPr bwMode="auto">
                    <a:xfrm>
                      <a:off x="0" y="0"/>
                      <a:ext cx="5760720" cy="3400425"/>
                    </a:xfrm>
                    <a:prstGeom prst="rect">
                      <a:avLst/>
                    </a:prstGeom>
                  </pic:spPr>
                </pic:pic>
              </a:graphicData>
            </a:graphic>
          </wp:anchor>
        </w:drawing>
      </w:r>
    </w:p>
    <w:p>
      <w:pPr>
        <w:pStyle w:val="Normal"/>
        <w:jc w:val="both"/>
        <w:rPr>
          <w:rFonts w:ascii="Calibri" w:hAnsi="Calibri"/>
          <w:sz w:val="21"/>
          <w:szCs w:val="21"/>
        </w:rPr>
      </w:pPr>
      <w:r>
        <w:rPr>
          <w:sz w:val="21"/>
          <w:szCs w:val="21"/>
        </w:rPr>
        <w:t>Stan istniejący – Sterownia</w:t>
      </w:r>
    </w:p>
    <w:p>
      <w:pPr>
        <w:pStyle w:val="Normal"/>
        <w:jc w:val="both"/>
        <w:rPr>
          <w:rFonts w:ascii="Calibri" w:hAnsi="Calibri"/>
          <w:sz w:val="21"/>
          <w:szCs w:val="21"/>
        </w:rPr>
      </w:pPr>
      <w:r>
        <w:rPr>
          <w:sz w:val="21"/>
          <w:szCs w:val="21"/>
        </w:rPr>
        <w:drawing>
          <wp:anchor behindDoc="0" distT="0" distB="0" distL="0" distR="0" simplePos="0" locked="0" layoutInCell="0" allowOverlap="1" relativeHeight="4">
            <wp:simplePos x="0" y="0"/>
            <wp:positionH relativeFrom="column">
              <wp:align>center</wp:align>
            </wp:positionH>
            <wp:positionV relativeFrom="paragraph">
              <wp:posOffset>635</wp:posOffset>
            </wp:positionV>
            <wp:extent cx="5701030" cy="3750310"/>
            <wp:effectExtent l="0" t="0" r="0" b="0"/>
            <wp:wrapSquare wrapText="largest"/>
            <wp:docPr id="3" name="Obraz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3" descr=""/>
                    <pic:cNvPicPr>
                      <a:picLocks noChangeAspect="1" noChangeArrowheads="1"/>
                    </pic:cNvPicPr>
                  </pic:nvPicPr>
                  <pic:blipFill>
                    <a:blip r:embed="rId4"/>
                    <a:stretch>
                      <a:fillRect/>
                    </a:stretch>
                  </pic:blipFill>
                  <pic:spPr bwMode="auto">
                    <a:xfrm>
                      <a:off x="0" y="0"/>
                      <a:ext cx="5701030" cy="3750310"/>
                    </a:xfrm>
                    <a:prstGeom prst="rect">
                      <a:avLst/>
                    </a:prstGeom>
                  </pic:spPr>
                </pic:pic>
              </a:graphicData>
            </a:graphic>
          </wp:anchor>
        </w:drawing>
      </w:r>
    </w:p>
    <w:p>
      <w:pPr>
        <w:pStyle w:val="Normal"/>
        <w:spacing w:before="0" w:after="160"/>
        <w:jc w:val="both"/>
        <w:rPr>
          <w:sz w:val="36"/>
          <w:szCs w:val="36"/>
        </w:rPr>
      </w:pPr>
      <w:r>
        <w:rPr>
          <w:rFonts w:eastAsia="Calibri" w:cs="" w:cstheme="minorBidi" w:eastAsiaTheme="minorHAnsi"/>
          <w:color w:val="000000"/>
          <w:kern w:val="2"/>
          <w:sz w:val="21"/>
          <w:szCs w:val="21"/>
          <w:shd w:fill="auto" w:val="clear"/>
          <w:lang w:val="pl-PL" w:eastAsia="en-US" w:bidi="ar-SA"/>
          <w14:ligatures w14:val="standardContextual"/>
        </w:rPr>
        <w:t>3. Załączniki do niniejszego opracowania:</w:t>
      </w:r>
    </w:p>
    <w:p>
      <w:pPr>
        <w:pStyle w:val="Normal"/>
        <w:spacing w:before="0" w:after="160"/>
        <w:jc w:val="both"/>
        <w:rPr>
          <w:sz w:val="36"/>
          <w:szCs w:val="36"/>
        </w:rPr>
      </w:pPr>
      <w:r>
        <w:rPr>
          <w:rFonts w:eastAsia="Calibri" w:cs="" w:cstheme="minorBidi" w:eastAsiaTheme="minorHAnsi"/>
          <w:sz w:val="21"/>
          <w:szCs w:val="21"/>
          <w:shd w:fill="auto" w:val="clear"/>
          <w14:ligatures w14:val="standardContextual"/>
        </w:rPr>
        <w:t>- specyfikacja sprzętu nowego tomografu,</w:t>
      </w:r>
    </w:p>
    <w:p>
      <w:pPr>
        <w:pStyle w:val="Normal"/>
        <w:spacing w:before="0" w:after="160"/>
        <w:jc w:val="both"/>
        <w:rPr>
          <w:sz w:val="36"/>
          <w:szCs w:val="36"/>
        </w:rPr>
      </w:pPr>
      <w:r>
        <w:rPr>
          <w:rFonts w:eastAsia="Calibri" w:cs="" w:cstheme="minorBidi" w:eastAsiaTheme="minorHAnsi"/>
          <w:sz w:val="21"/>
          <w:szCs w:val="21"/>
          <w:shd w:fill="auto" w:val="clear"/>
          <w14:ligatures w14:val="standardContextual"/>
        </w:rPr>
        <w:t>- koncepcja usadowiania nowego tomografu, przygotowanie podłoża do montażu (informacje montażowe), przygotowanie kanałów kablowych i instalacji dodatkowych, wytyczne dotyczące zasilania,</w:t>
      </w:r>
    </w:p>
    <w:p>
      <w:pPr>
        <w:pStyle w:val="Normal"/>
        <w:spacing w:before="0" w:after="160"/>
        <w:jc w:val="both"/>
        <w:rPr>
          <w:rFonts w:ascii="Calibri" w:hAnsi="Calibri" w:eastAsia="Calibri" w:cs="" w:asciiTheme="minorHAnsi" w:cstheme="minorBidi" w:eastAsiaTheme="minorHAnsi" w:hAnsiTheme="minorHAnsi"/>
          <w:shd w:fill="auto" w:val="clear"/>
          <w14:ligatures w14:val="standardContextual"/>
        </w:rPr>
      </w:pPr>
      <w:r>
        <w:rPr>
          <w:rFonts w:eastAsia="Calibri" w:cs="" w:cstheme="minorBidi" w:eastAsiaTheme="minorHAnsi"/>
          <w:sz w:val="21"/>
          <w:szCs w:val="21"/>
          <w:shd w:fill="auto" w:val="clear"/>
          <w14:ligatures w14:val="standardContextual"/>
        </w:rPr>
        <w:t xml:space="preserve">- dokumentacja powykonawcza aranżacji </w:t>
      </w:r>
      <w:r>
        <w:rPr>
          <w:rFonts w:eastAsia="Calibri" w:cs="" w:cstheme="minorBidi" w:eastAsiaTheme="minorHAnsi"/>
          <w:color w:val="000000"/>
          <w:kern w:val="2"/>
          <w:sz w:val="21"/>
          <w:szCs w:val="21"/>
          <w:shd w:fill="auto" w:val="clear"/>
          <w:lang w:val="pl-PL" w:eastAsia="en-US" w:bidi="ar-SA"/>
          <w14:ligatures w14:val="standardContextual"/>
        </w:rPr>
        <w:t>parter</w:t>
      </w:r>
      <w:r>
        <w:rPr>
          <w:rFonts w:eastAsia="Calibri" w:cs="" w:cstheme="minorBidi" w:eastAsiaTheme="minorHAnsi"/>
          <w:sz w:val="21"/>
          <w:szCs w:val="21"/>
          <w:shd w:fill="auto" w:val="clear"/>
          <w14:ligatures w14:val="standardContextual"/>
        </w:rPr>
        <w:t>,</w:t>
      </w:r>
    </w:p>
    <w:p>
      <w:pPr>
        <w:pStyle w:val="Normal"/>
        <w:spacing w:before="0" w:after="160"/>
        <w:jc w:val="both"/>
        <w:rPr>
          <w:rFonts w:ascii="Calibri" w:hAnsi="Calibri" w:eastAsia="Calibri" w:cs="" w:asciiTheme="minorHAnsi" w:cstheme="minorBidi" w:eastAsiaTheme="minorHAnsi" w:hAnsiTheme="minorHAnsi"/>
          <w:shd w:fill="auto" w:val="clear"/>
          <w14:ligatures w14:val="standardContextual"/>
        </w:rPr>
      </w:pPr>
      <w:r>
        <w:rPr>
          <w:rFonts w:eastAsia="Calibri" w:cs="" w:cstheme="minorBidi" w:eastAsiaTheme="minorHAnsi"/>
          <w:sz w:val="21"/>
          <w:szCs w:val="21"/>
          <w:shd w:fill="auto" w:val="clear"/>
          <w14:ligatures w14:val="standardContextual"/>
        </w:rPr>
        <w:t>- dokumentacja powykonawcza prace budowlane parter,</w:t>
      </w:r>
    </w:p>
    <w:p>
      <w:pPr>
        <w:pStyle w:val="Normal"/>
        <w:spacing w:before="0" w:after="160"/>
        <w:jc w:val="both"/>
        <w:rPr>
          <w:rFonts w:ascii="Calibri" w:hAnsi="Calibri" w:eastAsia="Calibri" w:cs="" w:asciiTheme="minorHAnsi" w:cstheme="minorBidi" w:eastAsiaTheme="minorHAnsi" w:hAnsiTheme="minorHAnsi"/>
          <w:shd w:fill="auto" w:val="clear"/>
          <w14:ligatures w14:val="standardContextual"/>
        </w:rPr>
      </w:pPr>
      <w:r>
        <w:rPr>
          <w:rFonts w:eastAsia="Calibri" w:cs="" w:cstheme="minorBidi" w:eastAsiaTheme="minorHAnsi"/>
          <w:sz w:val="21"/>
          <w:szCs w:val="21"/>
          <w:shd w:fill="auto" w:val="clear"/>
          <w14:ligatures w14:val="standardContextual"/>
        </w:rPr>
        <w:t>- projekt osłon stałych (aktualny),</w:t>
      </w:r>
    </w:p>
    <w:p>
      <w:pPr>
        <w:pStyle w:val="Normal"/>
        <w:spacing w:before="0" w:after="160"/>
        <w:jc w:val="both"/>
        <w:rPr>
          <w:rFonts w:eastAsia="Calibri" w:cs="" w:cstheme="minorBidi" w:eastAsiaTheme="minorHAnsi"/>
          <w:shd w:fill="auto" w:val="clear"/>
          <w14:ligatures w14:val="standardContextual"/>
        </w:rPr>
      </w:pPr>
      <w:r>
        <w:rPr>
          <w:rFonts w:eastAsia="Calibri" w:cs="" w:cstheme="minorBidi" w:eastAsiaTheme="minorHAnsi"/>
          <w:sz w:val="21"/>
          <w:szCs w:val="21"/>
          <w:shd w:fill="auto" w:val="clear"/>
          <w14:ligatures w14:val="standardContextual"/>
        </w:rPr>
        <w:t>- rzut – usytuowanie pracowni TK,</w:t>
      </w:r>
    </w:p>
    <w:p>
      <w:pPr>
        <w:pStyle w:val="Normal"/>
        <w:spacing w:before="0" w:after="160"/>
        <w:jc w:val="both"/>
        <w:rPr>
          <w:rFonts w:eastAsia="Calibri" w:cs="" w:cstheme="minorBidi" w:eastAsiaTheme="minorHAnsi"/>
          <w:shd w:fill="auto" w:val="clear"/>
          <w14:ligatures w14:val="standardContextual"/>
        </w:rPr>
      </w:pPr>
      <w:r>
        <w:rPr>
          <w:rFonts w:eastAsia="Calibri" w:cs="" w:cstheme="minorBidi" w:eastAsiaTheme="minorHAnsi"/>
          <w:sz w:val="21"/>
          <w:szCs w:val="21"/>
          <w:shd w:fill="auto" w:val="clear"/>
          <w14:ligatures w14:val="standardContextual"/>
        </w:rPr>
        <w:t>- rzut – lokalizacja pomieszczeń TK.</w:t>
      </w:r>
    </w:p>
    <w:sectPr>
      <w:type w:val="nextPage"/>
      <w:pgSz w:w="11906" w:h="16838"/>
      <w:pgMar w:left="1417" w:right="1417" w:header="0" w:top="1417" w:footer="0" w:bottom="1417"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Liberation Sans">
    <w:altName w:val="Arial"/>
    <w:charset w:val="ee"/>
    <w:family w:val="roman"/>
    <w:pitch w:val="variable"/>
  </w:font>
  <w:font w:name="Cambria">
    <w:charset w:val="ee"/>
    <w:family w:val="roman"/>
    <w:pitch w:val="variable"/>
  </w:font>
  <w:font w:name="Arial">
    <w:charset w:val="ee"/>
    <w:family w:val="roman"/>
    <w:pitch w:val="variable"/>
  </w:font>
</w:fonts>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425"/>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kern w:val="2"/>
        <w:sz w:val="22"/>
        <w:szCs w:val="22"/>
        <w:lang w:val="pl-PL"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59" w:before="0" w:after="160"/>
      <w:jc w:val="left"/>
    </w:pPr>
    <w:rPr>
      <w:rFonts w:ascii="Calibri" w:hAnsi="Calibri" w:eastAsia="Calibri" w:cs="" w:asciiTheme="minorHAnsi" w:cstheme="minorBidi" w:eastAsiaTheme="minorHAnsi" w:hAnsiTheme="minorHAnsi"/>
      <w:color w:val="auto"/>
      <w:kern w:val="2"/>
      <w:sz w:val="22"/>
      <w:szCs w:val="22"/>
      <w:lang w:val="pl-PL" w:eastAsia="en-US" w:bidi="ar-SA"/>
      <w14:ligatures w14:val="standardContextual"/>
    </w:rPr>
  </w:style>
  <w:style w:type="character" w:styleId="DefaultParagraphFont" w:default="1">
    <w:name w:val="Default Paragraph Font"/>
    <w:uiPriority w:val="1"/>
    <w:semiHidden/>
    <w:unhideWhenUsed/>
    <w:qFormat/>
    <w:rPr/>
  </w:style>
  <w:style w:type="paragraph" w:styleId="Nagwek">
    <w:name w:val="Nagłówek"/>
    <w:basedOn w:val="Normal"/>
    <w:next w:val="Tretekstu"/>
    <w:qFormat/>
    <w:pPr>
      <w:keepNext w:val="true"/>
      <w:spacing w:before="240" w:after="120"/>
    </w:pPr>
    <w:rPr>
      <w:rFonts w:ascii="Liberation Sans" w:hAnsi="Liberation Sans" w:eastAsia="Microsoft YaHei" w:cs="Arial"/>
      <w:sz w:val="28"/>
      <w:szCs w:val="28"/>
    </w:rPr>
  </w:style>
  <w:style w:type="paragraph" w:styleId="Tretekstu">
    <w:name w:val="Body Text"/>
    <w:basedOn w:val="Normal"/>
    <w:pPr>
      <w:spacing w:lineRule="auto" w:line="276" w:before="0" w:after="140"/>
    </w:pPr>
    <w:rPr/>
  </w:style>
  <w:style w:type="paragraph" w:styleId="Lista">
    <w:name w:val="List"/>
    <w:basedOn w:val="Tretekstu"/>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pPr>
    <w:rPr>
      <w:rFonts w:cs="Arial"/>
    </w:rPr>
  </w:style>
  <w:style w:type="paragraph" w:styleId="ListParagraph">
    <w:name w:val="List Paragraph"/>
    <w:basedOn w:val="Normal"/>
    <w:qFormat/>
    <w:pPr>
      <w:widowControl/>
      <w:suppressAutoHyphens w:val="false"/>
      <w:spacing w:lineRule="auto" w:line="247" w:before="0" w:after="13"/>
      <w:ind w:left="720" w:hanging="425"/>
      <w:contextualSpacing/>
      <w:jc w:val="both"/>
    </w:pPr>
    <w:rPr>
      <w:rFonts w:ascii="Cambria" w:hAnsi="Cambria" w:eastAsia="Cambria" w:cs="Cambria"/>
      <w:color w:val="000000"/>
      <w:kern w:val="0"/>
      <w:sz w:val="18"/>
      <w:szCs w:val="22"/>
      <w:lang w:eastAsia="pl-PL"/>
    </w:rPr>
  </w:style>
  <w:style w:type="paragraph" w:styleId="Zawartotabeli">
    <w:name w:val="Zawartość tabeli"/>
    <w:basedOn w:val="Normal"/>
    <w:qFormat/>
    <w:pPr>
      <w:widowControl w:val="false"/>
      <w:suppressLineNumbers/>
    </w:pPr>
    <w:rPr/>
  </w:style>
  <w:style w:type="paragraph" w:styleId="Nagwektabeli">
    <w:name w:val="Nagłówek tabeli"/>
    <w:basedOn w:val="Zawartotabeli"/>
    <w:qFormat/>
    <w:pPr>
      <w:suppressLineNumbers/>
      <w:jc w:val="center"/>
    </w:pPr>
    <w:rPr>
      <w:b/>
      <w:bCs/>
    </w:rPr>
  </w:style>
  <w:style w:type="numbering" w:styleId="NoList" w:default="1">
    <w:name w:val="No List"/>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styleId="Tabela-Siatka">
    <w:name w:val="Table Grid"/>
    <w:basedOn w:val="Standardowy"/>
    <w:uiPriority w:val="39"/>
    <w:rsid w:val="00133e7b"/>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
</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633</TotalTime>
  <Application>LibreOffice/7.0.0.3$Windows_X86_64 LibreOffice_project/8061b3e9204bef6b321a21033174034a5e2ea88e</Application>
  <Pages>4</Pages>
  <Words>737</Words>
  <Characters>4945</Characters>
  <CharactersWithSpaces>5642</CharactersWithSpaces>
  <Paragraphs>58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2024-02-05T11:06:00Z</dcterms:created>
  <dc:creator>ao</dc:creator>
  <dc:description/>
  <dc:language>pl-PL</dc:language>
  <cp:lastModifiedBy/>
  <cp:lastPrinted>2024-02-16T10:28:09Z</cp:lastPrinted>
  <dcterms:modified xsi:type="dcterms:W3CDTF">2024-02-16T10:27:34Z</dcterms:modified>
  <cp:revision>78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