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D1" w:rsidRDefault="008E62D1" w:rsidP="008E62D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Załącznik nr </w:t>
      </w:r>
      <w:r w:rsidR="00F84814">
        <w:rPr>
          <w:rFonts w:ascii="Arial" w:hAnsi="Arial" w:cs="Arial"/>
          <w:sz w:val="22"/>
          <w:szCs w:val="22"/>
        </w:rPr>
        <w:t>1B</w:t>
      </w:r>
      <w:r>
        <w:rPr>
          <w:rFonts w:ascii="Arial" w:hAnsi="Arial" w:cs="Arial"/>
          <w:sz w:val="22"/>
          <w:szCs w:val="22"/>
        </w:rPr>
        <w:t xml:space="preserve"> do SWZ</w:t>
      </w:r>
    </w:p>
    <w:p w:rsidR="008E62D1" w:rsidRDefault="008E62D1" w:rsidP="008E62D1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5611"/>
        <w:gridCol w:w="1134"/>
        <w:gridCol w:w="1559"/>
        <w:gridCol w:w="1701"/>
      </w:tblGrid>
      <w:tr w:rsidR="008E62D1" w:rsidRPr="00C31588" w:rsidTr="00C31588"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2D1" w:rsidRPr="00C31588" w:rsidRDefault="008E62D1" w:rsidP="009860FE">
            <w:pPr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WYMAGANE  PARAMETRY  TECHNICZNE </w:t>
            </w: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>Parametry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>Warunek graniczny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>Parametry oferowane - Wypełnia Oferent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2D1" w:rsidRPr="00C31588" w:rsidRDefault="00C31588" w:rsidP="00C31588">
            <w:pPr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="008E62D1" w:rsidRPr="00C3158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 str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="008E62D1" w:rsidRPr="00C3158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w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="008E62D1" w:rsidRPr="00C3158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fercie z potwierdzeniem deklarowanego  parametru</w:t>
            </w:r>
          </w:p>
        </w:tc>
      </w:tr>
      <w:tr w:rsidR="008E62D1" w:rsidRPr="00C31588" w:rsidTr="00C31588">
        <w:trPr>
          <w:trHeight w:val="253"/>
        </w:trPr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C31588">
            <w:pPr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Probówki plastikowe z zakręcanym korkiem i naklejonymi etykietami</w:t>
            </w:r>
            <w:r w:rsidR="00C315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gwarantujące wytworzenie próżni tuż przed pobraniem lub pobranie materiału przez odciągnięcie tłoka,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>Probówki wystandaryzowane i zapewniające pobranie właściwej ilości krwi ,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Probówki zapewniające szybkie wykrzepianie krwi,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Igły systemowe, łączniki – sterylne, neutralne, pakowane pojedynczo,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Zastosowanie zakrętek do zamykania probówek, które eliminują efekt aerozolowy przy otwieraniu oraz umożliwiają ponowne zamknięcie w celu powtórnego wymieszania bądź czasowego odstawienia próbki.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 xml:space="preserve">Możliwość pobierania krwi w dwóch metodach: metodą próżniową i </w:t>
            </w:r>
            <w:proofErr w:type="spellStart"/>
            <w:r w:rsidRPr="00C31588">
              <w:rPr>
                <w:rFonts w:ascii="Arial" w:hAnsi="Arial" w:cs="Arial"/>
                <w:sz w:val="18"/>
                <w:szCs w:val="18"/>
              </w:rPr>
              <w:t>aspirowaną</w:t>
            </w:r>
            <w:proofErr w:type="spellEnd"/>
            <w:r w:rsidRPr="00C31588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Igły systemowe z odpowiednio ukształtowanym ostrzem, 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Igły systemowe z małym łącznikiem na stałe zespolonym z igłą – ułatwiającym penetrację tkanki,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>Igły systemowe z silikonowym wnętrzem eliminującym wykrzepianie się krwi podczas pobierania do kilku probówek,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Możliwość współpracy z tradycyjnym systemem wkłuć dożylnych poprzez zastosowanie elementu</w:t>
            </w: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 umożliwiającego podłączenie probówek systemu do wkłuć z końcówką </w:t>
            </w:r>
            <w:proofErr w:type="spellStart"/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>luer</w:t>
            </w:r>
            <w:proofErr w:type="spellEnd"/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 (cewniki naczyniowe, kaniule typu </w:t>
            </w:r>
            <w:proofErr w:type="spellStart"/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>wenflon</w:t>
            </w:r>
            <w:proofErr w:type="spellEnd"/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 ),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współpracy z tradycyjnym systemem wkłuć dożylnych poprzez zastosowanie  adaptera membranowego umożliwiającego podłączenie strzykawki typu </w:t>
            </w:r>
            <w:proofErr w:type="spellStart"/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>luer</w:t>
            </w:r>
            <w:proofErr w:type="spellEnd"/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igły systemu w celu podania leku,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>Całkowite zabezpieczenie personelu przed kontaktem z materiałem zakaźnym w trakcie pobierania krwi dzięki nieprzepuszczalnej membranie zamykającej, uniemożliwiającej wypłynięcie krwi z napełnionej probówko-strzykawki,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Łatwość obsługi poprzez zastosowanie jednoczęściowej igły łatwej w manipulacji,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color w:val="000000"/>
                <w:sz w:val="18"/>
                <w:szCs w:val="18"/>
              </w:rPr>
              <w:t xml:space="preserve">Łatwość obsługi poprzez  ergonomiczną konstrukcję zestawów umożliwiającą nakłucie żyły pod dogodnym, małym kątem,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Łatwość obsługi poprzez bagnetowe złącze igły z probówko-strzykawką umożliwiające podczas pobierania obsługę zestawu jedną ręką,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Tekstpodstawowy21"/>
              <w:spacing w:line="240" w:lineRule="atLeast"/>
              <w:rPr>
                <w:sz w:val="18"/>
                <w:szCs w:val="18"/>
              </w:rPr>
            </w:pPr>
            <w:r w:rsidRPr="00C31588">
              <w:rPr>
                <w:sz w:val="18"/>
                <w:szCs w:val="18"/>
              </w:rPr>
              <w:t>System do pobrań krwi kapilarnej mający zastosowany zarówno w badaniach biochemicznych jak i w badaniach hematologicznych.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 xml:space="preserve">Cały asortyment przedstawiony w pakiecie musi pochodzić od jednego producenta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 xml:space="preserve">Zamawiający wymaga przeprowadzenia szkolenia personelu pielęgniarskiego na własny koszt dostawcy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2D1" w:rsidRPr="00C31588" w:rsidTr="00C31588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spacing w:line="240" w:lineRule="atLeast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Probówki, probówko – strzykawki, strzykawki, pipety – plastikowe,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2D1" w:rsidRPr="00C31588" w:rsidRDefault="008E62D1" w:rsidP="009860F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58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2D1" w:rsidRPr="00C31588" w:rsidRDefault="008E62D1" w:rsidP="009860F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62D1" w:rsidRDefault="008E62D1" w:rsidP="008E62D1">
      <w:pPr>
        <w:jc w:val="both"/>
        <w:rPr>
          <w:rFonts w:ascii="Arial" w:hAnsi="Arial" w:cs="Arial"/>
          <w:sz w:val="22"/>
          <w:szCs w:val="22"/>
        </w:rPr>
      </w:pPr>
    </w:p>
    <w:p w:rsidR="00C31588" w:rsidRDefault="00C31588" w:rsidP="008E62D1">
      <w:pPr>
        <w:jc w:val="both"/>
        <w:rPr>
          <w:rFonts w:ascii="Arial" w:hAnsi="Arial" w:cs="Arial"/>
          <w:b/>
          <w:sz w:val="20"/>
          <w:szCs w:val="20"/>
        </w:rPr>
      </w:pPr>
    </w:p>
    <w:p w:rsidR="00CC7B55" w:rsidRPr="00C31588" w:rsidRDefault="007A6913" w:rsidP="00C31588">
      <w:pPr>
        <w:jc w:val="both"/>
        <w:rPr>
          <w:rFonts w:ascii="Arial" w:hAnsi="Arial" w:cs="Arial"/>
          <w:b/>
          <w:sz w:val="20"/>
          <w:szCs w:val="20"/>
        </w:rPr>
      </w:pPr>
      <w:r w:rsidRPr="00C31588">
        <w:rPr>
          <w:rFonts w:ascii="Arial" w:hAnsi="Arial" w:cs="Arial"/>
          <w:b/>
          <w:sz w:val="20"/>
          <w:szCs w:val="20"/>
        </w:rPr>
        <w:t>W celu potwierdzenie oferowanych parametrów należy załączyć do oferty katalogi lub karty informacyjne produktów.</w:t>
      </w:r>
    </w:p>
    <w:sectPr w:rsidR="00CC7B55" w:rsidRPr="00C31588" w:rsidSect="00C31588">
      <w:pgSz w:w="11906" w:h="16838"/>
      <w:pgMar w:top="720" w:right="720" w:bottom="426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D1"/>
    <w:rsid w:val="007A6913"/>
    <w:rsid w:val="008E62D1"/>
    <w:rsid w:val="00C31588"/>
    <w:rsid w:val="00CC7B55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2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E62D1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8E62D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2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E62D1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8E62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4</cp:revision>
  <dcterms:created xsi:type="dcterms:W3CDTF">2021-02-11T07:56:00Z</dcterms:created>
  <dcterms:modified xsi:type="dcterms:W3CDTF">2024-01-31T11:06:00Z</dcterms:modified>
</cp:coreProperties>
</file>