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1E" w:rsidRDefault="009A201E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   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po korekcie 25.04.2023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oraz </w:t>
                            </w:r>
                            <w:r w:rsidRPr="00343556">
                              <w:rPr>
                                <w:rFonts w:cs="Calibri"/>
                                <w:sz w:val="20"/>
                                <w:szCs w:val="20"/>
                                <w:highlight w:val="green"/>
                                <w:lang w:val="pl-PL"/>
                              </w:rPr>
                              <w:t>12.05.2023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>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</w:p>
                          <w:p w:rsidR="009A201E" w:rsidRPr="00CC3909" w:rsidRDefault="009A201E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:rsidR="009A201E" w:rsidRDefault="009A201E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   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highlight w:val="yellow"/>
                          <w:lang w:val="pl-PL"/>
                        </w:rPr>
                        <w:t>po korekcie 25.04.2023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 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oraz </w:t>
                      </w:r>
                      <w:r w:rsidRPr="00343556">
                        <w:rPr>
                          <w:rFonts w:cs="Calibri"/>
                          <w:sz w:val="20"/>
                          <w:szCs w:val="20"/>
                          <w:highlight w:val="green"/>
                          <w:lang w:val="pl-PL"/>
                        </w:rPr>
                        <w:t>12.05.2023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>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</w:p>
                    <w:p w:rsidR="009A201E" w:rsidRPr="00CC3909" w:rsidRDefault="009A201E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343556">
              <w:rPr>
                <w:rFonts w:ascii="Times New Roman" w:hAnsi="Times New Roman" w:cs="Times New Roman"/>
                <w:snapToGrid w:val="0"/>
                <w:sz w:val="20"/>
                <w:szCs w:val="20"/>
                <w:highlight w:val="green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906C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01E" w:rsidRPr="00537DC8" w:rsidRDefault="009A201E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</w:p>
                                <w:p w:rsidR="009A201E" w:rsidRPr="003815B8" w:rsidRDefault="009A201E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:rsidR="009A201E" w:rsidRDefault="009A201E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:rsidR="009A201E" w:rsidRPr="00537DC8" w:rsidRDefault="009A201E" w:rsidP="00537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</w:p>
                          <w:p w:rsidR="009A201E" w:rsidRPr="003815B8" w:rsidRDefault="009A201E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:rsidR="009A201E" w:rsidRDefault="009A201E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7E2B43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5020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bCs/>
                <w:sz w:val="20"/>
                <w:szCs w:val="20"/>
                <w:highlight w:val="yellow"/>
                <w:lang w:val="pl-PL" w:eastAsia="pl-PL"/>
              </w:rPr>
              <w:t>B i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3435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dopuszczone zabezpieczenie progów specjalistyczną folią ochronną, pod warunkiem 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objęcia </w:t>
            </w:r>
            <w:r w:rsidR="007A1E55" w:rsidRPr="003435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gwarancj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ą</w:t>
            </w:r>
            <w:r w:rsidR="007A1E55" w:rsidRPr="003435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na </w:t>
            </w:r>
            <w:r w:rsidR="00DD32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minimum 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60</w:t>
            </w:r>
            <w:r w:rsidR="007A1E55" w:rsidRPr="003435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DD0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854D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DD0" w:rsidRPr="00854DD0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konieczność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sygnalizacji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niezapiętych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pasów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bezpieczeństwa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w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przedziale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medycznym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alarm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pasów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bezpieczeństwa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powinien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wizualnie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lub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akustycznie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ostrzegać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kierowcę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– o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niezpiętym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pasie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na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którymkolwiek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D558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zajętym</w:t>
            </w:r>
            <w:proofErr w:type="spellEnd"/>
            <w:r w:rsidR="00D558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siedzeniu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w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przedziale</w:t>
            </w:r>
            <w:proofErr w:type="spellEnd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54DD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medycznym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5020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</w:t>
            </w:r>
            <w:r w:rsidR="000A528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4502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7A1E55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dopuszczone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: </w:t>
            </w:r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 sterowanie dotykowe oraz na </w:t>
            </w:r>
            <w:proofErr w:type="spellStart"/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mikrowyłącznikach</w:t>
            </w:r>
            <w:proofErr w:type="spellEnd"/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 (</w:t>
            </w:r>
            <w:proofErr w:type="spellStart"/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mikrostycznikach</w:t>
            </w:r>
            <w:proofErr w:type="spellEnd"/>
            <w:r w:rsidR="00E317FB" w:rsidRPr="00E317FB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9A201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Rozporządzeniem UE 2017/745 dla wyrobu medycznego</w:t>
            </w:r>
          </w:p>
          <w:p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705637" w:rsidRDefault="00857781" w:rsidP="00705637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dokument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lub deklarację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Rozporządzeniem UE 2017/745 dla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,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system składanego podwozia zapewniający łatwy załadunek do ambulansu, </w:t>
            </w:r>
            <w:r w:rsidR="0033796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337969" w:rsidRPr="0033796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w pełni</w:t>
            </w:r>
            <w:r w:rsidR="0033796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37969" w:rsidRPr="0033796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kompatybilny z systemem automatycznego za i wyładunku noszy do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:rsidR="00337969" w:rsidRDefault="00337969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37969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lub</w:t>
            </w:r>
          </w:p>
          <w:p w:rsidR="005E7C21" w:rsidRPr="001B689F" w:rsidRDefault="005E7C21" w:rsidP="005E7C21">
            <w:pP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</w:pP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Laweta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lawety.</w:t>
            </w:r>
            <w:r w:rsidR="00FF2CA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Automatyczny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załadunek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powinien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wymagać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od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obsługującego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ratownika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zwalniania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 xml:space="preserve">w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odpowiednim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momencie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jakichś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zabezpieczeń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lub</w:t>
            </w:r>
            <w:proofErr w:type="spellEnd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FF2CA5" w:rsidRPr="00FF2C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blokad</w:t>
            </w:r>
            <w:proofErr w:type="spellEnd"/>
            <w:r w:rsidR="00FF2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Laweta</w:t>
            </w:r>
            <w:r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Pr="00FF2CA5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u w:val="single"/>
                <w:lang w:val="pl-PL"/>
              </w:rPr>
              <w:t>lub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posiadająca dodatkowy składany najazd pełniący tą funkcję.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</w:p>
          <w:p w:rsidR="001B689F" w:rsidRDefault="005E7C21" w:rsidP="001B689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9A201E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green"/>
                <w:u w:val="single"/>
                <w:lang w:val="pl-PL"/>
              </w:rPr>
              <w:t>i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9A201E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green"/>
                <w:u w:val="single"/>
                <w:lang w:val="pl-PL"/>
              </w:rPr>
              <w:t>wyładunkiem</w:t>
            </w:r>
            <w:r w:rsidRPr="009A201E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green"/>
                <w:u w:val="single"/>
                <w:lang w:val="pl-PL"/>
              </w:rPr>
              <w:t>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337969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969" w:rsidRPr="00424A73" w:rsidRDefault="00337969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969" w:rsidRPr="00424A73" w:rsidRDefault="00337969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969" w:rsidRDefault="00337969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3796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969" w:rsidRPr="00337969" w:rsidRDefault="00337969" w:rsidP="001A6056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System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składania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się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podwozia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przedniego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tylnego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musi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zapewniać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automatyczny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bezkolizyjny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załadunek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noszy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przez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lawetę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tak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aby,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najechaniu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przednim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wózkiem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noszy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platformę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lawety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system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już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bez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ingerencji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obsługującego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nosze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ratownika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mógł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bezpiecznie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wciągnąć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nosze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do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środka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przedziału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medycznego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Automatyczny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załadunek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powinien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wymagać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od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obsługującego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ratownika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zwalniania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jakichś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zabezpieczeń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lub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blokad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co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mogłoby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stwarzać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w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przypadku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odblokowania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w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odpowiednim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momencie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blokady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kolizję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wciąganych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noszy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nie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odblokowanego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golenia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z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konstrukcją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lawety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lub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podłogi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ambulansu</w:t>
            </w:r>
            <w:proofErr w:type="spellEnd"/>
            <w:r w:rsidRPr="0033796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).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969" w:rsidRPr="00F04F33" w:rsidRDefault="00337969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337969" w:rsidRPr="009912C0" w:rsidRDefault="0033796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022B30" w:rsidRDefault="00022B30" w:rsidP="00C17FF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17FF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1</w:t>
            </w:r>
            <w:r w:rsidR="00C17FF7" w:rsidRPr="00C17FF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C17FF7" w:rsidRDefault="00C17FF7" w:rsidP="00337969">
            <w:pP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Zapewnienie bezpłatnych przeglądów zabudowy medycznej oraz sprzętów medycznych</w:t>
            </w:r>
            <w:r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 w ni</w:t>
            </w:r>
            <w:r w:rsidR="00337969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ej </w:t>
            </w:r>
            <w:r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zamontowanych</w:t>
            </w:r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 – w tym </w:t>
            </w:r>
            <w:proofErr w:type="spellStart"/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kpl</w:t>
            </w:r>
            <w:proofErr w:type="spellEnd"/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,. noszy z lawetą</w:t>
            </w: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zgodnie z instrukcją fabryczną oraz gwarancj</w:t>
            </w:r>
            <w:r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ą,</w:t>
            </w:r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 w całym zaoferowanym okresie gwarancji</w:t>
            </w:r>
            <w:r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,</w:t>
            </w:r>
            <w:r w:rsidRPr="00C17FF7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 w siedzibie użytkownika (Zamawiającego</w:t>
            </w: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 w:rsidRPr="00C17FF7">
              <w:rPr>
                <w:snapToGrid w:val="0"/>
                <w:sz w:val="20"/>
                <w:highlight w:val="green"/>
                <w:lang w:val="pl-PL"/>
              </w:rPr>
              <w:t>12.</w:t>
            </w:r>
            <w:r w:rsidR="00C17FF7" w:rsidRPr="00C17FF7">
              <w:rPr>
                <w:snapToGrid w:val="0"/>
                <w:sz w:val="20"/>
                <w:highlight w:val="green"/>
                <w:lang w:val="pl-PL"/>
              </w:rPr>
              <w:t>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9153F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lastRenderedPageBreak/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857781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FF2CA5" w:rsidRPr="0082769D" w:rsidRDefault="00FF2CA5" w:rsidP="00FF2CA5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</w:p>
          <w:p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1E" w:rsidRDefault="009A201E">
      <w:r>
        <w:separator/>
      </w:r>
    </w:p>
  </w:endnote>
  <w:endnote w:type="continuationSeparator" w:id="0">
    <w:p w:rsidR="009A201E" w:rsidRDefault="009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1E" w:rsidRDefault="009A201E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F2CA5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9A201E" w:rsidRDefault="009A2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1E" w:rsidRDefault="009A201E">
      <w:r>
        <w:separator/>
      </w:r>
    </w:p>
  </w:footnote>
  <w:footnote w:type="continuationSeparator" w:id="0">
    <w:p w:rsidR="009A201E" w:rsidRDefault="009A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1E" w:rsidRDefault="009A201E" w:rsidP="00594BF2">
    <w:pPr>
      <w:pStyle w:val="Nagwek"/>
      <w:jc w:val="center"/>
      <w:rPr>
        <w:i/>
        <w:sz w:val="16"/>
        <w:lang w:val="pl-PL"/>
      </w:rPr>
    </w:pPr>
  </w:p>
  <w:p w:rsidR="009A201E" w:rsidRDefault="009A201E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:rsidR="009A201E" w:rsidRDefault="009A201E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3/AMB/2023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637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43D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0E06-6736-4BD7-911D-8A70BD0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23</Pages>
  <Words>5029</Words>
  <Characters>32619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8</cp:revision>
  <cp:lastPrinted>2022-03-29T07:11:00Z</cp:lastPrinted>
  <dcterms:created xsi:type="dcterms:W3CDTF">2023-05-12T08:00:00Z</dcterms:created>
  <dcterms:modified xsi:type="dcterms:W3CDTF">2023-05-15T10:22:00Z</dcterms:modified>
</cp:coreProperties>
</file>