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5FC90" w14:textId="4C7A0EFF" w:rsidR="00960A88" w:rsidRPr="004C02A3" w:rsidRDefault="00960A88" w:rsidP="002F2C0B">
      <w:pPr>
        <w:tabs>
          <w:tab w:val="left" w:pos="4355"/>
        </w:tabs>
        <w:ind w:right="-567"/>
        <w:jc w:val="right"/>
        <w:rPr>
          <w:rFonts w:ascii="Bahnschrift" w:hAnsi="Bahnschrift" w:cs="72 Black"/>
          <w:b/>
          <w:color w:val="000000"/>
          <w:sz w:val="20"/>
        </w:rPr>
      </w:pPr>
      <w:r w:rsidRPr="004C02A3">
        <w:rPr>
          <w:rFonts w:ascii="Bahnschrift" w:hAnsi="Bahnschrift" w:cstheme="minorHAnsi"/>
          <w:b/>
          <w:color w:val="000000"/>
          <w:sz w:val="20"/>
        </w:rPr>
        <w:t>Załącznik nr 2 do SWZ DZP.382.</w:t>
      </w:r>
      <w:r>
        <w:rPr>
          <w:rFonts w:ascii="Bahnschrift" w:hAnsi="Bahnschrift" w:cstheme="minorHAnsi"/>
          <w:b/>
          <w:color w:val="000000"/>
          <w:sz w:val="20"/>
        </w:rPr>
        <w:t>2.35</w:t>
      </w:r>
      <w:r w:rsidRPr="004C02A3">
        <w:rPr>
          <w:rFonts w:ascii="Bahnschrift" w:hAnsi="Bahnschrift" w:cstheme="minorHAnsi"/>
          <w:b/>
          <w:color w:val="000000"/>
          <w:sz w:val="20"/>
        </w:rPr>
        <w:t>.2024</w:t>
      </w:r>
    </w:p>
    <w:p w14:paraId="44C38C82" w14:textId="77777777" w:rsidR="00960A88" w:rsidRPr="004C02A3" w:rsidRDefault="00960A88" w:rsidP="00960A88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</w:rPr>
      </w:pPr>
      <w:r w:rsidRPr="004C02A3">
        <w:rPr>
          <w:rFonts w:ascii="Bahnschrift" w:hAnsi="Bahnschrift" w:cs="72 Black"/>
          <w:b/>
          <w:color w:val="000000"/>
        </w:rPr>
        <w:t>OPIS PRZEDMIOTU ZAMÓWIENIA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5387"/>
        <w:gridCol w:w="4678"/>
      </w:tblGrid>
      <w:tr w:rsidR="008E589A" w:rsidRPr="004C02A3" w14:paraId="1B6C9AE1" w14:textId="77777777" w:rsidTr="002F2C0B">
        <w:tc>
          <w:tcPr>
            <w:tcW w:w="53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76250ED" w14:textId="77777777" w:rsidR="008E589A" w:rsidRPr="004C02A3" w:rsidRDefault="008E589A" w:rsidP="004E2315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1C771FC" w14:textId="77777777" w:rsidR="008E589A" w:rsidRPr="004C02A3" w:rsidRDefault="008E589A" w:rsidP="004E2315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8E589A" w:rsidRPr="004C02A3" w14:paraId="257665F1" w14:textId="77777777" w:rsidTr="002F2C0B">
        <w:trPr>
          <w:trHeight w:val="1417"/>
        </w:trPr>
        <w:tc>
          <w:tcPr>
            <w:tcW w:w="5387" w:type="dxa"/>
          </w:tcPr>
          <w:p w14:paraId="349CE0D4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</w:pPr>
            <w:bookmarkStart w:id="0" w:name="_GoBack"/>
            <w:r w:rsidRPr="00960A88"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  <w:t>Korpus z tubusem okularowym</w:t>
            </w:r>
          </w:p>
          <w:p w14:paraId="0169F87D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- System optyczny: </w:t>
            </w:r>
            <w:proofErr w:type="spellStart"/>
            <w:r w:rsidRPr="009B0881">
              <w:rPr>
                <w:rFonts w:ascii="Bahnschrift" w:hAnsi="Bahnschrift" w:cs="Courier New"/>
                <w:color w:val="000000"/>
                <w:sz w:val="20"/>
                <w:szCs w:val="20"/>
              </w:rPr>
              <w:t>Greenough</w:t>
            </w:r>
            <w:proofErr w:type="spellEnd"/>
          </w:p>
          <w:p w14:paraId="596E9439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korekcja apochromatyczna korpusu mikroskopu</w:t>
            </w:r>
          </w:p>
          <w:p w14:paraId="02392D1F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zakres zoom co najmniej 8:1</w:t>
            </w:r>
          </w:p>
          <w:p w14:paraId="6684B81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sz w:val="20"/>
                <w:szCs w:val="20"/>
              </w:rPr>
              <w:t>- zakres powiększeń minimum od 6,3x do 50x (bez optyki czołowej), z wyposażeniem dodatkowym niezawartym w dostawie  min. od 1,9x do 250x</w:t>
            </w:r>
          </w:p>
          <w:p w14:paraId="0C97C658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śruba zmiany powiększeń z funkcją „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click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-stop" (wyłączaną przez użytkownika)</w:t>
            </w:r>
          </w:p>
          <w:p w14:paraId="35A0E2F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strike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- pole widzenia minimalne w konfiguracji bez dodatkowej optyki, z okularami 23 mm:  od 4,6mm do 36,8 mm, </w:t>
            </w:r>
          </w:p>
          <w:p w14:paraId="783075D2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tubus binokularowy, kąt nachylenia 35° lub mniejszy</w:t>
            </w:r>
          </w:p>
          <w:p w14:paraId="7624F3C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sz w:val="20"/>
                <w:szCs w:val="20"/>
              </w:rPr>
              <w:t>- regulacja rozstawu źrenic w zakresie co najmniej od 55 do 75 mm</w:t>
            </w:r>
          </w:p>
          <w:p w14:paraId="02A9B25A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port służący do podłączenia kamery cyfrowej lub aparatu cyfrowego</w:t>
            </w:r>
          </w:p>
          <w:p w14:paraId="432BE70F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łącznik/adapter 0,5x do podłączenia kamery cyfrowej lub aparatu cyfrowego</w:t>
            </w:r>
          </w:p>
          <w:p w14:paraId="064C056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podział światła okulary: port kamery 100:0% / 0:100%</w:t>
            </w:r>
          </w:p>
          <w:p w14:paraId="2D78919F" w14:textId="77777777" w:rsidR="008E589A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</w:pPr>
          </w:p>
          <w:p w14:paraId="057739A3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  <w:t>Okulary</w:t>
            </w:r>
          </w:p>
          <w:p w14:paraId="49EAD085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sz w:val="20"/>
                <w:szCs w:val="20"/>
              </w:rPr>
              <w:t>- powiększenie co najmniej 10x, pole widzenia minimum 23 mm</w:t>
            </w:r>
          </w:p>
          <w:p w14:paraId="504E61E5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sz w:val="20"/>
                <w:szCs w:val="20"/>
              </w:rPr>
              <w:t xml:space="preserve">- z regulacjami </w:t>
            </w:r>
            <w:proofErr w:type="spellStart"/>
            <w:r w:rsidRPr="00960A88">
              <w:rPr>
                <w:rFonts w:ascii="Bahnschrift" w:hAnsi="Bahnschrift" w:cs="Courier New"/>
                <w:sz w:val="20"/>
                <w:szCs w:val="20"/>
              </w:rPr>
              <w:t>dioptryjnymi</w:t>
            </w:r>
            <w:proofErr w:type="spellEnd"/>
            <w:r w:rsidRPr="00960A88">
              <w:rPr>
                <w:rFonts w:ascii="Bahnschrift" w:hAnsi="Bahnschrift" w:cs="Courier New"/>
                <w:sz w:val="20"/>
                <w:szCs w:val="20"/>
              </w:rPr>
              <w:t xml:space="preserve"> minimum +/- 5,5 dioptrii w obydwu okularach</w:t>
            </w:r>
          </w:p>
          <w:p w14:paraId="6A0E7763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B0881">
              <w:rPr>
                <w:rFonts w:ascii="Bahnschrift" w:hAnsi="Bahnschrift" w:cs="Courier New"/>
                <w:color w:val="000000"/>
                <w:sz w:val="20"/>
                <w:szCs w:val="20"/>
              </w:rPr>
              <w:t>- możliwość domontowania okularów o powiększeniach 16x oraz 25x</w:t>
            </w:r>
          </w:p>
          <w:p w14:paraId="48071211" w14:textId="7BBAF731" w:rsidR="008E589A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4EAA0F08" w14:textId="6D0F8609" w:rsidR="002F2C0B" w:rsidRDefault="002F2C0B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color w:val="000000"/>
              </w:rPr>
            </w:pPr>
          </w:p>
          <w:p w14:paraId="07960933" w14:textId="77777777" w:rsidR="002F2C0B" w:rsidRPr="00960A88" w:rsidRDefault="002F2C0B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524CEEBD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  <w:lastRenderedPageBreak/>
              <w:t xml:space="preserve"> Podstawa z kolumną</w:t>
            </w:r>
          </w:p>
          <w:p w14:paraId="6C6FBD52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sz w:val="20"/>
                <w:szCs w:val="20"/>
              </w:rPr>
              <w:t xml:space="preserve">  Podstawa do światła odbitego i przechodzącego o minimalnych wymiarach 200x310 mm. </w:t>
            </w:r>
          </w:p>
          <w:p w14:paraId="15BEEBE0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Wysokość podstawy maksymalna 35 mm. </w:t>
            </w:r>
          </w:p>
          <w:p w14:paraId="586BB83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Kolumna o wysokości minimalnej 250 mm.</w:t>
            </w:r>
          </w:p>
          <w:p w14:paraId="378790B1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zintegrowanym z podstawą oświetlacz LED do światła przechodzącego, </w:t>
            </w:r>
          </w:p>
          <w:p w14:paraId="66C6A74C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obserwacji w jasnym i ciemnym polu,</w:t>
            </w:r>
          </w:p>
          <w:p w14:paraId="6E0CF602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płytka szklana i płytka czarno biała.</w:t>
            </w:r>
          </w:p>
          <w:p w14:paraId="02469E0C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zasilacz wbudowany w statyw do światła odbitego i przechodzącego</w:t>
            </w:r>
          </w:p>
          <w:p w14:paraId="6A29D473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   uchwyt do przenoszenia</w:t>
            </w:r>
          </w:p>
          <w:p w14:paraId="61C8326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58432044" w14:textId="77777777" w:rsidR="008E589A" w:rsidRPr="00960A88" w:rsidRDefault="008E589A" w:rsidP="008E589A">
            <w:pPr>
              <w:keepNext/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  <w:t>Oświetlacze światła padającego zasilane ze statywu:</w:t>
            </w:r>
          </w:p>
          <w:p w14:paraId="2239B20A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a) montowany na kolumnie statywu oświetlacz punktowy LED typu dwuramienna gęsia szyja z regulacją wysokości. Płynna regulacja natężenia bez zmiany temperatury barwowej.</w:t>
            </w:r>
          </w:p>
          <w:p w14:paraId="1A6FDB3D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b) oświetlacz pierścieniowy strefowy min. 48 diody - 4 tryby: pełny, pół, ¼ pierścienia, 2 zwrócone do siebie ¼ pierścienia - ręczne obracanie w krokach co 90° lub obrót ciągły.</w:t>
            </w:r>
          </w:p>
          <w:p w14:paraId="503A7014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6CEA7C97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  <w:t>Kamera mikroskopowa kolorowa, oprogramowanie</w:t>
            </w:r>
          </w:p>
          <w:p w14:paraId="7ABA9813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 Przetwornik 1/2.1"</w:t>
            </w:r>
          </w:p>
          <w:p w14:paraId="63690E68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 Liczba pikseli minimum = 8.3 MP, Ultra HD (4K)</w:t>
            </w:r>
          </w:p>
          <w:p w14:paraId="505A8F36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 Czas ekspozycji w zakresie minimalnym od 0,06 ms do 1s</w:t>
            </w:r>
          </w:p>
          <w:p w14:paraId="3D34E5E1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-  Liczba klatek na sekundę minimum - HDMI: 30 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fps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, Ethernet: 30 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fps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, USB 3.0: 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up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to 30 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fps</w:t>
            </w:r>
            <w:proofErr w:type="spellEnd"/>
          </w:p>
          <w:p w14:paraId="3163CBB8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  <w:lang w:val="en-US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  <w:lang w:val="en-US"/>
              </w:rPr>
              <w:t>Złącza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  <w:lang w:val="en-US"/>
              </w:rPr>
              <w:t xml:space="preserve"> HDMI, USB 3.0 Type C, Ethernet, Micro-D</w:t>
            </w:r>
          </w:p>
          <w:p w14:paraId="5C8B29A9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 Możliwość pracy kamery:</w:t>
            </w:r>
          </w:p>
          <w:p w14:paraId="61CA0DBC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38BC1E22" w14:textId="77777777" w:rsidR="008E589A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 - z komputerem i oprogramowaniem systemowym (możliwością nanoszenia interaktywnych pomiarów: </w:t>
            </w: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 xml:space="preserve">długość, powierzchnia, wymiary prostokąta, obwód, kąt, adnotacje tekstowe, zliczanie zaznaczanych obiektów). </w:t>
            </w:r>
          </w:p>
          <w:p w14:paraId="1F7DE13B" w14:textId="78463715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Praca kamery w trybach:</w:t>
            </w:r>
          </w:p>
          <w:p w14:paraId="2EEFAA9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- w trybie Wi-Fi – po dodaniu 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dongla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Wi-Fi (dołączony do zestawu) lub połączenia kamery przez Ethernet z ruterem. Zdjęcia wykonywane przyciskiem na kamerze lub za pośrednictwem oprogramowania w komputerze.</w:t>
            </w:r>
          </w:p>
          <w:p w14:paraId="3B70DB8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73A3382A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- połączona przez USB z komputerem, praca na oprogramowaniu systemowym z możliwością analizy obrazu i obróbki graficznej zdjęć. Składanie obrazów w osiach X, Y z pojedynczych zdjęć przy zachowaniu wszystkich parametrów optycznych. Składanie obrazów mikroskopowych pobranych w osi Z w obraz o rozszerzonej głębi ostrości.</w:t>
            </w:r>
          </w:p>
          <w:p w14:paraId="57AE86D6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5D77A904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b) niezależnie od komputera (stand-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alone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) za pomocą klawiatury i myszki - kamera połączona z zewnętrznym monitorem, zapis zdjęć na 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pendriwie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. Zdjęcia wykonywane przyciskiem na kamerze lub myszką w menu kamery na podłączonym monitorze (monitor nie wymagany).</w:t>
            </w:r>
          </w:p>
          <w:p w14:paraId="529BE029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40F35957" w14:textId="5A92FC54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>
              <w:rPr>
                <w:rFonts w:ascii="Bahnschrift" w:hAnsi="Bahnschrift" w:cs="Courier New"/>
                <w:color w:val="000000"/>
                <w:sz w:val="20"/>
                <w:szCs w:val="20"/>
              </w:rPr>
              <w:t>O</w:t>
            </w: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programowania z licencją bezterminową do każdego trybu pracy kamery umożliwiają: automatyczną i ręczną kontrolę ekspozycji i balansu bieli, sterowanie funkcjami kamery z poziomu oprogramowania, zapis sekwencji filmowych, zapis zdjęć w formatach jpg, </w:t>
            </w:r>
            <w:proofErr w:type="spellStart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tiff</w:t>
            </w:r>
            <w:proofErr w:type="spellEnd"/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. Funkcje poprawy jakości obrazu na żywo - wyostrzanie, usuwanie szumów, HDR, gamma. Pasek skali na obrazie na żywo i na zdjęciach. Oprogramowania tego samego producenta co kamera i mikroskop.</w:t>
            </w:r>
          </w:p>
          <w:p w14:paraId="52B72D48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5850F25B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>Inne:</w:t>
            </w:r>
          </w:p>
          <w:p w14:paraId="346E66AD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pokrowiec antystatyczny, komplet narzędzi</w:t>
            </w:r>
          </w:p>
          <w:p w14:paraId="0A65B79E" w14:textId="77777777" w:rsidR="008E589A" w:rsidRPr="00960A88" w:rsidRDefault="008E589A" w:rsidP="008E58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60A88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możliwość rozbudowy o dodatkowe soczewki apochromatyczne: 1,5x, 2,0x, walizka transportowa, polaryzacja</w:t>
            </w:r>
          </w:p>
          <w:p w14:paraId="092A2F29" w14:textId="4A31A757" w:rsidR="008E589A" w:rsidRPr="004C02A3" w:rsidRDefault="008E589A" w:rsidP="004E2315">
            <w:pPr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</w:tcPr>
          <w:p w14:paraId="325FEF91" w14:textId="77777777" w:rsidR="008E589A" w:rsidRPr="004C02A3" w:rsidRDefault="008E589A" w:rsidP="002F2C0B">
            <w:pPr>
              <w:spacing w:line="360" w:lineRule="auto"/>
              <w:ind w:left="360" w:hanging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bookmarkEnd w:id="0"/>
    </w:tbl>
    <w:p w14:paraId="398E9F39" w14:textId="2B9DE9F1" w:rsidR="00D87A22" w:rsidRPr="0034596D" w:rsidRDefault="00D87A22" w:rsidP="00D87A22">
      <w:pPr>
        <w:spacing w:after="0" w:line="240" w:lineRule="auto"/>
        <w:rPr>
          <w:rFonts w:asciiTheme="majorHAnsi" w:hAnsiTheme="majorHAnsi" w:cs="Arial"/>
          <w:sz w:val="24"/>
          <w:szCs w:val="24"/>
        </w:rPr>
      </w:pPr>
    </w:p>
    <w:sectPr w:rsidR="00D87A22" w:rsidRPr="0034596D" w:rsidSect="008E58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9EC9E" w14:textId="77777777" w:rsidR="00D91460" w:rsidRDefault="00D91460" w:rsidP="00960A88">
      <w:pPr>
        <w:spacing w:after="0" w:line="240" w:lineRule="auto"/>
      </w:pPr>
      <w:r>
        <w:separator/>
      </w:r>
    </w:p>
  </w:endnote>
  <w:endnote w:type="continuationSeparator" w:id="0">
    <w:p w14:paraId="03739FD5" w14:textId="77777777" w:rsidR="00D91460" w:rsidRDefault="00D91460" w:rsidP="00960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F605C" w14:textId="77777777" w:rsidR="005619D2" w:rsidRDefault="005619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40456" w14:textId="2FD0F43F" w:rsidR="005619D2" w:rsidRPr="005619D2" w:rsidRDefault="005619D2" w:rsidP="005619D2">
    <w:pPr>
      <w:tabs>
        <w:tab w:val="center" w:pos="4536"/>
        <w:tab w:val="right" w:pos="9072"/>
      </w:tabs>
      <w:spacing w:after="0" w:line="240" w:lineRule="auto"/>
      <w:jc w:val="right"/>
      <w:rPr>
        <w:rFonts w:ascii="Bahnschrift" w:eastAsia="Times New Roman" w:hAnsi="Bahnschrift" w:cstheme="minorHAnsi"/>
        <w:sz w:val="20"/>
        <w:szCs w:val="20"/>
      </w:rPr>
    </w:pPr>
    <w:r w:rsidRPr="005619D2">
      <w:rPr>
        <w:rFonts w:ascii="Bahnschrift" w:hAnsi="Bahnschrift" w:cstheme="minorHAnsi"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29981B2C" wp14:editId="3548295C">
          <wp:simplePos x="0" y="0"/>
          <wp:positionH relativeFrom="page">
            <wp:posOffset>107950</wp:posOffset>
          </wp:positionH>
          <wp:positionV relativeFrom="page">
            <wp:posOffset>9179560</wp:posOffset>
          </wp:positionV>
          <wp:extent cx="3259455" cy="1066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19D2">
      <w:rPr>
        <w:rFonts w:ascii="Bahnschrift" w:hAnsi="Bahnschrift" w:cstheme="minorHAnsi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6B6A86D3" wp14:editId="30949619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571D4D" w14:textId="2D083B20" w:rsidR="005619D2" w:rsidRPr="005619D2" w:rsidRDefault="005619D2" w:rsidP="005619D2">
    <w:pPr>
      <w:tabs>
        <w:tab w:val="center" w:pos="4536"/>
        <w:tab w:val="right" w:pos="9072"/>
      </w:tabs>
      <w:spacing w:after="0" w:line="240" w:lineRule="auto"/>
      <w:rPr>
        <w:rFonts w:ascii="Bahnschrift" w:eastAsia="Calibri" w:hAnsi="Bahnschrift" w:cstheme="minorHAnsi"/>
        <w:color w:val="002D59"/>
        <w:sz w:val="20"/>
        <w:szCs w:val="20"/>
      </w:rPr>
    </w:pPr>
    <w:r w:rsidRPr="005619D2">
      <w:rPr>
        <w:rFonts w:ascii="Bahnschrift" w:eastAsia="Calibri" w:hAnsi="Bahnschrift" w:cstheme="minorHAnsi"/>
        <w:color w:val="002D59"/>
        <w:sz w:val="20"/>
        <w:szCs w:val="20"/>
      </w:rPr>
      <w:t>Uniwersytet Śląski w Katowicach</w:t>
    </w:r>
  </w:p>
  <w:p w14:paraId="320BE672" w14:textId="77777777" w:rsidR="005619D2" w:rsidRPr="005619D2" w:rsidRDefault="005619D2" w:rsidP="005619D2">
    <w:pPr>
      <w:tabs>
        <w:tab w:val="center" w:pos="4536"/>
        <w:tab w:val="right" w:pos="9072"/>
      </w:tabs>
      <w:spacing w:after="0" w:line="240" w:lineRule="auto"/>
      <w:rPr>
        <w:rFonts w:ascii="Bahnschrift" w:eastAsia="Calibri" w:hAnsi="Bahnschrift" w:cstheme="minorHAnsi"/>
        <w:color w:val="002D59"/>
        <w:sz w:val="20"/>
        <w:szCs w:val="20"/>
      </w:rPr>
    </w:pPr>
    <w:r w:rsidRPr="005619D2">
      <w:rPr>
        <w:rFonts w:ascii="Bahnschrift" w:eastAsia="Calibri" w:hAnsi="Bahnschrift" w:cstheme="minorHAnsi"/>
        <w:color w:val="002D59"/>
        <w:sz w:val="20"/>
        <w:szCs w:val="20"/>
      </w:rPr>
      <w:t>Dział Zamówień Publicznych</w:t>
    </w:r>
  </w:p>
  <w:p w14:paraId="0D94643B" w14:textId="77777777" w:rsidR="005619D2" w:rsidRPr="005619D2" w:rsidRDefault="005619D2" w:rsidP="005619D2">
    <w:pPr>
      <w:tabs>
        <w:tab w:val="center" w:pos="4536"/>
        <w:tab w:val="right" w:pos="9072"/>
      </w:tabs>
      <w:spacing w:after="0" w:line="240" w:lineRule="auto"/>
      <w:rPr>
        <w:rFonts w:ascii="Bahnschrift" w:eastAsia="Calibri" w:hAnsi="Bahnschrift" w:cstheme="minorHAnsi"/>
        <w:color w:val="002D59"/>
        <w:sz w:val="20"/>
        <w:szCs w:val="20"/>
      </w:rPr>
    </w:pPr>
    <w:r w:rsidRPr="005619D2">
      <w:rPr>
        <w:rFonts w:ascii="Bahnschrift" w:eastAsia="Calibri" w:hAnsi="Bahnschrift" w:cstheme="minorHAnsi"/>
        <w:color w:val="002D59"/>
        <w:sz w:val="20"/>
        <w:szCs w:val="20"/>
      </w:rPr>
      <w:t>ul. Bankowa 12, 40-007 Katowice</w:t>
    </w:r>
  </w:p>
  <w:p w14:paraId="10D5E37C" w14:textId="77777777" w:rsidR="005619D2" w:rsidRPr="005619D2" w:rsidRDefault="005619D2" w:rsidP="005619D2">
    <w:pPr>
      <w:tabs>
        <w:tab w:val="center" w:pos="4536"/>
        <w:tab w:val="right" w:pos="9072"/>
      </w:tabs>
      <w:spacing w:after="0" w:line="240" w:lineRule="auto"/>
      <w:rPr>
        <w:rFonts w:ascii="Bahnschrift" w:eastAsia="Calibri" w:hAnsi="Bahnschrift" w:cstheme="minorHAnsi"/>
        <w:color w:val="002D59"/>
        <w:sz w:val="20"/>
        <w:szCs w:val="20"/>
        <w:u w:val="single"/>
        <w:lang w:val="de-DE"/>
      </w:rPr>
    </w:pPr>
    <w:r w:rsidRPr="005619D2">
      <w:rPr>
        <w:rFonts w:ascii="Bahnschrift" w:eastAsia="Calibri" w:hAnsi="Bahnschrift" w:cstheme="minorHAnsi"/>
        <w:color w:val="002D59"/>
        <w:sz w:val="20"/>
        <w:szCs w:val="20"/>
        <w:lang w:val="de-DE"/>
      </w:rPr>
      <w:t xml:space="preserve">tel.: 32 359 13 34, </w:t>
    </w:r>
    <w:proofErr w:type="spellStart"/>
    <w:r w:rsidRPr="005619D2">
      <w:rPr>
        <w:rFonts w:ascii="Bahnschrift" w:eastAsia="Calibri" w:hAnsi="Bahnschrift" w:cstheme="minorHAnsi"/>
        <w:color w:val="002D59"/>
        <w:sz w:val="20"/>
        <w:szCs w:val="20"/>
        <w:lang w:val="de-DE"/>
      </w:rPr>
      <w:t>e-mail</w:t>
    </w:r>
    <w:proofErr w:type="spellEnd"/>
    <w:r w:rsidRPr="005619D2">
      <w:rPr>
        <w:rFonts w:ascii="Bahnschrift" w:eastAsia="Calibri" w:hAnsi="Bahnschrift" w:cstheme="minorHAnsi"/>
        <w:color w:val="002D59"/>
        <w:sz w:val="20"/>
        <w:szCs w:val="20"/>
        <w:lang w:val="de-DE"/>
      </w:rPr>
      <w:t>: dzp@us.edu.pl</w:t>
    </w:r>
  </w:p>
  <w:p w14:paraId="7884BA6D" w14:textId="77777777" w:rsidR="005619D2" w:rsidRPr="005619D2" w:rsidRDefault="005619D2" w:rsidP="005619D2">
    <w:pPr>
      <w:tabs>
        <w:tab w:val="center" w:pos="4536"/>
        <w:tab w:val="right" w:pos="9072"/>
      </w:tabs>
      <w:spacing w:after="0" w:line="240" w:lineRule="auto"/>
      <w:rPr>
        <w:rFonts w:ascii="Bahnschrift" w:eastAsia="Calibri" w:hAnsi="Bahnschrift" w:cstheme="minorHAnsi"/>
        <w:color w:val="002D59"/>
        <w:sz w:val="20"/>
        <w:szCs w:val="20"/>
        <w:lang w:val="de-DE"/>
      </w:rPr>
    </w:pPr>
  </w:p>
  <w:p w14:paraId="3B1C480E" w14:textId="546B32A9" w:rsidR="005619D2" w:rsidRPr="005619D2" w:rsidRDefault="009B0881" w:rsidP="005619D2">
    <w:pPr>
      <w:tabs>
        <w:tab w:val="center" w:pos="4536"/>
        <w:tab w:val="right" w:pos="9072"/>
      </w:tabs>
      <w:spacing w:after="0" w:line="240" w:lineRule="auto"/>
      <w:rPr>
        <w:rFonts w:ascii="Bahnschrift" w:eastAsia="Calibri" w:hAnsi="Bahnschrift" w:cstheme="minorHAnsi"/>
        <w:color w:val="002D59"/>
        <w:sz w:val="20"/>
        <w:szCs w:val="20"/>
      </w:rPr>
    </w:pPr>
    <w:hyperlink r:id="rId2" w:history="1">
      <w:r w:rsidR="005619D2" w:rsidRPr="005619D2">
        <w:rPr>
          <w:rStyle w:val="Hipercze"/>
          <w:rFonts w:ascii="Bahnschrift" w:eastAsia="Calibri" w:hAnsi="Bahnschrift" w:cstheme="minorHAnsi"/>
          <w:sz w:val="20"/>
          <w:szCs w:val="20"/>
        </w:rPr>
        <w:t>www.</w:t>
      </w:r>
      <w:r w:rsidR="005619D2" w:rsidRPr="005619D2">
        <w:rPr>
          <w:rStyle w:val="Hipercze"/>
          <w:rFonts w:ascii="Bahnschrift" w:eastAsia="Calibri" w:hAnsi="Bahnschrift" w:cstheme="minorHAnsi"/>
          <w:b/>
          <w:bCs/>
          <w:sz w:val="20"/>
          <w:szCs w:val="20"/>
        </w:rPr>
        <w:t>us.</w:t>
      </w:r>
      <w:r w:rsidR="005619D2" w:rsidRPr="005619D2">
        <w:rPr>
          <w:rStyle w:val="Hipercze"/>
          <w:rFonts w:ascii="Bahnschrift" w:eastAsia="Calibri" w:hAnsi="Bahnschrift" w:cstheme="minorHAnsi"/>
          <w:sz w:val="20"/>
          <w:szCs w:val="20"/>
        </w:rPr>
        <w:t>edu.pl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AA955" w14:textId="77777777" w:rsidR="005619D2" w:rsidRDefault="005619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41AE2" w14:textId="77777777" w:rsidR="00D91460" w:rsidRDefault="00D91460" w:rsidP="00960A88">
      <w:pPr>
        <w:spacing w:after="0" w:line="240" w:lineRule="auto"/>
      </w:pPr>
      <w:r>
        <w:separator/>
      </w:r>
    </w:p>
  </w:footnote>
  <w:footnote w:type="continuationSeparator" w:id="0">
    <w:p w14:paraId="0221B755" w14:textId="77777777" w:rsidR="00D91460" w:rsidRDefault="00D91460" w:rsidP="00960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40373" w14:textId="77777777" w:rsidR="005619D2" w:rsidRDefault="005619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8318" w14:textId="7C464ECE" w:rsidR="008E589A" w:rsidRDefault="009B0881">
    <w:pPr>
      <w:pStyle w:val="Nagwek"/>
    </w:pPr>
    <w:sdt>
      <w:sdtPr>
        <w:id w:val="1314680560"/>
        <w:docPartObj>
          <w:docPartGallery w:val="Page Numbers (Margins)"/>
          <w:docPartUnique/>
        </w:docPartObj>
      </w:sdtPr>
      <w:sdtEndPr/>
      <w:sdtContent>
        <w:r w:rsidR="005619D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21C1111F" wp14:editId="6907642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A8405" w14:textId="2544C894" w:rsidR="005619D2" w:rsidRPr="005619D2" w:rsidRDefault="005619D2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5619D2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5619D2">
                                <w:rPr>
                                  <w:rFonts w:ascii="Bahnschrift" w:eastAsiaTheme="minorEastAsia" w:hAnsi="Bahnschrift" w:cs="Times New Roman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5619D2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5619D2">
                                <w:rPr>
                                  <w:rFonts w:ascii="Bahnschrift" w:eastAsiaTheme="minorEastAsia" w:hAnsi="Bahnschrift" w:cs="Times New Roman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4F26C1" w:rsidRPr="004F26C1">
                                <w:rPr>
                                  <w:rFonts w:ascii="Bahnschrift" w:eastAsiaTheme="majorEastAsia" w:hAnsi="Bahnschrift" w:cstheme="majorBidi"/>
                                  <w:noProof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5619D2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C1111F" id="Prostokąt 6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6BA8405" w14:textId="2544C894" w:rsidR="005619D2" w:rsidRPr="005619D2" w:rsidRDefault="005619D2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5619D2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Strona</w:t>
                        </w:r>
                        <w:r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  </w:t>
                        </w:r>
                        <w:r w:rsidRPr="005619D2">
                          <w:rPr>
                            <w:rFonts w:ascii="Bahnschrift" w:eastAsiaTheme="minorEastAsia" w:hAnsi="Bahnschrift" w:cs="Times New Roman"/>
                            <w:sz w:val="20"/>
                            <w:szCs w:val="20"/>
                          </w:rPr>
                          <w:fldChar w:fldCharType="begin"/>
                        </w:r>
                        <w:r w:rsidRPr="005619D2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5619D2">
                          <w:rPr>
                            <w:rFonts w:ascii="Bahnschrift" w:eastAsiaTheme="minorEastAsia" w:hAnsi="Bahnschrift" w:cs="Times New Roman"/>
                            <w:sz w:val="20"/>
                            <w:szCs w:val="20"/>
                          </w:rPr>
                          <w:fldChar w:fldCharType="separate"/>
                        </w:r>
                        <w:r w:rsidR="004F26C1" w:rsidRPr="004F26C1">
                          <w:rPr>
                            <w:rFonts w:ascii="Bahnschrift" w:eastAsiaTheme="majorEastAsia" w:hAnsi="Bahnschrift" w:cstheme="majorBidi"/>
                            <w:noProof/>
                            <w:sz w:val="20"/>
                            <w:szCs w:val="20"/>
                          </w:rPr>
                          <w:t>4</w:t>
                        </w:r>
                        <w:r w:rsidRPr="005619D2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E589A">
      <w:rPr>
        <w:noProof/>
        <w:lang w:eastAsia="pl-PL"/>
      </w:rPr>
      <w:drawing>
        <wp:inline distT="0" distB="0" distL="0" distR="0" wp14:anchorId="11B91925" wp14:editId="2A016746">
          <wp:extent cx="5760720" cy="857713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5760720" cy="8577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E2EC" w14:textId="77777777" w:rsidR="005619D2" w:rsidRDefault="005619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7C5059"/>
    <w:multiLevelType w:val="hybridMultilevel"/>
    <w:tmpl w:val="DB723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9241E"/>
    <w:multiLevelType w:val="hybridMultilevel"/>
    <w:tmpl w:val="A43ACB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MDY1NDhmNWEtZjcxYS00YzY0LWE5NDgtMWYwNjM0YTMxNDRjIg0KfQ=="/>
    <w:docVar w:name="GVData0" w:val="(end)"/>
  </w:docVars>
  <w:rsids>
    <w:rsidRoot w:val="00697729"/>
    <w:rsid w:val="000F595A"/>
    <w:rsid w:val="001609BA"/>
    <w:rsid w:val="002405C4"/>
    <w:rsid w:val="002F2C0B"/>
    <w:rsid w:val="0034596D"/>
    <w:rsid w:val="003645E6"/>
    <w:rsid w:val="00430B2A"/>
    <w:rsid w:val="00475389"/>
    <w:rsid w:val="004E5584"/>
    <w:rsid w:val="004F21E5"/>
    <w:rsid w:val="004F26C1"/>
    <w:rsid w:val="005619D2"/>
    <w:rsid w:val="006333A6"/>
    <w:rsid w:val="0068544B"/>
    <w:rsid w:val="00697729"/>
    <w:rsid w:val="006B2F39"/>
    <w:rsid w:val="00715019"/>
    <w:rsid w:val="007A0D8A"/>
    <w:rsid w:val="008027EC"/>
    <w:rsid w:val="00847776"/>
    <w:rsid w:val="008E589A"/>
    <w:rsid w:val="00944DB3"/>
    <w:rsid w:val="009510EB"/>
    <w:rsid w:val="00960A88"/>
    <w:rsid w:val="00984CB0"/>
    <w:rsid w:val="00995FDA"/>
    <w:rsid w:val="009B0881"/>
    <w:rsid w:val="009E410C"/>
    <w:rsid w:val="00A46047"/>
    <w:rsid w:val="00A931D5"/>
    <w:rsid w:val="00B34328"/>
    <w:rsid w:val="00B47823"/>
    <w:rsid w:val="00B710AD"/>
    <w:rsid w:val="00BA0921"/>
    <w:rsid w:val="00D2122F"/>
    <w:rsid w:val="00D87A22"/>
    <w:rsid w:val="00D91460"/>
    <w:rsid w:val="00DA0149"/>
    <w:rsid w:val="00DE434A"/>
    <w:rsid w:val="00E43DC8"/>
    <w:rsid w:val="00E7237C"/>
    <w:rsid w:val="00F60574"/>
    <w:rsid w:val="00F6586C"/>
    <w:rsid w:val="00F663F5"/>
    <w:rsid w:val="00F91F98"/>
    <w:rsid w:val="00FA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1D8B0"/>
  <w15:docId w15:val="{6A268ADB-1B42-45E5-A0ED-33A15BD7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77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7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72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21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1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1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1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1E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6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A88"/>
  </w:style>
  <w:style w:type="paragraph" w:styleId="Stopka">
    <w:name w:val="footer"/>
    <w:basedOn w:val="Normalny"/>
    <w:link w:val="StopkaZnak"/>
    <w:uiPriority w:val="99"/>
    <w:unhideWhenUsed/>
    <w:rsid w:val="0096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A88"/>
  </w:style>
  <w:style w:type="table" w:styleId="Tabela-Siatka">
    <w:name w:val="Table Grid"/>
    <w:basedOn w:val="Standardowy"/>
    <w:uiPriority w:val="59"/>
    <w:rsid w:val="008E5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61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4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1891FCCB72354D82A6F3B37D3DD8CA" ma:contentTypeVersion="17" ma:contentTypeDescription="Utwórz nowy dokument." ma:contentTypeScope="" ma:versionID="d880c8ece0cdf3ca355f4d99c900fd13">
  <xsd:schema xmlns:xsd="http://www.w3.org/2001/XMLSchema" xmlns:xs="http://www.w3.org/2001/XMLSchema" xmlns:p="http://schemas.microsoft.com/office/2006/metadata/properties" xmlns:ns3="0ed73f51-16a9-4dca-8d20-922e7eb0fbb1" xmlns:ns4="bf7ab0f4-3629-465d-86a5-f20ac82d8d37" targetNamespace="http://schemas.microsoft.com/office/2006/metadata/properties" ma:root="true" ma:fieldsID="0b9c6dbe09fe9ed497a6df8babfdf943" ns3:_="" ns4:_="">
    <xsd:import namespace="0ed73f51-16a9-4dca-8d20-922e7eb0fbb1"/>
    <xsd:import namespace="bf7ab0f4-3629-465d-86a5-f20ac82d8d3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73f51-16a9-4dca-8d20-922e7eb0f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ab0f4-3629-465d-86a5-f20ac82d8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d73f51-16a9-4dca-8d20-922e7eb0fbb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174E6-4AD5-4559-BABA-C976DBC36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d73f51-16a9-4dca-8d20-922e7eb0fbb1"/>
    <ds:schemaRef ds:uri="bf7ab0f4-3629-465d-86a5-f20ac82d8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BC3AE0-8B98-4BCF-B5FE-57320C1C32B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bf7ab0f4-3629-465d-86a5-f20ac82d8d37"/>
    <ds:schemaRef ds:uri="0ed73f51-16a9-4dca-8d20-922e7eb0fbb1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D3C944-85B8-4773-9472-8CD4472A48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3432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Słowik</cp:lastModifiedBy>
  <cp:revision>2</cp:revision>
  <cp:lastPrinted>2024-09-04T07:34:00Z</cp:lastPrinted>
  <dcterms:created xsi:type="dcterms:W3CDTF">2024-09-04T10:03:00Z</dcterms:created>
  <dcterms:modified xsi:type="dcterms:W3CDTF">2024-09-04T10:03:00Z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0x0101009C1891FCCB72354D82A6F3B37D3DD8CA</vt:lpwstr>
  </property>
  <property fmtid="{D5CDD505-2E9C-101B-9397-08002B2CF9AE}" pid="3" name="GVData">
    <vt:lpwstr>ew0KICAiZG9jSUQiOiAiMDY1NDhmNWEtZjcxYS00YzY0LWE5NDgtMWYwNjM0YTMxNDRjIg0KfQ==</vt:lpwstr>
  </property>
  <property fmtid="{D5CDD505-2E9C-101B-9397-08002B2CF9AE}" pid="4" name="GVData0">
    <vt:lpwstr>(end)</vt:lpwstr>
  </property>
</Properties>
</file>