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00" w:type="dxa"/>
        <w:tblInd w:w="-15" w:type="dxa"/>
        <w:tblCellMar>
          <w:left w:w="70" w:type="dxa"/>
          <w:right w:w="70" w:type="dxa"/>
        </w:tblCellMar>
        <w:tblLook w:val="04A0"/>
      </w:tblPr>
      <w:tblGrid>
        <w:gridCol w:w="400"/>
        <w:gridCol w:w="3019"/>
        <w:gridCol w:w="459"/>
        <w:gridCol w:w="532"/>
        <w:gridCol w:w="1358"/>
        <w:gridCol w:w="999"/>
        <w:gridCol w:w="1278"/>
        <w:gridCol w:w="1140"/>
        <w:gridCol w:w="859"/>
        <w:gridCol w:w="1399"/>
        <w:gridCol w:w="957"/>
      </w:tblGrid>
      <w:tr w:rsidR="0066660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8" w:type="dxa"/>
            <w:gridSpan w:val="2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1.21 do SIWZ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10042" w:type="dxa"/>
            <w:gridSpan w:val="9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21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300"/>
        </w:trPr>
        <w:tc>
          <w:tcPr>
            <w:tcW w:w="3417" w:type="dxa"/>
            <w:gridSpan w:val="2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4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jc w:val="center"/>
              <w:rPr>
                <w:rFonts w:ascii="Tahoma" w:eastAsia="Times New Roman" w:hAnsi="Tahoma" w:cs="Arial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197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Jednorazowy fartuch zabiegowy wzmocniony wykonany z przewiewnej </w:t>
            </w:r>
            <w:r>
              <w:rPr>
                <w:rFonts w:ascii="Tahoma" w:hAnsi="Tahoma"/>
                <w:sz w:val="14"/>
                <w:szCs w:val="14"/>
              </w:rPr>
              <w:t xml:space="preserve">włókniny polipropylenowej o gramaturze 35g/m2. Na mankietach i froncie znajduje się barierowe wzmocnienie foliowe o gramaturze 23g/m2. Zapinany na rzep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velco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przy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szyji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oraz wiązany trokami w pasie, posiada bawełniane ściągacze na mankietach. Długość 125cm</w:t>
            </w:r>
            <w:r>
              <w:rPr>
                <w:rFonts w:ascii="Tahoma" w:hAnsi="Tahoma"/>
                <w:sz w:val="14"/>
                <w:szCs w:val="14"/>
              </w:rPr>
              <w:t xml:space="preserve">, obwód 140cm. Opakowanie zbiorcze zawiera 100szt. fartuchów – dodatkowo podzielone na 10 opakowań foliowych.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5000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2270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P</w:t>
            </w:r>
            <w:r>
              <w:rPr>
                <w:rFonts w:ascii="Tahoma" w:hAnsi="Tahoma"/>
                <w:sz w:val="14"/>
                <w:szCs w:val="14"/>
              </w:rPr>
              <w:t xml:space="preserve">ętle do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polipektomii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>.</w:t>
            </w:r>
          </w:p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Wykonane z plecionego drutu; dostępne w wersji sztywnej, półsztywnej i miękkiej w zależności od rozmiaru i kształtu; posiadające wskazania do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polipektomii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zarówno na ciepło, jak i na zimno; kształty: owalny (średnica pętli 11, 13, 27 i 30 mm), okrągły (śre</w:t>
            </w:r>
            <w:r>
              <w:rPr>
                <w:rFonts w:ascii="Tahoma" w:hAnsi="Tahoma"/>
                <w:sz w:val="14"/>
                <w:szCs w:val="14"/>
              </w:rPr>
              <w:t xml:space="preserve">dnica pętli 10, 15, 20, 25 i 33 mm), półksiężycowy (średnica pętli 27 mm) i heksagonalny (średnica pętli 13 i 27 mm); długość robocza: 240 cm, średnica zewnętrzna osłonki: 2.4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mm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. Opakowanie zawiera 10szt. 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szt.</w:t>
            </w:r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1125"/>
        </w:trPr>
        <w:tc>
          <w:tcPr>
            <w:tcW w:w="39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01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Klipsownica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z klipsem 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załadowanym do zestawu, jednorazowego użytku, bez osłonki, szerokość rozwarcia ramion klipsa 11mm lub 17mm do wyboru, możliwość kilkukrotnego otwarcia i zamknięcia ramion klipsa przed całkowitym uwolnieniem, płynna rotacja 1:1 (dwa sposoby rotacji – pokręt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ło do obsługi asystenta i możliwość rotacji przy kanale biopsyjnym przez lekarza), mechanizm blokujący klips, dostępne w długościach 155cm i 235cm, z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możliwościa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wykonania MRI (warunki podane w instrukcji obsługi), możliwość zastosowania do </w:t>
            </w: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klipsowania</w:t>
            </w:r>
            <w:proofErr w:type="spellEnd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 xml:space="preserve"> pro</w:t>
            </w: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filaktycznego, wymagana średnica kanału endoskopowego 2.8mm.</w:t>
            </w:r>
          </w:p>
        </w:tc>
        <w:tc>
          <w:tcPr>
            <w:tcW w:w="4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581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lastRenderedPageBreak/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Tr</w:t>
            </w:r>
            <w:r>
              <w:rPr>
                <w:rFonts w:ascii="Tahoma" w:hAnsi="Tahoma"/>
                <w:sz w:val="14"/>
                <w:szCs w:val="14"/>
              </w:rPr>
              <w:t xml:space="preserve">ójstopniowy balon z wytrzymałego tworzywa o zmiennej średnicy (z prowadnikiem) do poszerzania zwężeń jelitowych oraz przełyku, odźwiernika i dróg żółciowych (DASE); kateter: długość 240 cm; średnica 7,5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Fr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>; balon: długość 5.5 cm; średnice do wyboru: 6-8mm,</w:t>
            </w:r>
            <w:r>
              <w:rPr>
                <w:rFonts w:ascii="Tahoma" w:hAnsi="Tahoma"/>
                <w:sz w:val="14"/>
                <w:szCs w:val="14"/>
              </w:rPr>
              <w:t xml:space="preserve"> 8-10mm, 10-12mm, 12-15mm, 15-18mm, 18-20mm, zaokrąglone brzegi pozwalające na endoskopową obserwacje miejsca poszerzania, dwa markery radiologiczne, na kateterze fluorescencyjna karta informująca o wymaganym ciśnieniu do uzyskania danych średnic. Produkt </w:t>
            </w:r>
            <w:r>
              <w:rPr>
                <w:rFonts w:ascii="Tahoma" w:hAnsi="Tahoma"/>
                <w:sz w:val="14"/>
                <w:szCs w:val="14"/>
              </w:rPr>
              <w:t xml:space="preserve">nie zawiera lateksu. 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 w:rsidTr="008317D0">
        <w:trPr>
          <w:trHeight w:val="581"/>
        </w:trPr>
        <w:tc>
          <w:tcPr>
            <w:tcW w:w="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Jednorazowy wysokociśnieniowy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inflator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z manometrem do pompowania balonów. Może być użyty do balonów hydrostatycznych. Zakres ciśnień 0 - 15 ATM.</w:t>
            </w: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proofErr w:type="spellStart"/>
            <w:r>
              <w:rPr>
                <w:rFonts w:ascii="Tahoma" w:hAnsi="Tahom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581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6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60D" w:rsidRDefault="008317D0">
            <w:pPr>
              <w:spacing w:after="0" w:line="240" w:lineRule="auto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 xml:space="preserve">Żel do podnoszenia zmian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podśluzówkowychŻel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błękitny do </w:t>
            </w:r>
            <w:r>
              <w:rPr>
                <w:rFonts w:ascii="Tahoma" w:hAnsi="Tahoma"/>
                <w:sz w:val="14"/>
                <w:szCs w:val="14"/>
              </w:rPr>
              <w:t xml:space="preserve">podnoszenia zmian stosowany przy zabiegach </w:t>
            </w:r>
            <w:proofErr w:type="spellStart"/>
            <w:r>
              <w:rPr>
                <w:rFonts w:ascii="Tahoma" w:hAnsi="Tahoma"/>
                <w:sz w:val="14"/>
                <w:szCs w:val="14"/>
              </w:rPr>
              <w:t>mukozektomii</w:t>
            </w:r>
            <w:proofErr w:type="spellEnd"/>
            <w:r>
              <w:rPr>
                <w:rFonts w:ascii="Tahoma" w:hAnsi="Tahoma"/>
                <w:sz w:val="14"/>
                <w:szCs w:val="14"/>
              </w:rPr>
              <w:t xml:space="preserve"> i ESD; zestaw gotowy do użycia; w komplecie dwie zabezpieczone strzykawki z żelem po 10ml oraz igła do aplikacji w osłonie przezroczystej o zwiększonej sztywności o średnicy 23G.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proofErr w:type="spellStart"/>
            <w:r>
              <w:rPr>
                <w:rFonts w:ascii="Tahoma" w:hAnsi="Tahoma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5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8317D0">
            <w:pPr>
              <w:spacing w:after="0" w:line="240" w:lineRule="auto"/>
              <w:jc w:val="center"/>
              <w:rPr>
                <w:rFonts w:ascii="Tahoma" w:hAnsi="Tahoma"/>
                <w:sz w:val="14"/>
                <w:szCs w:val="14"/>
              </w:rPr>
            </w:pPr>
            <w:r>
              <w:rPr>
                <w:rFonts w:ascii="Tahoma" w:hAnsi="Tahoma"/>
                <w:sz w:val="14"/>
                <w:szCs w:val="14"/>
              </w:rPr>
              <w:t>1</w:t>
            </w:r>
          </w:p>
        </w:tc>
        <w:tc>
          <w:tcPr>
            <w:tcW w:w="13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2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val="480"/>
        </w:trPr>
        <w:tc>
          <w:tcPr>
            <w:tcW w:w="8043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RAZEM:</w:t>
            </w:r>
          </w:p>
        </w:tc>
        <w:tc>
          <w:tcPr>
            <w:tcW w:w="114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Tahoma" w:eastAsia="Times New Roman" w:hAnsi="Tahoma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66660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6660D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66660D" w:rsidRDefault="00666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98" w:type="dxa"/>
            <w:gridSpan w:val="3"/>
            <w:shd w:val="clear" w:color="auto" w:fill="auto"/>
            <w:vAlign w:val="bottom"/>
          </w:tcPr>
          <w:p w:rsidR="0066660D" w:rsidRDefault="0083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66660D" w:rsidRDefault="006666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66660D" w:rsidRDefault="0066660D"/>
    <w:sectPr w:rsidR="0066660D" w:rsidSect="0066660D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hyphenationZone w:val="425"/>
  <w:characterSpacingControl w:val="doNotCompress"/>
  <w:compat/>
  <w:rsids>
    <w:rsidRoot w:val="0066660D"/>
    <w:rsid w:val="0066660D"/>
    <w:rsid w:val="0083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E4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666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6660D"/>
    <w:pPr>
      <w:spacing w:after="140"/>
    </w:pPr>
  </w:style>
  <w:style w:type="paragraph" w:styleId="Lista">
    <w:name w:val="List"/>
    <w:basedOn w:val="Tekstpodstawowy"/>
    <w:rsid w:val="0066660D"/>
    <w:rPr>
      <w:rFonts w:cs="Arial"/>
    </w:rPr>
  </w:style>
  <w:style w:type="paragraph" w:customStyle="1" w:styleId="Caption">
    <w:name w:val="Caption"/>
    <w:basedOn w:val="Normalny"/>
    <w:qFormat/>
    <w:rsid w:val="006666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6660D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427</Words>
  <Characters>2563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Twardzik</dc:creator>
  <dc:description/>
  <cp:lastModifiedBy>kjar</cp:lastModifiedBy>
  <cp:revision>14</cp:revision>
  <cp:lastPrinted>2020-05-18T11:13:00Z</cp:lastPrinted>
  <dcterms:created xsi:type="dcterms:W3CDTF">2020-05-18T09:31:00Z</dcterms:created>
  <dcterms:modified xsi:type="dcterms:W3CDTF">2020-05-19T05:47:00Z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