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3160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651"/>
        <w:gridCol w:w="3886"/>
        <w:gridCol w:w="605"/>
        <w:gridCol w:w="604"/>
        <w:gridCol w:w="1559"/>
        <w:gridCol w:w="1059"/>
        <w:gridCol w:w="75"/>
        <w:gridCol w:w="1201"/>
        <w:gridCol w:w="75"/>
        <w:gridCol w:w="1059"/>
        <w:gridCol w:w="75"/>
        <w:gridCol w:w="917"/>
        <w:gridCol w:w="75"/>
        <w:gridCol w:w="1059"/>
        <w:gridCol w:w="80"/>
        <w:gridCol w:w="100"/>
        <w:gridCol w:w="80"/>
      </w:tblGrid>
      <w:tr w:rsidR="00266B66" w:rsidTr="00F26DB6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 xml:space="preserve"> 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Załącznik Nr 1.6 do SIWZ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gridAfter w:val="1"/>
          <w:wAfter w:w="80" w:type="dxa"/>
          <w:trHeight w:val="260"/>
        </w:trPr>
        <w:tc>
          <w:tcPr>
            <w:tcW w:w="117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  <w:lang w:val="de-DE"/>
              </w:rPr>
              <w:t>FORMULARZ CENOWY PAKIET NR 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260"/>
        </w:trPr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gridAfter w:val="1"/>
          <w:wAfter w:w="80" w:type="dxa"/>
          <w:trHeight w:val="260"/>
        </w:trPr>
        <w:tc>
          <w:tcPr>
            <w:tcW w:w="8364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A831D2" w:rsidTr="00F26DB6">
        <w:trPr>
          <w:trHeight w:val="820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8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J.M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Nazwa handlowa,     nr katalogowy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Producent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 xml:space="preserve">Wartość </w:t>
            </w:r>
            <w:r>
              <w:rPr>
                <w:rFonts w:ascii="Tahoma" w:hAnsi="Tahoma"/>
                <w:b/>
                <w:bCs/>
                <w:sz w:val="16"/>
                <w:szCs w:val="16"/>
                <w:lang w:val="it-IT"/>
              </w:rPr>
              <w:t>netto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 xml:space="preserve"> Stawka podatku VAT   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 xml:space="preserve">Wartość </w:t>
            </w:r>
            <w:r>
              <w:rPr>
                <w:rFonts w:ascii="Tahoma" w:hAnsi="Tahoma"/>
                <w:b/>
                <w:bCs/>
                <w:sz w:val="16"/>
                <w:szCs w:val="16"/>
                <w:lang w:val="it-IT"/>
              </w:rPr>
              <w:t>brutto</w:t>
            </w:r>
          </w:p>
        </w:tc>
        <w:tc>
          <w:tcPr>
            <w:tcW w:w="180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</w:tr>
      <w:tr w:rsidR="00266B66" w:rsidTr="00F26DB6">
        <w:trPr>
          <w:trHeight w:val="420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 w:rsidP="00F26DB6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1</w:t>
            </w:r>
          </w:p>
        </w:tc>
        <w:tc>
          <w:tcPr>
            <w:tcW w:w="38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Pr="00F26DB6" w:rsidRDefault="00F26DB6" w:rsidP="00F26DB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26DB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6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 w:rsidP="00F26DB6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3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 w:rsidP="00F26DB6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 w:rsidP="00F26DB6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 w:rsidP="00F26DB6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 w:rsidP="00F26DB6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 w:rsidP="00F26DB6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 w:rsidP="00F26DB6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 w:rsidP="00F26DB6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10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5722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lastRenderedPageBreak/>
              <w:t>1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 xml:space="preserve">Zamknięty system do odsysania z rurki intubacyjnej rozmiary CH12/14/16/18, długość 54 cm. Możliwość stosowania przez 72 godziny (48 godzin dla rozmiaru CH18). System posiadający zintegrowany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podw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jnie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obrotowy łącznik o kącie 90 stopni do podłączenia rurki i respiratora; zamykany, obrotowy port do przepłukiwania cewnika o długości min. 5 cm, zamykany port do podawania lek</w:t>
            </w:r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 xml:space="preserve">w wziewnych (MDI), komora pozwalająca na obserwację wydzieliny pacjenta, aktywacja podciśnienia za pomocą przycisku  znakowanego kolorystycznie adekwatnie do rozmiaru wg standardu ISO,  blokada przycisku aktywacji podciśnienia poprzez jego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obr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 xml:space="preserve">t o 90 stopni, silikonowa zastawka PEEP automatycznie uszczelniająca cewnik po usunięciu go z rurki. System stanowiący integralną całość, nierozłączalny, wszystkie elementy systemu sterylne. Cewnik zakończony atraumatycznie (zaokrąglona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końc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wka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bez żadnych ostrych krawędzi oraz ścięć), z dwoma otworami po przeciwległych stronach, zakończony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obw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dką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w kolorze czarnym pozwalającym na jego wizualizację podczas przepłukiwania, oznaczenie rozmiaru cewnika bezpośrednio na dystalnym końcu cewnika, cewnik z widocznymi oznaczeniami głębokości insercji skalowanymi co 1 cm. System gotowy do użycia bezpośrednio po wyjęciu z opakowania, bez potrzeby dodatkowego montażu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akcesori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 xml:space="preserve">w. 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7485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lastRenderedPageBreak/>
              <w:t>2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 xml:space="preserve">Zamknięty system do odsysania z rurki tracheotomijnej rozmiary  CH12/14/16, długość </w:t>
            </w:r>
            <w:r>
              <w:rPr>
                <w:rFonts w:ascii="Tahoma" w:hAnsi="Tahoma"/>
                <w:sz w:val="16"/>
                <w:szCs w:val="16"/>
                <w:lang w:val="de-DE"/>
              </w:rPr>
              <w:t>34 cm.   Mo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żliwość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stosowania przez 72 godziny. System posiadający zintegrowany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podw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jnie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obrotowy łącznik o kącie 90 stopni do podłączenia rurki i respiratora; zamykany, obrotowy port do przepłukiwania cewnika o długości min. 5 cm, zamykany port do podawania lek</w:t>
            </w:r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 xml:space="preserve">w wziewnych (MDI), komora pozwalająca na obserwację wydzieliny pacjenta, aktywacja podciśnienia za pomocą przycisku  znakowanego kolorystycznie adekwatnie do rozmiaru wg standardu ISO,  blokada przycisku aktywacji podciśnienia poprzez jego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obr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 xml:space="preserve">t o 90 stopni, silikonowa zastawka PEEP automatycznie uszczelniająca cewnik po usunięciu go z rurki. System stanowiący integralną całość, nierozłączalny, wszystkie elementy systemu sterylne. Cewnik zakończony atraumatycznie (zaokrąglona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końc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wka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bez żadnych ostrych krawędzi oraz ścięć), z dwoma otworami po przeciwległych stronach, zakończony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obw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dką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w kolorze czarnym pozwalającym na jego wizualizację podczas przepłukiwania, oznaczenie rozmiaru cewnika bezpośrednio na dystalnym końcu cewnika, cewnik z widocznymi oznaczeniami głębokości insercji skalowanymi co 1 cm. System gotowy do użycia bezpośrednio po wyjęciu z opakowania, bez potrzeby dodatkowego montażu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akcesori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>w.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782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lastRenderedPageBreak/>
              <w:t>3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 xml:space="preserve">Zamknięty system do odsysania z rurki intubacyjnej CH10/12/14/16, długość 59 cm; CH14/16 długość 65 cm oraz rurki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tracheostomijnej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CH 10/12/14/16, długość 39 cm;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Właściwoś</w:t>
            </w:r>
            <w:proofErr w:type="spellEnd"/>
            <w:r>
              <w:rPr>
                <w:rFonts w:ascii="Tahoma" w:hAnsi="Tahoma"/>
                <w:sz w:val="16"/>
                <w:szCs w:val="16"/>
                <w:lang w:val="it-IT"/>
              </w:rPr>
              <w:t>ci og</w:t>
            </w:r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ahoma" w:hAnsi="Tahoma"/>
                <w:sz w:val="16"/>
                <w:szCs w:val="16"/>
                <w:lang w:val="de-DE"/>
              </w:rPr>
              <w:t>lne</w:t>
            </w:r>
            <w:proofErr w:type="spellEnd"/>
            <w:r>
              <w:rPr>
                <w:rFonts w:ascii="Tahoma" w:hAnsi="Tahoma"/>
                <w:sz w:val="16"/>
                <w:szCs w:val="16"/>
                <w:lang w:val="de-DE"/>
              </w:rPr>
              <w:t xml:space="preserve">: </w:t>
            </w:r>
            <w:proofErr w:type="spellStart"/>
            <w:r>
              <w:rPr>
                <w:rFonts w:ascii="Tahoma" w:hAnsi="Tahoma"/>
                <w:sz w:val="16"/>
                <w:szCs w:val="16"/>
                <w:lang w:val="de-DE"/>
              </w:rPr>
              <w:t>mo</w:t>
            </w:r>
            <w:r>
              <w:rPr>
                <w:rFonts w:ascii="Tahoma" w:hAnsi="Tahoma"/>
                <w:sz w:val="16"/>
                <w:szCs w:val="16"/>
              </w:rPr>
              <w:t>żliwość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stosowania przez min. 168 godz. (potwierdzona dokumentem od producenta). Zintegrowany/wbudowany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podw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jnie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obrotowy łącznik o kącie 90 stopni, zintegrowany/zbudowany port do bronchoskopii o kącie 45/135 stopni; zamykany, obrotowy port do przepłukiwania cewnika o długości min. 5 cm, zamykany port do podawania lek</w:t>
            </w:r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 xml:space="preserve">w wziewnych (MDI) zintegrowany bezpośrednio w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częś</w:t>
            </w:r>
            <w:proofErr w:type="spellEnd"/>
            <w:r>
              <w:rPr>
                <w:rFonts w:ascii="Tahoma" w:hAnsi="Tahoma"/>
                <w:sz w:val="16"/>
                <w:szCs w:val="16"/>
                <w:lang w:val="it-IT"/>
              </w:rPr>
              <w:t xml:space="preserve">ci </w:t>
            </w:r>
            <w:r>
              <w:rPr>
                <w:rFonts w:ascii="Tahoma" w:hAnsi="Tahoma"/>
                <w:sz w:val="16"/>
                <w:szCs w:val="16"/>
              </w:rPr>
              <w:t xml:space="preserve">łącznika podłączanej do rurki pacjenta, komora pozwalająca do obserwację wydzieliny pacjenta, zabezpieczenie łącznika podciśnienia w postaci kapturka, zamocowane do zestawu w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spos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 xml:space="preserve">b zapobiegający zagubieniu, aktywacja podciśnienia za pomocą przycisku ściskanego wnętrzem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dłoni,blokada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przycisku aktywacji podciśnienia poprzez jego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obr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 xml:space="preserve">t o 90 stopni, uniemożliwiająca przypadkową aktywację odsysania, okrągła, wstępna zastawka poniżej otworu do przepłukiwania; przekręcana zastawka na wysokości portu do przepłukiwania oddzielająca cewnik od pacjenta po usunięciu go z rurki, zapewniająca szczelność zestawu; system stanowiący integralną całość, nierozłączalny, wszystkie elementy systemu sterylne, wolne od DEHP. Cewnik: stosowany do 168h, bez konieczności wymiany po każdorazowej procedurze odsysania, zakończony atraumatycznie (zaokrąglona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końc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wka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bez żadnych ostrych krawędzi oraz ścięć), z dwoma otworami po przeciwległych stronach, zakończony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obw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dką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w kolorze czarnym pozwalającym na jego wizualizację podczas przepłukiwania, oznaczenie rozmiaru cewnika bezpośrednio na dystalnym końcu cewnika, cewnik z widocznymi oznaczeniami głębokości insercji skalowanymi co 1 cm. System gotowy do użycia bezpośrednio po wyjęciu z opakowania, bez potrzeby dodatkowego montażu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akcesori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  <w:lang w:val="en-US"/>
              </w:rPr>
              <w:t>w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Pr="00F26DB6" w:rsidRDefault="00FE2031" w:rsidP="00FE2031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F26DB6">
              <w:rPr>
                <w:rFonts w:ascii="Tahoma" w:hAnsi="Tahoma" w:cs="Tahoma"/>
                <w:b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303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lastRenderedPageBreak/>
              <w:t>4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Dreny do zamkniętych system</w:t>
            </w:r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>w do odsysania. Sterylny, kompletny zestaw dren</w:t>
            </w:r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 xml:space="preserve">w przeznaczony do stosowania z zamkniętymi systemami do odsysania oraz akcesoriami do higieny jamy ustnej. W skład zestawu wchodzi łącznik "Y" do podłączenia pojemnika na wydzielinę, 2 dreny z zaciskami umożliwiające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niezależ</w:t>
            </w:r>
            <w:proofErr w:type="spellEnd"/>
            <w:r>
              <w:rPr>
                <w:rFonts w:ascii="Tahoma" w:hAnsi="Tahoma"/>
                <w:sz w:val="16"/>
                <w:szCs w:val="16"/>
                <w:lang w:val="fr-FR"/>
              </w:rPr>
              <w:t>ne po</w:t>
            </w:r>
            <w:r>
              <w:rPr>
                <w:rFonts w:ascii="Tahoma" w:hAnsi="Tahoma"/>
                <w:sz w:val="16"/>
                <w:szCs w:val="16"/>
              </w:rPr>
              <w:t>łączenie z zamkniętym systemem do odsysania oraz standardowym cewnikiem do odsysania z jamy ustnej (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końc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wka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drenu zaopatrzona w łącznik prosty, schodkowy z zatyczką, umożliwiająca regulację siły odsysania w systemie otwartym). Możliwość stosowania do 72 godz. (potwierdzone oświadczeniem producenta). Długość </w:t>
            </w:r>
            <w:r>
              <w:rPr>
                <w:rFonts w:ascii="Tahoma" w:hAnsi="Tahoma"/>
                <w:sz w:val="16"/>
                <w:szCs w:val="16"/>
                <w:lang w:val="da-DK"/>
              </w:rPr>
              <w:t>dren</w:t>
            </w:r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>w min. 2 metry, średnica dren</w:t>
            </w:r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>w 25Ch.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1451"/>
        </w:trPr>
        <w:tc>
          <w:tcPr>
            <w:tcW w:w="6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5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Sterylny adapter typu „Y” do bronchoskopii kompatybilny z zamkniętymi systemami do odsysania.  Port do bronchofiberoskopu z dwudzielną zastawką, od zewnątrz zabezpieczony nasadką uszczelniającą na zawieszce. Obrotowy łącznik do podłączenia rurki. Możliwość stosowania do 72 godzin (potwierdzone oświadczeniem producenta)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1235"/>
        </w:trPr>
        <w:tc>
          <w:tcPr>
            <w:tcW w:w="6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6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Ś</w:t>
            </w:r>
            <w:r>
              <w:rPr>
                <w:rFonts w:ascii="Tahoma" w:hAnsi="Tahoma"/>
                <w:sz w:val="16"/>
                <w:szCs w:val="16"/>
                <w:lang w:val="es-ES_tradnl"/>
              </w:rPr>
              <w:t>linocia</w:t>
            </w:r>
            <w:r>
              <w:rPr>
                <w:rFonts w:ascii="Tahoma" w:hAnsi="Tahoma"/>
                <w:sz w:val="16"/>
                <w:szCs w:val="16"/>
              </w:rPr>
              <w:t xml:space="preserve">̨g, cewnik do odsysania z jamy ustnej z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możliwoś</w:t>
            </w:r>
            <w:proofErr w:type="spellEnd"/>
            <w:r>
              <w:rPr>
                <w:rFonts w:ascii="Tahoma" w:hAnsi="Tahoma"/>
                <w:sz w:val="16"/>
                <w:szCs w:val="16"/>
                <w:lang w:val="it-IT"/>
              </w:rPr>
              <w:t>cia</w:t>
            </w:r>
            <w:r>
              <w:rPr>
                <w:rFonts w:ascii="Tahoma" w:hAnsi="Tahoma"/>
                <w:sz w:val="16"/>
                <w:szCs w:val="16"/>
              </w:rPr>
              <w:t xml:space="preserve">̨ nadania kształtu, czerwony łącznik do ssaka.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br/>
            </w:r>
            <w:r>
              <w:rPr>
                <w:rFonts w:ascii="Tahoma" w:hAnsi="Tahoma"/>
                <w:sz w:val="16"/>
                <w:szCs w:val="16"/>
              </w:rPr>
              <w:t>Opakowanie zbiorcze 10 szt., mikrobiologicznie czysty, pakowany folia-folia.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op.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516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lastRenderedPageBreak/>
              <w:t>7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 xml:space="preserve">Łyżka do laryngoskopu, światłowodowa, jednorazowa, typ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McIntosh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. Rozmiary 00, 0, 1, 2, 3, 4, 5.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Nieodkształcają</w:t>
            </w:r>
            <w:proofErr w:type="spellEnd"/>
            <w:r>
              <w:rPr>
                <w:rFonts w:ascii="Tahoma" w:hAnsi="Tahoma"/>
                <w:sz w:val="16"/>
                <w:szCs w:val="16"/>
                <w:lang w:val="it-IT"/>
              </w:rPr>
              <w:t>ca si</w:t>
            </w:r>
            <w:r>
              <w:rPr>
                <w:rFonts w:ascii="Tahoma" w:hAnsi="Tahoma"/>
                <w:sz w:val="16"/>
                <w:szCs w:val="16"/>
              </w:rPr>
              <w:t xml:space="preserve">ę łyżka wykonana z niemagnetycznego, lekkiego stopu metalu, kompatybilna rękojeściami w standardzie ISO 7376 (tzw. zielona specyfikacja). Profil łyżek identyczny z profilem łyżek wielorazowego użytku. Mocowanie światłowodu zatopione w tworzywie sztucznym koloru zielonego, ułatwiającym identyfikację ze standardem ISO 7376. Wytrzymały zatrzask kulkowy zapewniający trwałe mocowanie w rękojeści.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Światłow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 xml:space="preserve">d wykonany z polerowanego tworzywa sztucznego, dający mocne, skupione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światł</w:t>
            </w:r>
            <w:proofErr w:type="spellEnd"/>
            <w:r>
              <w:rPr>
                <w:rFonts w:ascii="Tahoma" w:hAnsi="Tahoma"/>
                <w:sz w:val="16"/>
                <w:szCs w:val="16"/>
                <w:lang w:val="it-IT"/>
              </w:rPr>
              <w:t>o.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br/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Światłow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 xml:space="preserve">d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nieosł</w:t>
            </w:r>
            <w:proofErr w:type="spellEnd"/>
            <w:r>
              <w:rPr>
                <w:rFonts w:ascii="Tahoma" w:hAnsi="Tahoma"/>
                <w:sz w:val="16"/>
                <w:szCs w:val="16"/>
                <w:lang w:val="it-IT"/>
              </w:rPr>
              <w:t>oni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ęty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, doświetlający wnętrze jamy ustnej i gardło. Wyraźne oznakowanie rozmiaru łyżki, symbol CE, numeru seryjnego i symbol „nie do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powt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rnego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użycia” (przekreślona cyfra 2) naniesione po stronie wyprowadzenia światłowodu, pakowanie folia-folia.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BF4E84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3</w:t>
            </w:r>
            <w:r w:rsidR="004B644E">
              <w:rPr>
                <w:rFonts w:ascii="Tahoma" w:hAnsi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403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lastRenderedPageBreak/>
              <w:t>8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 xml:space="preserve">Zestaw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laryngoskopowy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LED dla dorosłych wielorazowego użytku. W skład zestawu wchodzi rękojeść i trzy łyżki typu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McIntosh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>. Rękojeść wykonana z nierdzewnej stali, kompatybilna z łyżkami w standardzie ISO 7376 (tzw. zielona specyfikacja). Rękojeść z poprzecznymi frezami zapewniającymi pewny chwyt, zakończona nakrętką, umożliwiająca dostęp do baterii. W rękojeści można dokonać samodzielnego demontażu żar</w:t>
            </w:r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wki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>. Rękojeść jest przeznaczona do sterylizacji (bez żar</w:t>
            </w:r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wki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i baterii). Wyraźnie jest oznaczona nazwa Producenta i określenie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światł</w:t>
            </w:r>
            <w:proofErr w:type="spellEnd"/>
            <w:r>
              <w:rPr>
                <w:rFonts w:ascii="Tahoma" w:hAnsi="Tahoma"/>
                <w:sz w:val="16"/>
                <w:szCs w:val="16"/>
                <w:lang w:val="da-DK"/>
              </w:rPr>
              <w:t>a LED. R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ękojeść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zasilana za pomocą baterii R20 - 2 szt. Średnica rękojeści - 30 mm. Łyżka do laryngoskopu, światłowodowa, wielorazowa, typ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McIntosh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. Rozmiary 2, 3, 4.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Światłow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 xml:space="preserve">d zakryty, zatopiony w całości w metalu, z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kt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rego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wykonana jest łyżka stanowiący jednolitą całość bez wystających element</w:t>
            </w:r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>w światłowodu, wyraźne oznakowanie rozmiaru łyżki oraz nazwy producenta na korpusie łyżki. Całość znajduje się w poręcznej walizce.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1415"/>
        </w:trPr>
        <w:tc>
          <w:tcPr>
            <w:tcW w:w="6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9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 xml:space="preserve">Maski anestetyczne jednorazowego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użytku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z nadmuchiwanym mankietem i zaworem do regulacji. Rozmiary 0, 1, 2, 3, 4, 5, 6. Rozmiary kodowane kolorystycznie. Przezroczysta konstrukcja maski. Maski pozbawione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latexu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i DEHP.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620"/>
        </w:trPr>
        <w:tc>
          <w:tcPr>
            <w:tcW w:w="6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10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Maski anestetyczne wielorazowego użytku, z kołnierzem ukształtowanym anatomicznie, silikonowe.  Rozmiar 3,4,5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60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11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 xml:space="preserve">Rurki ustno-gardłowe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Guedela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>, sterylne, rozmiary kodowane kolorystycznie. Rozmiary 1,2,3,4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3105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lastRenderedPageBreak/>
              <w:t>12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Rurka intubacyjna zbrojona z mankietem niskociśnieniowym w rozmiarach od 3,5 do 9,0 sterylna, wykonana z przezroczystego, nietoksycznego, termoplastycznego PCV, pakowana pojedynczo, znacznik RTG na całej długości rurki, posiadająca znacznik głębokości osadzenia rurki. Zbrojenie - wtopiona spirala ze stali nierdzewnej w ś</w:t>
            </w:r>
            <w:r>
              <w:rPr>
                <w:rFonts w:ascii="Tahoma" w:hAnsi="Tahoma"/>
                <w:sz w:val="16"/>
                <w:szCs w:val="16"/>
                <w:lang w:val="it-IT"/>
              </w:rPr>
              <w:t>cian</w:t>
            </w:r>
            <w:r>
              <w:rPr>
                <w:rFonts w:ascii="Tahoma" w:hAnsi="Tahoma"/>
                <w:sz w:val="16"/>
                <w:szCs w:val="16"/>
              </w:rPr>
              <w:t xml:space="preserve">ę rurki na całej długości, wysokoobjętościowy balonik kontrolny z zaworem zwrotnym wskazujący stan wypełnienia mankietu,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otw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r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Murphiego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, elastyczna, wyprofilowana w kształcie łuku. Atraumatyczne zakończenie krawędzi rurki, otworu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Murphiego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oraz gładkie połączenie mankietu z rurką. Oznaczenie rozmiaru na korpusie rurki, podziałka centymetrowa. Standardowe złącze, w komplecie z prowadnicą, bez lateksu.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1130"/>
        </w:trPr>
        <w:tc>
          <w:tcPr>
            <w:tcW w:w="6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13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 xml:space="preserve">Jednorazowe obwody oddechowe dwururowe rozciągane do respiratora, karbowane -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doroś</w:t>
            </w:r>
            <w:proofErr w:type="spellEnd"/>
            <w:r>
              <w:rPr>
                <w:rFonts w:ascii="Tahoma" w:hAnsi="Tahoma"/>
                <w:sz w:val="16"/>
                <w:szCs w:val="16"/>
                <w:lang w:val="it-IT"/>
              </w:rPr>
              <w:t>li, s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́rednica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22mm.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Długość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80-180cm.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Obw</w:t>
            </w:r>
            <w:proofErr w:type="spellEnd"/>
            <w:r>
              <w:rPr>
                <w:rFonts w:ascii="Tahoma" w:hAnsi="Tahoma"/>
                <w:sz w:val="16"/>
                <w:szCs w:val="16"/>
                <w:lang w:val="es-ES_tradnl"/>
              </w:rPr>
              <w:t>ó</w:t>
            </w:r>
            <w:r>
              <w:rPr>
                <w:rFonts w:ascii="Tahoma" w:hAnsi="Tahoma"/>
                <w:sz w:val="16"/>
                <w:szCs w:val="16"/>
              </w:rPr>
              <w:t xml:space="preserve">d z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łącznikiem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Y,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łącznikiem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kolankowym 90 st. z portem CO2.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890"/>
        </w:trPr>
        <w:tc>
          <w:tcPr>
            <w:tcW w:w="6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14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Resuscytator jednorazowego użytku z workiem 1700ml dla dorosłych z zastawką nadciśnieniową. W zestawie maski nr 4 i 5 oraz rezerwuar tlenu 2.500ml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2037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15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Resuscytator wielorazowego użytku dla dorosłych maska 4 i 5</w:t>
            </w:r>
          </w:p>
          <w:p w:rsidR="00266B66" w:rsidRDefault="00266B66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266B66" w:rsidRDefault="00266B66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266B66" w:rsidRDefault="00266B66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266B66" w:rsidRDefault="00266B66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266B66" w:rsidRDefault="00266B66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266B66" w:rsidRDefault="00266B66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266B66" w:rsidRDefault="00266B66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266B66" w:rsidRDefault="00266B66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266B66" w:rsidRDefault="00266B66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266B66" w:rsidRDefault="00266B66">
            <w:pPr>
              <w:spacing w:after="0" w:line="240" w:lineRule="auto"/>
              <w:rPr>
                <w:rFonts w:ascii="Tahoma" w:eastAsia="Tahoma" w:hAnsi="Tahoma" w:cs="Tahoma"/>
                <w:sz w:val="16"/>
                <w:szCs w:val="16"/>
              </w:rPr>
            </w:pPr>
          </w:p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 xml:space="preserve">                                                          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62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lastRenderedPageBreak/>
              <w:t>16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Rękawice kopolimerowe, sterylne. Pakowane pojedynczo. 100 sztuk w jednym opakowaniu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202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17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Uniwersalny zestaw do podaży leków i płynów oraz żywienia pozajelitowego</w:t>
            </w:r>
          </w:p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 xml:space="preserve"> Komora kroplowa 20 kropel/ml, filtr 15µm. </w:t>
            </w:r>
          </w:p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 xml:space="preserve">Zawór blokujący przepływ po wyjęciu zestawu z pompy. </w:t>
            </w:r>
          </w:p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 xml:space="preserve">Dodatkowy zawór rolkowy. </w:t>
            </w:r>
          </w:p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Długość 285 cm.                                                                                Objętość wypełnienia 22 ml                                                                      okres przydatności 3 lata Materiał PVC                                                                                             Nie zawiera DEHP</w:t>
            </w:r>
            <w:r w:rsidR="00DD377F">
              <w:rPr>
                <w:rFonts w:ascii="Tahoma" w:hAnsi="Tahoma"/>
                <w:sz w:val="16"/>
                <w:szCs w:val="16"/>
              </w:rPr>
              <w:t>,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="00DD377F">
              <w:rPr>
                <w:rFonts w:ascii="Tahoma" w:hAnsi="Tahoma"/>
                <w:sz w:val="16"/>
                <w:szCs w:val="16"/>
              </w:rPr>
              <w:t>n</w:t>
            </w:r>
            <w:r>
              <w:rPr>
                <w:rFonts w:ascii="Tahoma" w:hAnsi="Tahoma"/>
                <w:sz w:val="16"/>
                <w:szCs w:val="16"/>
              </w:rPr>
              <w:t xml:space="preserve">ie zawiera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Latexu</w:t>
            </w:r>
            <w:proofErr w:type="spellEnd"/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2009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FB2031">
            <w:r>
              <w:t>18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4B644E">
            <w:pPr>
              <w:pStyle w:val="Domylne"/>
              <w:suppressAutoHyphens/>
              <w:spacing w:line="100" w:lineRule="atLeast"/>
              <w:rPr>
                <w:rFonts w:ascii="Arial Narrow" w:eastAsia="Arial Narrow" w:hAnsi="Arial Narrow" w:cs="Arial Narrow"/>
                <w:sz w:val="20"/>
                <w:szCs w:val="20"/>
                <w:u w:color="000000"/>
              </w:rPr>
            </w:pPr>
            <w:r>
              <w:rPr>
                <w:rFonts w:ascii="Arial Narrow" w:hAnsi="Arial Narrow"/>
                <w:sz w:val="20"/>
                <w:szCs w:val="20"/>
                <w:u w:color="000000"/>
              </w:rPr>
              <w:t>Maska krtaniowa, wykonana z silikonu (lub medycznego PCV), elementy maski trwale ze sobą połączone bez możliwości rozłączenia, jednorazowego użytku z nadmuchiwanym mankietem. Maski w pełni bezpieczne w środowisku MR (pozbawione wszelkich metalowych elementów.</w:t>
            </w:r>
          </w:p>
          <w:p w:rsidR="00266B66" w:rsidRDefault="004B644E">
            <w:pPr>
              <w:pStyle w:val="Domylne"/>
              <w:suppressAutoHyphens/>
              <w:spacing w:line="100" w:lineRule="atLeast"/>
            </w:pPr>
            <w:r>
              <w:rPr>
                <w:rFonts w:ascii="Arial Narrow" w:hAnsi="Arial Narrow"/>
                <w:sz w:val="20"/>
                <w:szCs w:val="20"/>
                <w:u w:color="000000"/>
              </w:rPr>
              <w:t>Rozmiary 1, 1.5, 2, 2.5, 3, 4, 5. Wymagane oznaczenie kolorystyczne dla rozmiaru: 3-zielony, 4-żółty, 5-różowy. Opak. folia/papier, sterylna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Pr="00F26DB6" w:rsidRDefault="00EC31D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26DB6">
              <w:rPr>
                <w:rFonts w:ascii="Tahoma" w:hAnsi="Tahoma" w:cs="Tahoma"/>
                <w:b/>
                <w:sz w:val="16"/>
                <w:szCs w:val="16"/>
              </w:rPr>
              <w:t>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8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340"/>
        </w:trPr>
        <w:tc>
          <w:tcPr>
            <w:tcW w:w="964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  <w:jc w:val="right"/>
            </w:pPr>
            <w:r>
              <w:rPr>
                <w:rFonts w:ascii="Tahoma" w:hAnsi="Tahoma"/>
                <w:b/>
                <w:bCs/>
                <w:sz w:val="16"/>
                <w:szCs w:val="16"/>
                <w:lang w:val="de-DE"/>
              </w:rPr>
              <w:t>RAZEM: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> </w:t>
            </w:r>
          </w:p>
        </w:tc>
        <w:tc>
          <w:tcPr>
            <w:tcW w:w="180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290"/>
        </w:trPr>
        <w:tc>
          <w:tcPr>
            <w:tcW w:w="65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388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6B66" w:rsidRDefault="00266B66"/>
        </w:tc>
        <w:tc>
          <w:tcPr>
            <w:tcW w:w="60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60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27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992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gridAfter w:val="1"/>
          <w:wAfter w:w="80" w:type="dxa"/>
          <w:trHeight w:val="290"/>
        </w:trPr>
        <w:tc>
          <w:tcPr>
            <w:tcW w:w="83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>
            <w:pPr>
              <w:spacing w:after="0" w:line="240" w:lineRule="auto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29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32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3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 xml:space="preserve"> …………………………………………… 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  <w:tr w:rsidR="00266B66" w:rsidTr="00F26DB6">
        <w:trPr>
          <w:trHeight w:val="26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6B66" w:rsidRDefault="00266B66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  <w:tc>
          <w:tcPr>
            <w:tcW w:w="3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4B644E">
            <w:pPr>
              <w:spacing w:after="0" w:line="240" w:lineRule="auto"/>
            </w:pPr>
            <w:r>
              <w:rPr>
                <w:rFonts w:ascii="Tahoma" w:hAnsi="Tahoma"/>
                <w:sz w:val="16"/>
                <w:szCs w:val="16"/>
              </w:rPr>
              <w:t xml:space="preserve">           (data i podpis wykonawcy) 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266B66" w:rsidRDefault="00266B66"/>
        </w:tc>
      </w:tr>
    </w:tbl>
    <w:p w:rsidR="00266B66" w:rsidRDefault="00266B66">
      <w:pPr>
        <w:pStyle w:val="Tr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ind w:left="1" w:hanging="1"/>
      </w:pPr>
    </w:p>
    <w:sectPr w:rsidR="00266B66" w:rsidSect="00C37C85">
      <w:headerReference w:type="default" r:id="rId6"/>
      <w:footerReference w:type="default" r:id="rId7"/>
      <w:pgSz w:w="16840" w:h="11900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E3C" w:rsidRDefault="00205E3C">
      <w:pPr>
        <w:spacing w:after="0" w:line="240" w:lineRule="auto"/>
      </w:pPr>
      <w:r>
        <w:separator/>
      </w:r>
    </w:p>
  </w:endnote>
  <w:endnote w:type="continuationSeparator" w:id="0">
    <w:p w:rsidR="00205E3C" w:rsidRDefault="00205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B66" w:rsidRDefault="00266B66">
    <w:pPr>
      <w:pStyle w:val="Nagweki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E3C" w:rsidRDefault="00205E3C">
      <w:pPr>
        <w:spacing w:after="0" w:line="240" w:lineRule="auto"/>
      </w:pPr>
      <w:r>
        <w:separator/>
      </w:r>
    </w:p>
  </w:footnote>
  <w:footnote w:type="continuationSeparator" w:id="0">
    <w:p w:rsidR="00205E3C" w:rsidRDefault="00205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B66" w:rsidRDefault="00266B66">
    <w:pPr>
      <w:pStyle w:val="Nagwekistop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66B66"/>
    <w:rsid w:val="00205E3C"/>
    <w:rsid w:val="00266B66"/>
    <w:rsid w:val="002777A6"/>
    <w:rsid w:val="00462EB9"/>
    <w:rsid w:val="004B644E"/>
    <w:rsid w:val="009C5745"/>
    <w:rsid w:val="00A831D2"/>
    <w:rsid w:val="00BF4E84"/>
    <w:rsid w:val="00C37C85"/>
    <w:rsid w:val="00DD377F"/>
    <w:rsid w:val="00DF388F"/>
    <w:rsid w:val="00E353D2"/>
    <w:rsid w:val="00E70FE5"/>
    <w:rsid w:val="00EC31D3"/>
    <w:rsid w:val="00F179C4"/>
    <w:rsid w:val="00F26DB6"/>
    <w:rsid w:val="00FB2031"/>
    <w:rsid w:val="00FE2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C85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37C85"/>
    <w:rPr>
      <w:u w:val="single"/>
    </w:rPr>
  </w:style>
  <w:style w:type="table" w:customStyle="1" w:styleId="TableNormal">
    <w:name w:val="Table Normal"/>
    <w:rsid w:val="00C37C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C37C85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re">
    <w:name w:val="Treść"/>
    <w:rsid w:val="00C37C85"/>
    <w:rPr>
      <w:rFonts w:ascii="Helvetica Neue" w:hAnsi="Helvetica Neue" w:cs="Arial Unicode MS"/>
      <w:color w:val="000000"/>
      <w:sz w:val="22"/>
      <w:szCs w:val="22"/>
    </w:rPr>
  </w:style>
  <w:style w:type="paragraph" w:customStyle="1" w:styleId="Domylne">
    <w:name w:val="Domyślne"/>
    <w:rsid w:val="00C37C85"/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1549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kjar</cp:lastModifiedBy>
  <cp:revision>15</cp:revision>
  <dcterms:created xsi:type="dcterms:W3CDTF">2020-05-11T19:20:00Z</dcterms:created>
  <dcterms:modified xsi:type="dcterms:W3CDTF">2020-05-19T05:34:00Z</dcterms:modified>
</cp:coreProperties>
</file>