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240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exact" w:line="240"/>
        <w:jc w:val="right"/>
        <w:rPr>
          <w:b/>
        </w:rPr>
      </w:pPr>
      <w:r>
        <w:rPr>
          <w:b/>
        </w:rPr>
        <w:t>Załącznik nr 1 do SWZ</w:t>
      </w:r>
    </w:p>
    <w:p>
      <w:pPr>
        <w:pStyle w:val="Normal"/>
        <w:spacing w:lineRule="exact" w:line="240"/>
        <w:jc w:val="right"/>
        <w:rPr/>
      </w:pPr>
      <w:r>
        <w:rPr/>
        <w:t>sygnatura znak sprawy: DKw.2232.0</w:t>
      </w:r>
      <w:r>
        <w:rPr/>
        <w:t>2</w:t>
      </w:r>
      <w:r>
        <w:rPr/>
        <w:t>.202</w:t>
      </w:r>
      <w:r>
        <w:rPr/>
        <w:t>4</w:t>
      </w:r>
    </w:p>
    <w:p>
      <w:pPr>
        <w:pStyle w:val="BodyText"/>
        <w:spacing w:before="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before="51" w:after="0"/>
        <w:ind w:right="12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OPIS</w:t>
      </w:r>
      <w:r>
        <w:rPr>
          <w:b/>
          <w:spacing w:val="-4"/>
          <w:sz w:val="32"/>
          <w:szCs w:val="32"/>
        </w:rPr>
        <w:t xml:space="preserve"> </w:t>
      </w:r>
      <w:r>
        <w:rPr>
          <w:b/>
          <w:sz w:val="32"/>
          <w:szCs w:val="32"/>
        </w:rPr>
        <w:t>PRZEDMIOTU</w:t>
      </w:r>
      <w:r>
        <w:rPr>
          <w:b/>
          <w:spacing w:val="-5"/>
          <w:sz w:val="32"/>
          <w:szCs w:val="32"/>
        </w:rPr>
        <w:t xml:space="preserve"> </w:t>
      </w:r>
      <w:r>
        <w:rPr>
          <w:b/>
          <w:sz w:val="32"/>
          <w:szCs w:val="32"/>
        </w:rPr>
        <w:t>ZAMÓWIENIA</w:t>
      </w:r>
    </w:p>
    <w:p>
      <w:pPr>
        <w:pStyle w:val="BodyText"/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cstheme="minorHAnsi"/>
          <w:i/>
          <w:sz w:val="22"/>
          <w:szCs w:val="22"/>
        </w:rPr>
      </w:r>
    </w:p>
    <w:p>
      <w:pPr>
        <w:pStyle w:val="Normal"/>
        <w:spacing w:before="52" w:after="0"/>
        <w:ind w:left="3411" w:right="3570"/>
        <w:jc w:val="center"/>
        <w:rPr>
          <w:b/>
          <w:sz w:val="28"/>
          <w:szCs w:val="28"/>
          <w:u w:val="single"/>
        </w:rPr>
      </w:pPr>
      <w:bookmarkStart w:id="0" w:name="OLE_LINK1"/>
      <w:bookmarkEnd w:id="0"/>
      <w:r>
        <w:rPr>
          <w:b/>
          <w:sz w:val="28"/>
          <w:szCs w:val="28"/>
          <w:u w:val="single"/>
        </w:rPr>
        <w:t>PIECZYWO</w:t>
      </w:r>
    </w:p>
    <w:p>
      <w:pPr>
        <w:pStyle w:val="Normal"/>
        <w:spacing w:before="52" w:after="0"/>
        <w:ind w:right="126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Dostawa: 6 razy w tygodniu od poniedziałku do soboty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CHLEB MIESZANY PSZENO-ŻYTNI, KROJONY PAKOWANY PO </w:t>
      </w:r>
      <w:r>
        <w:rPr>
          <w:b/>
          <w:sz w:val="24"/>
          <w:szCs w:val="24"/>
        </w:rPr>
        <w:t>350</w:t>
      </w:r>
      <w:r>
        <w:rPr>
          <w:b/>
          <w:sz w:val="24"/>
          <w:szCs w:val="24"/>
        </w:rPr>
        <w:t>G</w:t>
      </w:r>
    </w:p>
    <w:tbl>
      <w:tblPr>
        <w:tblStyle w:val="Tabela-Siatka"/>
        <w:tblW w:w="99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19"/>
        <w:gridCol w:w="6980"/>
      </w:tblGrid>
      <w:tr>
        <w:trPr>
          <w:trHeight w:val="908" w:hRule="atLeast"/>
        </w:trPr>
        <w:tc>
          <w:tcPr>
            <w:tcW w:w="2919" w:type="dxa"/>
            <w:tcBorders/>
          </w:tcPr>
          <w:p>
            <w:pPr>
              <w:pStyle w:val="NormalWeb"/>
              <w:spacing w:before="0" w:after="142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bidi="ar-SA"/>
              </w:rPr>
              <w:t>CHARAKTERYSTYKA</w:t>
            </w:r>
          </w:p>
        </w:tc>
        <w:tc>
          <w:tcPr>
            <w:tcW w:w="6980" w:type="dxa"/>
            <w:tcBorders/>
          </w:tcPr>
          <w:p>
            <w:pPr>
              <w:pStyle w:val="NormalWeb"/>
              <w:spacing w:lineRule="atLeast" w:line="102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2"/>
                <w:szCs w:val="22"/>
                <w:lang w:bidi="ar-SA"/>
              </w:rPr>
              <w:t>Chleb typu baltonowski, krojony maszynowo o gramaturze 350 gram, skład: mąka pszenna, mąka żytnia, drożdże, sól biała, olej jadalny. Data przydatności do spożycia – min. 3 dni.</w:t>
            </w:r>
          </w:p>
        </w:tc>
      </w:tr>
      <w:tr>
        <w:trPr/>
        <w:tc>
          <w:tcPr>
            <w:tcW w:w="2919" w:type="dxa"/>
            <w:tcBorders/>
          </w:tcPr>
          <w:p>
            <w:pPr>
              <w:pStyle w:val="NormalWeb"/>
              <w:spacing w:before="0" w:after="142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bidi="ar-SA"/>
              </w:rPr>
              <w:t xml:space="preserve">OPAKOWANIE </w:t>
            </w:r>
          </w:p>
        </w:tc>
        <w:tc>
          <w:tcPr>
            <w:tcW w:w="6980" w:type="dxa"/>
            <w:tcBorders/>
          </w:tcPr>
          <w:p>
            <w:pPr>
              <w:pStyle w:val="NormalWeb"/>
              <w:spacing w:lineRule="atLeast" w:line="102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2"/>
                <w:szCs w:val="22"/>
                <w:lang w:bidi="ar-SA"/>
              </w:rPr>
              <w:t xml:space="preserve">Opakowany w folię z tworzywa sztucznego lub innych odpowiednich materiałów dopuszczonych do pakowania środków spożywczych, zawierającą trwałe oznakowania umieszczone w widocznym miejscu 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rPr>
          <w:b/>
          <w:sz w:val="24"/>
          <w:szCs w:val="24"/>
        </w:rPr>
      </w:pPr>
      <w:r>
        <w:rPr>
          <w:rFonts w:cs="Calibri" w:cstheme="minorHAnsi"/>
          <w:b/>
        </w:rPr>
        <w:t xml:space="preserve"> </w:t>
      </w:r>
      <w:r>
        <w:rPr>
          <w:b/>
          <w:sz w:val="24"/>
          <w:szCs w:val="24"/>
        </w:rPr>
        <w:t>CHLEB RAZOWY, KROJONY PAKOWANY PO 350G</w:t>
      </w:r>
    </w:p>
    <w:tbl>
      <w:tblPr>
        <w:tblStyle w:val="Tabela-Siatka"/>
        <w:tblW w:w="99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19"/>
        <w:gridCol w:w="6980"/>
      </w:tblGrid>
      <w:tr>
        <w:trPr/>
        <w:tc>
          <w:tcPr>
            <w:tcW w:w="2919" w:type="dxa"/>
            <w:tcBorders/>
          </w:tcPr>
          <w:p>
            <w:pPr>
              <w:pStyle w:val="NormalWeb"/>
              <w:spacing w:before="0" w:after="142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bidi="ar-SA"/>
              </w:rPr>
              <w:t>CHARAKTERYSTYKA</w:t>
            </w:r>
          </w:p>
        </w:tc>
        <w:tc>
          <w:tcPr>
            <w:tcW w:w="6980" w:type="dxa"/>
            <w:tcBorders/>
          </w:tcPr>
          <w:p>
            <w:pPr>
              <w:pStyle w:val="NormalWeb"/>
              <w:spacing w:before="0" w:after="142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2"/>
                <w:szCs w:val="22"/>
                <w:lang w:bidi="ar-SA"/>
              </w:rPr>
              <w:t>Pieczywo razowe: mąka żytnia razowa od 30 – 40 %, woda, zakwas żytni (mąka żytnia, woda) mąka żytnia, mąka pszenna, drożdże, sól. Skórka ściśle połączona z miękiszem, chropowata, błyszcząca, o barwie od brązowej do ciemnobrązowej; typowy dla tego rodzaju chleba, niedopuszczalny smak i zapach świadczący o nieświeżości lub inny obcy. Krojony maszynowo i pakowany o gramaturze 350 gram. Data przydatności do spożycia – min. 3 dni.</w:t>
            </w:r>
          </w:p>
        </w:tc>
      </w:tr>
      <w:tr>
        <w:trPr/>
        <w:tc>
          <w:tcPr>
            <w:tcW w:w="2919" w:type="dxa"/>
            <w:tcBorders/>
          </w:tcPr>
          <w:p>
            <w:pPr>
              <w:pStyle w:val="NormalWeb"/>
              <w:spacing w:before="0" w:after="142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bidi="ar-SA"/>
              </w:rPr>
              <w:t xml:space="preserve">OPAKOWANIE </w:t>
            </w:r>
          </w:p>
        </w:tc>
        <w:tc>
          <w:tcPr>
            <w:tcW w:w="6980" w:type="dxa"/>
            <w:tcBorders/>
          </w:tcPr>
          <w:p>
            <w:pPr>
              <w:pStyle w:val="NormalWeb"/>
              <w:spacing w:lineRule="atLeast" w:line="102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2"/>
                <w:szCs w:val="22"/>
                <w:lang w:bidi="ar-SA"/>
              </w:rPr>
              <w:t>Pakowana w opakowania jednostkowe foliowe lub papierowe o wadze do 10 kg netto, zawierające trwałe oznakowania umieszczone w widocznym miejscu (data przydatności do spożycia – min. 60 dni, skład surowcowy, procentowy udział wartości odżywczych w produkcie, dane identyfikacyjne producenta)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  <w:bookmarkStart w:id="1" w:name="OLE_LINK1"/>
      <w:bookmarkStart w:id="2" w:name="OLE_LINK1"/>
      <w:bookmarkEnd w:id="2"/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BUŁKA TARTA</w:t>
      </w:r>
    </w:p>
    <w:tbl>
      <w:tblPr>
        <w:tblStyle w:val="Tabela-Siatka"/>
        <w:tblW w:w="99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18"/>
        <w:gridCol w:w="6981"/>
      </w:tblGrid>
      <w:tr>
        <w:trPr/>
        <w:tc>
          <w:tcPr>
            <w:tcW w:w="2918" w:type="dxa"/>
            <w:tcBorders/>
          </w:tcPr>
          <w:p>
            <w:pPr>
              <w:pStyle w:val="NormalWeb"/>
              <w:spacing w:before="0" w:after="142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bidi="ar-SA"/>
              </w:rPr>
              <w:t>CHARAKTERYSTYKA</w:t>
            </w:r>
          </w:p>
        </w:tc>
        <w:tc>
          <w:tcPr>
            <w:tcW w:w="6981" w:type="dxa"/>
            <w:tcBorders/>
          </w:tcPr>
          <w:p>
            <w:pPr>
              <w:pStyle w:val="NormalWeb"/>
              <w:spacing w:lineRule="atLeast" w:line="102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2"/>
                <w:szCs w:val="22"/>
                <w:lang w:bidi="ar-SA"/>
              </w:rPr>
              <w:t>Produkt otrzymany przez rozdrobnienie wysuszonego pieczywa. S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bidi="ar-SA"/>
              </w:rPr>
              <w:t>truktura i konsystencja – sypka, bez grudek, barwa naturalna, może być niejednolita, smak i zapach – charakterystyczny dla suszonego pieczywa</w:t>
            </w:r>
          </w:p>
        </w:tc>
      </w:tr>
      <w:tr>
        <w:trPr/>
        <w:tc>
          <w:tcPr>
            <w:tcW w:w="2918" w:type="dxa"/>
            <w:tcBorders/>
          </w:tcPr>
          <w:p>
            <w:pPr>
              <w:pStyle w:val="NormalWeb"/>
              <w:spacing w:before="0" w:after="142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bidi="ar-SA"/>
              </w:rPr>
              <w:t xml:space="preserve">OPAKOWANIE </w:t>
            </w:r>
          </w:p>
        </w:tc>
        <w:tc>
          <w:tcPr>
            <w:tcW w:w="6981" w:type="dxa"/>
            <w:tcBorders/>
          </w:tcPr>
          <w:p>
            <w:pPr>
              <w:pStyle w:val="NormalWeb"/>
              <w:spacing w:lineRule="atLeast" w:line="102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2"/>
                <w:szCs w:val="22"/>
                <w:lang w:bidi="ar-SA"/>
              </w:rPr>
              <w:t xml:space="preserve">Pakowana w opakowania jednostkowe foliowe lub papierowe o wadze do 15 kg netto, zawierające trwałe oznakowania umieszczone w widocznym miejscu 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</w:rPr>
      </w:pPr>
      <w:r>
        <w:rPr>
          <w:rFonts w:cs="Calibri" w:cstheme="minorHAnsi"/>
          <w:b/>
        </w:rPr>
        <w:t xml:space="preserve"> </w:t>
      </w:r>
    </w:p>
    <w:p>
      <w:pPr>
        <w:pStyle w:val="BodyText"/>
        <w:spacing w:lineRule="exact" w:line="2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tabs>
          <w:tab w:val="clear" w:pos="720"/>
          <w:tab w:val="left" w:pos="1418" w:leader="none"/>
          <w:tab w:val="center" w:pos="4536" w:leader="none"/>
          <w:tab w:val="left" w:pos="4678" w:leader="none"/>
        </w:tabs>
        <w:jc w:val="both"/>
        <w:rPr>
          <w:b/>
          <w:bCs/>
        </w:rPr>
      </w:pPr>
      <w:r>
        <w:rPr>
          <w:b/>
          <w:bCs/>
        </w:rPr>
        <w:t>Warunki realizacji zamówienia</w:t>
      </w:r>
    </w:p>
    <w:p>
      <w:pPr>
        <w:pStyle w:val="Normal"/>
        <w:tabs>
          <w:tab w:val="clear" w:pos="720"/>
          <w:tab w:val="left" w:pos="1418" w:leader="none"/>
          <w:tab w:val="center" w:pos="4536" w:leader="none"/>
          <w:tab w:val="left" w:pos="4678" w:leader="none"/>
        </w:tabs>
        <w:jc w:val="both"/>
        <w:rPr>
          <w:rFonts w:ascii="Times" w:hAnsi="Times" w:cs="Times"/>
          <w:i/>
          <w:i/>
          <w:sz w:val="20"/>
        </w:rPr>
      </w:pPr>
      <w:r>
        <w:rPr>
          <w:rFonts w:cs="Times" w:ascii="Times" w:hAnsi="Times"/>
          <w:i/>
          <w:sz w:val="20"/>
        </w:rPr>
      </w:r>
    </w:p>
    <w:p>
      <w:pPr>
        <w:pStyle w:val="Normal"/>
        <w:widowControl/>
        <w:numPr>
          <w:ilvl w:val="0"/>
          <w:numId w:val="4"/>
        </w:numPr>
        <w:tabs>
          <w:tab w:val="clear" w:pos="720"/>
          <w:tab w:val="left" w:pos="1418" w:leader="none"/>
          <w:tab w:val="center" w:pos="4536" w:leader="none"/>
          <w:tab w:val="left" w:pos="4678" w:leader="none"/>
        </w:tabs>
        <w:suppressAutoHyphens w:val="true"/>
        <w:jc w:val="both"/>
        <w:rPr/>
      </w:pPr>
      <w:r>
        <w:rPr/>
        <w:t xml:space="preserve">podane ilości są ilościami szacunkowymi 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1418" w:leader="none"/>
          <w:tab w:val="center" w:pos="4536" w:leader="none"/>
          <w:tab w:val="left" w:pos="4678" w:leader="none"/>
        </w:tabs>
        <w:suppressAutoHyphens w:val="true"/>
        <w:jc w:val="both"/>
        <w:rPr/>
      </w:pPr>
      <w:r>
        <w:rPr/>
        <w:t>zamawiający gwarantuje złożenie zamówień na dostawę przedmiotu zamówienia na poziomie nie mniejszym niż 70% wartości brutto umowy (realizacja umowy w pozostałym zakresie uzależniona będzie od faktycznych potrzeb zamawiającego wynikających ze zmiennej liczby stanu żywionych )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1418" w:leader="none"/>
          <w:tab w:val="center" w:pos="4536" w:leader="none"/>
          <w:tab w:val="left" w:pos="4678" w:leader="none"/>
        </w:tabs>
        <w:suppressAutoHyphens w:val="true"/>
        <w:jc w:val="both"/>
        <w:rPr/>
      </w:pPr>
      <w:r>
        <w:rPr/>
        <w:t>towar musi odpowiadać warunkom jakościowym zgodnym z obowiązującym prawem żywnościowym, zasadami GMP/GHP oraz systemem HACCP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1418" w:leader="none"/>
          <w:tab w:val="center" w:pos="4536" w:leader="none"/>
          <w:tab w:val="left" w:pos="4678" w:leader="none"/>
        </w:tabs>
        <w:suppressAutoHyphens w:val="true"/>
        <w:jc w:val="both"/>
        <w:rPr/>
      </w:pPr>
      <w:r>
        <w:rPr/>
        <w:t xml:space="preserve">waga produktu netto ma odpowiadać faktycznie zamówionej i zafakturowanej (bez opakowań typu: skrzynki.) ilości towaru 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1418" w:leader="none"/>
          <w:tab w:val="center" w:pos="4536" w:leader="none"/>
          <w:tab w:val="left" w:pos="4678" w:leader="none"/>
        </w:tabs>
        <w:suppressAutoHyphens w:val="true"/>
        <w:jc w:val="both"/>
        <w:rPr/>
      </w:pPr>
      <w:r>
        <w:rPr/>
        <w:t xml:space="preserve">wykonawca dostarczy towar spełniający wymogi określone w SWZ i wytworzony zgodnie z obowiązującymi przepisami prawa tj.: </w:t>
      </w:r>
      <w:bookmarkStart w:id="3" w:name="OLE_LINK5"/>
      <w:r>
        <w:rPr/>
        <w:t xml:space="preserve">ustawa z dnia 25 sierpnia 2006r. o bezpieczeństwie żywności i żywienia </w:t>
      </w:r>
      <w:bookmarkEnd w:id="3"/>
      <w:r>
        <w:rPr/>
        <w:t xml:space="preserve">(Dz. U. z 2022r. poz. 24 z późn. zm.)  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1418" w:leader="none"/>
          <w:tab w:val="center" w:pos="4536" w:leader="none"/>
          <w:tab w:val="left" w:pos="4678" w:leader="none"/>
        </w:tabs>
        <w:suppressAutoHyphens w:val="true"/>
        <w:jc w:val="both"/>
        <w:rPr/>
      </w:pPr>
      <w:r>
        <w:rPr/>
        <w:t xml:space="preserve">dostawa towaru do </w:t>
      </w:r>
      <w:r>
        <w:rPr>
          <w:b/>
        </w:rPr>
        <w:t>Zakładu Karnego w Płocku ul. Sienkiewicza 22 oraz Oddziału Zewnętrznego w Płońsku  6 razy w tygodniu od poniedziałku do soboty</w:t>
      </w:r>
      <w:bookmarkStart w:id="4" w:name="_GoBack"/>
      <w:bookmarkEnd w:id="4"/>
      <w:r>
        <w:rPr>
          <w:b/>
        </w:rPr>
        <w:t xml:space="preserve"> w godz. 8:00 – 11:00</w:t>
      </w:r>
      <w:r>
        <w:rPr/>
        <w:t>, transportem i na koszt wykonawcy, w ilościach podanych telefonicznie lub mailem na 1 dzień przed planowaną dostawą (zamawiający dopuszcza, po uprzednim uzgodnieniu, możliwość zmiany dnia i godziny dostawy)</w:t>
      </w:r>
    </w:p>
    <w:p>
      <w:pPr>
        <w:pStyle w:val="ListParagraph"/>
        <w:widowControl/>
        <w:numPr>
          <w:ilvl w:val="0"/>
          <w:numId w:val="1"/>
        </w:numPr>
        <w:suppressAutoHyphens w:val="true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przypadku stwierdzenia niezgodności dostawy z zamówieniem (ilość; jakość produktu)  w czasie rozładunku, kontrahent zobowiązany jest dostarczyć brakującą lub niepełnowartościową część zamówienia w okresie do 24 godzin od dnia dostawy.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1418" w:leader="none"/>
          <w:tab w:val="center" w:pos="4536" w:leader="none"/>
          <w:tab w:val="left" w:pos="4678" w:leader="none"/>
        </w:tabs>
        <w:suppressAutoHyphens w:val="true"/>
        <w:jc w:val="both"/>
        <w:rPr/>
      </w:pPr>
      <w:r>
        <w:rPr/>
        <w:t xml:space="preserve">Warunki płatności – </w:t>
      </w:r>
      <w:r>
        <w:rPr>
          <w:b/>
          <w:bCs/>
        </w:rPr>
        <w:t>faktura VAT z odroczonym 30 dni terminem płatności</w:t>
      </w:r>
    </w:p>
    <w:p>
      <w:pPr>
        <w:pStyle w:val="Standard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cs="Calibri" w:ascii="Calibri" w:hAnsi="Calibri"/>
          <w:b/>
          <w:sz w:val="22"/>
          <w:szCs w:val="22"/>
          <w:lang w:val="pl-PL"/>
        </w:rPr>
      </w:r>
    </w:p>
    <w:p>
      <w:pPr>
        <w:pStyle w:val="Standard"/>
        <w:rPr>
          <w:rFonts w:ascii="Calibri" w:hAnsi="Calibri" w:cs="Calibri"/>
          <w:sz w:val="22"/>
          <w:szCs w:val="22"/>
          <w:lang w:val="pl-PL"/>
        </w:rPr>
      </w:pPr>
      <w:r>
        <w:rPr>
          <w:rFonts w:cs="Calibri" w:ascii="Calibri" w:hAnsi="Calibri"/>
          <w:b/>
          <w:sz w:val="22"/>
          <w:szCs w:val="22"/>
          <w:lang w:val="pl-PL"/>
        </w:rPr>
        <w:t>Zasady reklamacji towaru</w:t>
      </w:r>
      <w:r>
        <w:rPr>
          <w:rFonts w:cs="Calibri" w:ascii="Calibri" w:hAnsi="Calibri"/>
          <w:sz w:val="22"/>
          <w:szCs w:val="22"/>
          <w:lang w:val="pl-PL"/>
        </w:rPr>
        <w:t>:</w:t>
      </w:r>
    </w:p>
    <w:p>
      <w:pPr>
        <w:pStyle w:val="Standard"/>
        <w:ind w:left="720"/>
        <w:rPr>
          <w:rFonts w:ascii="Calibri" w:hAnsi="Calibri" w:cs="Calibri"/>
          <w:sz w:val="22"/>
          <w:szCs w:val="22"/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</w:r>
    </w:p>
    <w:p>
      <w:pPr>
        <w:pStyle w:val="Standard"/>
        <w:numPr>
          <w:ilvl w:val="0"/>
          <w:numId w:val="2"/>
        </w:numPr>
        <w:tabs>
          <w:tab w:val="clear" w:pos="720"/>
          <w:tab w:val="left" w:pos="-436" w:leader="none"/>
          <w:tab w:val="left" w:pos="66" w:leader="none"/>
        </w:tabs>
        <w:suppressAutoHyphens w:val="false"/>
        <w:jc w:val="both"/>
        <w:rPr>
          <w:rFonts w:ascii="Calibri" w:hAnsi="Calibri" w:cs="Calibri"/>
          <w:sz w:val="22"/>
          <w:szCs w:val="22"/>
          <w:lang w:val="pl-PL" w:eastAsia="ar-SA"/>
        </w:rPr>
      </w:pPr>
      <w:r>
        <w:rPr>
          <w:rFonts w:cs="Calibri" w:ascii="Calibri" w:hAnsi="Calibri"/>
          <w:sz w:val="22"/>
          <w:szCs w:val="22"/>
          <w:lang w:val="pl-PL" w:eastAsia="ar-SA"/>
        </w:rPr>
        <w:t>każdorazowy odbiór dostawy będzie poprzedzony kontrolą, co do ilości i jakości dostarczanego towaru przez przedstawiciela zamawiającego (w obecności kierowcy) z chwilą dostarczenia towaru. Zamawiający jest zobowiązany przy odbiorze towaru sprawdzić jego ilość, jakość i stan opakowań oraz zbadać jakość towaru organoleptycznie</w:t>
      </w:r>
    </w:p>
    <w:p>
      <w:pPr>
        <w:pStyle w:val="Normal"/>
        <w:rPr/>
      </w:pPr>
      <w:r>
        <w:rPr/>
      </w:r>
    </w:p>
    <w:p>
      <w:pPr>
        <w:pStyle w:val="Standard"/>
        <w:numPr>
          <w:ilvl w:val="0"/>
          <w:numId w:val="2"/>
        </w:numPr>
        <w:tabs>
          <w:tab w:val="clear" w:pos="720"/>
          <w:tab w:val="left" w:pos="-436" w:leader="none"/>
          <w:tab w:val="left" w:pos="66" w:leader="none"/>
        </w:tabs>
        <w:suppressAutoHyphens w:val="false"/>
        <w:jc w:val="both"/>
        <w:rPr>
          <w:rFonts w:ascii="Calibri" w:hAnsi="Calibri" w:cs="Calibri"/>
          <w:sz w:val="22"/>
          <w:szCs w:val="22"/>
          <w:lang w:val="pl-PL" w:eastAsia="ar-SA"/>
        </w:rPr>
      </w:pPr>
      <w:r>
        <w:rPr>
          <w:rFonts w:cs="Calibri" w:ascii="Calibri" w:hAnsi="Calibri"/>
          <w:sz w:val="22"/>
          <w:szCs w:val="22"/>
          <w:lang w:val="pl-PL" w:eastAsia="ar-SA"/>
        </w:rPr>
        <w:t>zamawiający ma prawo odmowy przyjęcia całej partii towaru lub jej części w przypadku, gdy w trakcie oceny wizualnej i organoleptycznej zostanie stwierdzona zła jakość produktów, widoczne uszkodzenia spowodowane niewłaściwym zabezpieczeniem produktów, złymi warunkami transportowymi lub niewłaściwym stanem higienicznym środków transportu przewożących przedmiot umowy</w:t>
      </w:r>
    </w:p>
    <w:p>
      <w:pPr>
        <w:pStyle w:val="ListParagraph"/>
        <w:rPr>
          <w:lang w:eastAsia="ar-SA"/>
        </w:rPr>
      </w:pPr>
      <w:r>
        <w:rPr>
          <w:lang w:eastAsia="ar-SA"/>
        </w:rPr>
      </w:r>
    </w:p>
    <w:p>
      <w:pPr>
        <w:pStyle w:val="Standard"/>
        <w:numPr>
          <w:ilvl w:val="0"/>
          <w:numId w:val="2"/>
        </w:numPr>
        <w:tabs>
          <w:tab w:val="clear" w:pos="720"/>
          <w:tab w:val="left" w:pos="-436" w:leader="none"/>
          <w:tab w:val="left" w:pos="66" w:leader="none"/>
        </w:tabs>
        <w:suppressAutoHyphens w:val="false"/>
        <w:jc w:val="both"/>
        <w:rPr>
          <w:rFonts w:ascii="Calibri" w:hAnsi="Calibri" w:cs="Calibri"/>
          <w:sz w:val="22"/>
          <w:szCs w:val="22"/>
          <w:lang w:val="pl-PL" w:eastAsia="ar-SA"/>
        </w:rPr>
      </w:pPr>
      <w:r>
        <w:rPr>
          <w:rFonts w:cs="Calibri" w:ascii="Calibri" w:hAnsi="Calibri"/>
          <w:sz w:val="22"/>
          <w:szCs w:val="22"/>
          <w:lang w:val="pl-PL" w:eastAsia="ar-SA"/>
        </w:rPr>
        <w:t>w przypadku stwierdzenia wad jakościowych dostarczanego towaru, negatywnej oceny organoleptycznej (np.: pleśń, obcy zapach, niewłaściwy wygląd lub uszkodzone opakowanie), wykonawca zobowiązuje się do wymiany zakwestionowanej partii towaru w ciągu 24 godzin (dopuszcza się możliwość wydłużenia terminu za obopólną zgoda stron). Wykonawcy nie przysługują z tego tytułu żadne roszczenia wobec zamawiającego</w:t>
      </w:r>
    </w:p>
    <w:p>
      <w:pPr>
        <w:pStyle w:val="ListParagraph"/>
        <w:rPr>
          <w:lang w:eastAsia="ar-SA"/>
        </w:rPr>
      </w:pPr>
      <w:r>
        <w:rPr>
          <w:lang w:eastAsia="ar-SA"/>
        </w:rPr>
      </w:r>
    </w:p>
    <w:p>
      <w:pPr>
        <w:pStyle w:val="Standard"/>
        <w:numPr>
          <w:ilvl w:val="0"/>
          <w:numId w:val="2"/>
        </w:numPr>
        <w:tabs>
          <w:tab w:val="clear" w:pos="720"/>
          <w:tab w:val="left" w:pos="-436" w:leader="none"/>
          <w:tab w:val="left" w:pos="66" w:leader="none"/>
        </w:tabs>
        <w:suppressAutoHyphens w:val="false"/>
        <w:jc w:val="both"/>
        <w:rPr/>
      </w:pPr>
      <w:r>
        <w:rPr>
          <w:rFonts w:cs="Calibri" w:ascii="Calibri" w:hAnsi="Calibri"/>
          <w:sz w:val="22"/>
          <w:szCs w:val="22"/>
          <w:lang w:val="pl-PL" w:eastAsia="ar-SA"/>
        </w:rPr>
        <w:t>wykonawca zobowiązany jest do odebrania od zamawiającego wadliwego przedmiotu zamówienia na swój koszt, w terminie wyznaczonym przez zamawiającego. Wykonawcy nie przysługują z tego tytułu żadne roszczenia wobec zamawiającego.</w:t>
      </w:r>
    </w:p>
    <w:p>
      <w:pPr>
        <w:pStyle w:val="BodyText"/>
        <w:spacing w:lineRule="exact" w:line="2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sectPr>
      <w:headerReference w:type="default" r:id="rId2"/>
      <w:type w:val="nextPage"/>
      <w:pgSz w:w="11906" w:h="16838"/>
      <w:pgMar w:left="1080" w:right="920" w:gutter="0" w:header="0" w:top="851" w:footer="0" w:bottom="12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15"/>
        <w:i w:val="false"/>
        <w:b w:val="false"/>
        <w:szCs w:val="15"/>
      </w:rPr>
    </w:lvl>
    <w:lvl w:ilvl="1">
      <w:start w:val="5"/>
      <w:numFmt w:val="decimal"/>
      <w:lvlText w:val="%2."/>
      <w:lvlJc w:val="left"/>
      <w:pPr>
        <w:tabs>
          <w:tab w:val="num" w:pos="357"/>
        </w:tabs>
        <w:ind w:left="357" w:hanging="357"/>
      </w:pPr>
      <w:rPr>
        <w:i w:val="false"/>
        <w:b w:val="false"/>
      </w:r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i w:val="false"/>
        <w:b w:val="false"/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357" w:hanging="357"/>
      </w:pPr>
      <w:rPr>
        <w:sz w:val="15"/>
        <w:szCs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Letter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lowerLetter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lowerLetter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lowerLetter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lowerLetter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4c6d84"/>
    <w:rPr>
      <w:rFonts w:ascii="Calibri" w:hAnsi="Calibri" w:eastAsia="Calibri" w:cs="Calibri"/>
      <w:lang w:val="pl-PL"/>
    </w:rPr>
  </w:style>
  <w:style w:type="character" w:styleId="StopkaZnak" w:customStyle="1">
    <w:name w:val="Stopka Znak"/>
    <w:basedOn w:val="DefaultParagraphFont"/>
    <w:uiPriority w:val="99"/>
    <w:qFormat/>
    <w:rsid w:val="004c6d84"/>
    <w:rPr>
      <w:rFonts w:ascii="Calibri" w:hAnsi="Calibri" w:eastAsia="Calibri" w:cs="Calibri"/>
      <w:lang w:val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003bef"/>
    <w:rPr>
      <w:rFonts w:ascii="Segoe UI" w:hAnsi="Segoe UI" w:eastAsia="Calibri" w:cs="Segoe UI"/>
      <w:sz w:val="18"/>
      <w:szCs w:val="18"/>
      <w:lang w:val="pl-P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uiPriority w:val="1"/>
    <w:qFormat/>
    <w:pPr/>
    <w:rPr>
      <w:sz w:val="24"/>
      <w:szCs w:val="24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ind w:hanging="349" w:left="1044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NormalWeb">
    <w:name w:val="Normal (Web)"/>
    <w:basedOn w:val="Normal"/>
    <w:uiPriority w:val="99"/>
    <w:unhideWhenUsed/>
    <w:qFormat/>
    <w:rsid w:val="00cf3bac"/>
    <w:pPr>
      <w:widowControl/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4c6d8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StopkaZnak"/>
    <w:uiPriority w:val="99"/>
    <w:unhideWhenUsed/>
    <w:rsid w:val="004c6d8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03bef"/>
    <w:pPr/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2f39c0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cf3ba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61CBF-4C03-4F60-8C71-D86FDA88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LibreOffice/7.6.2.1$Windows_X86_64 LibreOffice_project/56f7684011345957bbf33a7ee678afaf4d2ba333</Application>
  <AppVersion>15.0000</AppVersion>
  <Pages>2</Pages>
  <Words>618</Words>
  <Characters>4024</Characters>
  <CharactersWithSpaces>4629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2023-03-28T13:38:00Z</dcterms:created>
  <dc:creator>ZK</dc:creator>
  <dc:description/>
  <dc:language>pl-PL</dc:language>
  <cp:lastModifiedBy/>
  <cp:lastPrinted>2021-10-22T09:08:00Z</cp:lastPrinted>
  <dcterms:modified xsi:type="dcterms:W3CDTF">2024-05-08T12:00:48Z</dcterms:modified>
  <cp:revision>3</cp:revision>
  <dc:subject/>
  <dc:title>Nr spr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2021-10-15T00:00:00Z</vt:filetime>
  </property>
</Properties>
</file>