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2266B" w14:textId="5FAF7EDC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4F766B">
        <w:rPr>
          <w:rFonts w:ascii="Verdana" w:hAnsi="Verdana"/>
          <w:b/>
          <w:sz w:val="28"/>
          <w:szCs w:val="28"/>
        </w:rPr>
        <w:t>0.0</w:t>
      </w:r>
      <w:r w:rsidR="003F2D99">
        <w:rPr>
          <w:rFonts w:ascii="Verdana" w:hAnsi="Verdana"/>
          <w:b/>
          <w:sz w:val="28"/>
          <w:szCs w:val="28"/>
        </w:rPr>
        <w:t>9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7A6A370B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4F766B">
        <w:rPr>
          <w:rFonts w:ascii="Calibri" w:eastAsia="Calibri" w:hAnsi="Calibri" w:cs="Calibri"/>
          <w:color w:val="auto"/>
          <w:sz w:val="24"/>
          <w:szCs w:val="24"/>
        </w:rPr>
        <w:t xml:space="preserve">Sauna </w:t>
      </w:r>
      <w:r w:rsidR="003F2D99">
        <w:rPr>
          <w:rFonts w:ascii="Calibri" w:eastAsia="Calibri" w:hAnsi="Calibri" w:cs="Calibri"/>
          <w:color w:val="auto"/>
          <w:sz w:val="24"/>
          <w:szCs w:val="24"/>
        </w:rPr>
        <w:t>fińska</w:t>
      </w:r>
    </w:p>
    <w:p w14:paraId="49D2F32B" w14:textId="12C8D982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4F766B">
        <w:rPr>
          <w:rFonts w:asciiTheme="minorHAnsi" w:hAnsiTheme="minorHAnsi" w:cstheme="minorHAnsi"/>
          <w:lang w:eastAsia="pl-PL" w:bidi="ar-SA"/>
        </w:rPr>
        <w:t xml:space="preserve"> </w:t>
      </w:r>
      <w:r w:rsidR="003F2D99">
        <w:rPr>
          <w:rFonts w:asciiTheme="minorHAnsi" w:hAnsiTheme="minorHAnsi" w:cstheme="minorHAnsi"/>
          <w:lang w:eastAsia="pl-PL" w:bidi="ar-SA"/>
        </w:rPr>
        <w:t>10,30</w:t>
      </w:r>
    </w:p>
    <w:p w14:paraId="3CC7A545" w14:textId="2976C7C8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</w:t>
      </w:r>
      <w:r w:rsidR="00186F0E">
        <w:rPr>
          <w:rFonts w:asciiTheme="minorHAnsi" w:hAnsiTheme="minorHAnsi" w:cstheme="minorHAnsi"/>
          <w:lang w:eastAsia="pl-PL" w:bidi="ar-SA"/>
        </w:rPr>
        <w:t>Pomieszczenia 3,</w:t>
      </w:r>
      <w:r w:rsidR="00186F0E" w:rsidRPr="00186F0E">
        <w:rPr>
          <w:rFonts w:asciiTheme="minorHAnsi" w:hAnsiTheme="minorHAnsi" w:cstheme="minorHAnsi"/>
          <w:lang w:eastAsia="pl-PL" w:bidi="ar-SA"/>
        </w:rPr>
        <w:t xml:space="preserve"> sauna w świetle w środku: wg wskaza</w:t>
      </w:r>
      <w:r w:rsidR="00186F0E" w:rsidRPr="00186F0E">
        <w:rPr>
          <w:rFonts w:asciiTheme="minorHAnsi" w:hAnsiTheme="minorHAnsi" w:cstheme="minorHAnsi" w:hint="eastAsia"/>
          <w:lang w:eastAsia="pl-PL" w:bidi="ar-SA"/>
        </w:rPr>
        <w:t>ń</w:t>
      </w:r>
      <w:r w:rsidR="00186F0E" w:rsidRPr="00186F0E">
        <w:rPr>
          <w:rFonts w:asciiTheme="minorHAnsi" w:hAnsiTheme="minorHAnsi" w:cstheme="minorHAnsi"/>
          <w:lang w:eastAsia="pl-PL" w:bidi="ar-SA"/>
        </w:rPr>
        <w:t xml:space="preserve"> technologicznych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499158EC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186F0E">
              <w:rPr>
                <w:rFonts w:ascii="Verdana" w:hAnsi="Verdana"/>
                <w:b/>
                <w:bCs/>
                <w:sz w:val="18"/>
                <w:szCs w:val="18"/>
              </w:rPr>
              <w:t>Przeprowadzenie zabiegów detoksykacyjnych, pobudzających krążenie, relaksacyjnych w tym aromaterapii.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6E535E03" w:rsidR="00487851" w:rsidRPr="003F2D99" w:rsidRDefault="00503DD7" w:rsidP="003F2D99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3F2D99" w:rsidRPr="003F2D99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Płytki </w:t>
            </w:r>
            <w:proofErr w:type="spellStart"/>
            <w:r w:rsidR="003F2D99" w:rsidRPr="003F2D99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gresowe</w:t>
            </w:r>
            <w:proofErr w:type="spellEnd"/>
            <w:r w:rsidR="003F2D99" w:rsidRPr="003F2D99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 antypoślizgowe w klasie minimum R11 (B); nienasiąkliwe; przed ułożeniem posadzki wykonać hydroizolację (folia w płynie lub szlam uszczelniający); posadzka obniżona o 1 cm wzgl. Komunikacji; posadzka ze spadkiem w stronę </w:t>
            </w:r>
            <w:r w:rsidR="00186F0E" w:rsidRPr="003F2D99">
              <w:rPr>
                <w:rFonts w:asciiTheme="minorHAnsi" w:hAnsiTheme="minorHAnsi" w:cstheme="minorHAnsi"/>
                <w:sz w:val="20"/>
                <w:szCs w:val="20"/>
              </w:rPr>
              <w:t>wpustu.</w:t>
            </w:r>
          </w:p>
          <w:p w14:paraId="5581420C" w14:textId="17F0F3F0" w:rsidR="007806EE" w:rsidRPr="00235221" w:rsidRDefault="00E23A79" w:rsidP="007806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7806EE" w:rsidRPr="00235221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Ściany wykończyć zgodnie z zaleceniami dostawcy kabiny; zamontować ściany systemowe</w:t>
            </w:r>
          </w:p>
          <w:p w14:paraId="3D2D241D" w14:textId="77777777" w:rsidR="007806EE" w:rsidRPr="00235221" w:rsidRDefault="007806EE" w:rsidP="007806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235221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 xml:space="preserve">sauny fińskiej z termoizolacją i wykończeniem drewnianym </w:t>
            </w:r>
          </w:p>
          <w:p w14:paraId="3339B244" w14:textId="0E377A82" w:rsidR="007806EE" w:rsidRPr="00235221" w:rsidRDefault="00E23A79" w:rsidP="007806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</w:pPr>
            <w:r w:rsidRPr="002352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  <w:r w:rsidR="00503DD7" w:rsidRPr="0023522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ufit:</w:t>
            </w:r>
            <w:r w:rsidR="00743F4B" w:rsidRPr="0023522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806EE" w:rsidRPr="00235221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Sufit istniejący przygotować zgodnie z zaleceniami dostawcy kabiny; Sufit do sauny suchej</w:t>
            </w:r>
          </w:p>
          <w:p w14:paraId="104EB31F" w14:textId="2281C304" w:rsidR="008116BA" w:rsidRPr="00235221" w:rsidRDefault="007806EE" w:rsidP="007806E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235221">
              <w:rPr>
                <w:rFonts w:asciiTheme="minorHAnsi" w:eastAsia="CIDFont+F1" w:hAnsiTheme="minorHAnsi" w:cstheme="minorHAnsi"/>
                <w:kern w:val="0"/>
                <w:sz w:val="20"/>
                <w:szCs w:val="20"/>
                <w:lang w:eastAsia="en-US" w:bidi="ar-SA"/>
              </w:rPr>
              <w:t>systemowy, z termoizolacją i wykończeniem drewnianym</w:t>
            </w:r>
          </w:p>
          <w:p w14:paraId="28D07B6B" w14:textId="3A45E219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255FBE16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C65F59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3CDA01D3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Specjalistyczne dedykowane pomieszczeniom sauny.</w:t>
            </w:r>
          </w:p>
          <w:p w14:paraId="0FB9D365" w14:textId="6ADF457F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Specjalistyczne dedykowane pomieszczeniom sauny.</w:t>
            </w:r>
          </w:p>
          <w:p w14:paraId="38F1C985" w14:textId="49F8B737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="Verdana" w:hAnsi="Verdana" w:cs="Tahoma"/>
                <w:sz w:val="18"/>
                <w:szCs w:val="18"/>
              </w:rPr>
              <w:t>N</w:t>
            </w:r>
            <w:r w:rsidR="00C31468">
              <w:rPr>
                <w:rFonts w:ascii="Verdana" w:hAnsi="Verdana" w:cs="Tahoma"/>
                <w:sz w:val="18"/>
                <w:szCs w:val="18"/>
              </w:rPr>
              <w:t>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9860235" w14:textId="77777777" w:rsidR="009E2652" w:rsidRDefault="00034F5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Specjalistyczna dedykowana pomieszczeniom sauny.</w:t>
            </w:r>
          </w:p>
          <w:p w14:paraId="76884933" w14:textId="65893B02" w:rsidR="006426FF" w:rsidRPr="009E2652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Specjalistyczna dedykowana pomieszczeniom sauny.</w:t>
            </w:r>
          </w:p>
          <w:p w14:paraId="656D22D6" w14:textId="340B4193" w:rsidR="006426FF" w:rsidRPr="00912B11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wpust.</w:t>
            </w:r>
          </w:p>
          <w:p w14:paraId="30174935" w14:textId="56AAA3C1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 w:hint="eastAsia"/>
                <w:sz w:val="20"/>
                <w:szCs w:val="20"/>
              </w:rPr>
              <w:t>Specjalistyczna dedykowana</w:t>
            </w:r>
            <w:r w:rsidR="009E2652" w:rsidRPr="009E2652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pomieszczeniom sauny.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77467A8B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bCs/>
                <w:sz w:val="20"/>
                <w:szCs w:val="20"/>
              </w:rPr>
              <w:t>Awaryjny przycisk bezpieczeństwa w saunie.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0E1A9C12" w:rsidR="00DA26C3" w:rsidRPr="00176ADC" w:rsidRDefault="00B63996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Ławki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F6F4DC" w14:textId="2E89BA75" w:rsidR="00DA26C3" w:rsidRPr="00A30678" w:rsidRDefault="00B6399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63996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175DE286" w:rsidR="00DA26C3" w:rsidRPr="001F57D6" w:rsidRDefault="00936B59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Oparcia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058EC10" w14:textId="178661B2" w:rsidR="00DA26C3" w:rsidRPr="00A30678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55F3890B" w:rsidR="00DA26C3" w:rsidRDefault="00C65F59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  <w:r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  <w:t>Sauna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9CC684E" w14:textId="7ADD3E03" w:rsidR="00DA26C3" w:rsidRDefault="00C65F59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  <w:r w:rsidRPr="00C65F59"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9"/>
                    <w:gridCol w:w="3787"/>
                    <w:gridCol w:w="1217"/>
                    <w:gridCol w:w="2975"/>
                  </w:tblGrid>
                  <w:tr w:rsidR="00DA26C3" w:rsidRPr="00A30678" w14:paraId="2E3432C3" w14:textId="77777777" w:rsidTr="006426FF">
                    <w:trPr>
                      <w:trHeight w:val="559"/>
                    </w:trPr>
                    <w:tc>
                      <w:tcPr>
                        <w:tcW w:w="569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C65F59">
                    <w:trPr>
                      <w:trHeight w:val="448"/>
                    </w:trPr>
                    <w:tc>
                      <w:tcPr>
                        <w:tcW w:w="569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013369" w14:textId="5F1ACF1D" w:rsidR="00DA26C3" w:rsidRPr="00A30678" w:rsidRDefault="002102CD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Balia do schładzania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01E36AE" w14:textId="22887E07" w:rsidR="00DA26C3" w:rsidRPr="00A30678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C65F59">
                    <w:trPr>
                      <w:trHeight w:val="398"/>
                    </w:trPr>
                    <w:tc>
                      <w:tcPr>
                        <w:tcW w:w="569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DA55E3" w14:textId="32D228CC" w:rsidR="00DA26C3" w:rsidRDefault="002102CD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Wiadro do schładzania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A1DCF69" w14:textId="4373F96B" w:rsidR="00DA26C3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2102CD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6426FF">
                    <w:trPr>
                      <w:trHeight w:val="282"/>
                    </w:trPr>
                    <w:tc>
                      <w:tcPr>
                        <w:tcW w:w="569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2AB1299B" w14:textId="4045190D" w:rsidR="00DA26C3" w:rsidRPr="00A30678" w:rsidRDefault="002102CD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Chochelka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6995D94D" w14:textId="1D4C72A2" w:rsidR="00DA26C3" w:rsidRPr="00A30678" w:rsidRDefault="00C65F59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C65F59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B63996">
                    <w:trPr>
                      <w:trHeight w:val="384"/>
                    </w:trPr>
                    <w:tc>
                      <w:tcPr>
                        <w:tcW w:w="569" w:type="dxa"/>
                      </w:tcPr>
                      <w:p w14:paraId="3961A32B" w14:textId="77777777" w:rsidR="00DA26C3" w:rsidRPr="00A30678" w:rsidRDefault="00DA26C3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71BD74E5" w14:textId="3B0862F2" w:rsidR="00DA26C3" w:rsidRPr="00A30678" w:rsidRDefault="006426F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C3A71F3" w14:textId="5DB56AF3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42B9A762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13D76F24" w14:textId="209A1BC6" w:rsidR="00B328F0" w:rsidRPr="00A30678" w:rsidRDefault="00B328F0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4ACF6662" w14:textId="49380FAD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17" w:type="dxa"/>
                      </w:tcPr>
                      <w:p w14:paraId="1197A12F" w14:textId="3F1B6C74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010F4AEA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7329F1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0E284B" w14:textId="0B153734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7F38D26" w14:textId="77777777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 xml:space="preserve">Wymagania szczegółowe dotyczące np.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 xml:space="preserve">Częstotliwość używania / cykl wymiany </w:t>
                        </w: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lastRenderedPageBreak/>
                          <w:t>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2049B6F2" w:rsidR="00DA26C3" w:rsidRPr="00041B34" w:rsidRDefault="00B6399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Piec do sauny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1DC91E7B" w14:textId="219A2C01" w:rsidR="00DA26C3" w:rsidRPr="00041B34" w:rsidRDefault="00B6399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5F829CF6" w:rsidR="00DA26C3" w:rsidRPr="00041B34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Tremometr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32E34324" w14:textId="4B161E48" w:rsidR="00DA26C3" w:rsidRPr="00041B34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44A00CC1" w:rsidR="00DA26C3" w:rsidRPr="00041B34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Higrometr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409BEDA9" w14:textId="2A9485A7" w:rsidR="00DA26C3" w:rsidRPr="00041B34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C5182A8" w:rsidR="00DA26C3" w:rsidRPr="00041B34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Stacja pogodowa 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56F295E5" w14:textId="5E0E61FD" w:rsidR="00DA26C3" w:rsidRPr="00041B34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5C5D40CF" w:rsidR="00DA26C3" w:rsidRPr="00A30678" w:rsidRDefault="002102CD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Klepsydra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6F37F616" w14:textId="2FC782BD" w:rsidR="00DA26C3" w:rsidRPr="00A30678" w:rsidRDefault="005156B7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156B7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2F4931" w:rsidRDefault="002F4931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2F4931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E5341" w14:textId="77777777" w:rsidR="00D278E4" w:rsidRDefault="00D278E4" w:rsidP="00503DD7">
      <w:pPr>
        <w:rPr>
          <w:rFonts w:hint="eastAsia"/>
        </w:rPr>
      </w:pPr>
      <w:r>
        <w:separator/>
      </w:r>
    </w:p>
  </w:endnote>
  <w:endnote w:type="continuationSeparator" w:id="0">
    <w:p w14:paraId="6E1D1ECC" w14:textId="77777777" w:rsidR="00D278E4" w:rsidRDefault="00D278E4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45F1F9F3" w14:textId="77777777" w:rsidR="00D278E4" w:rsidRDefault="00D278E4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6277" w14:textId="77777777" w:rsidR="00D278E4" w:rsidRDefault="00D278E4" w:rsidP="00503DD7">
      <w:pPr>
        <w:rPr>
          <w:rFonts w:hint="eastAsia"/>
        </w:rPr>
      </w:pPr>
      <w:r>
        <w:separator/>
      </w:r>
    </w:p>
  </w:footnote>
  <w:footnote w:type="continuationSeparator" w:id="0">
    <w:p w14:paraId="3E92A5AA" w14:textId="77777777" w:rsidR="00D278E4" w:rsidRDefault="00D278E4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2628CC58" w14:textId="77777777" w:rsidR="00D278E4" w:rsidRDefault="00D278E4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27D84CF0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E3759"/>
    <w:rsid w:val="000F1A4B"/>
    <w:rsid w:val="001331E6"/>
    <w:rsid w:val="001436F9"/>
    <w:rsid w:val="00161D1B"/>
    <w:rsid w:val="00176ADC"/>
    <w:rsid w:val="00186F0E"/>
    <w:rsid w:val="001C1BEF"/>
    <w:rsid w:val="001D10C8"/>
    <w:rsid w:val="001F57D6"/>
    <w:rsid w:val="002102CD"/>
    <w:rsid w:val="00235221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2F4931"/>
    <w:rsid w:val="00385091"/>
    <w:rsid w:val="00391CD0"/>
    <w:rsid w:val="003C6B2E"/>
    <w:rsid w:val="003D022B"/>
    <w:rsid w:val="003F2D99"/>
    <w:rsid w:val="003F4966"/>
    <w:rsid w:val="004077FE"/>
    <w:rsid w:val="00417A44"/>
    <w:rsid w:val="00437B6E"/>
    <w:rsid w:val="00476562"/>
    <w:rsid w:val="00487851"/>
    <w:rsid w:val="00494635"/>
    <w:rsid w:val="004B6327"/>
    <w:rsid w:val="004D2255"/>
    <w:rsid w:val="004F4ADF"/>
    <w:rsid w:val="004F766B"/>
    <w:rsid w:val="00503DD7"/>
    <w:rsid w:val="005156B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426FF"/>
    <w:rsid w:val="0066106B"/>
    <w:rsid w:val="007009A0"/>
    <w:rsid w:val="0071720D"/>
    <w:rsid w:val="00731A11"/>
    <w:rsid w:val="007348DF"/>
    <w:rsid w:val="00743F4B"/>
    <w:rsid w:val="007528C7"/>
    <w:rsid w:val="00765C6B"/>
    <w:rsid w:val="00773CF3"/>
    <w:rsid w:val="00777E82"/>
    <w:rsid w:val="007806EE"/>
    <w:rsid w:val="008116BA"/>
    <w:rsid w:val="008160E7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36B59"/>
    <w:rsid w:val="009403F9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9E2652"/>
    <w:rsid w:val="00A95258"/>
    <w:rsid w:val="00AF1794"/>
    <w:rsid w:val="00AF19DF"/>
    <w:rsid w:val="00B10324"/>
    <w:rsid w:val="00B328F0"/>
    <w:rsid w:val="00B423AA"/>
    <w:rsid w:val="00B56C18"/>
    <w:rsid w:val="00B63996"/>
    <w:rsid w:val="00B96C22"/>
    <w:rsid w:val="00BA3E9B"/>
    <w:rsid w:val="00BB00F2"/>
    <w:rsid w:val="00BC28AA"/>
    <w:rsid w:val="00C31468"/>
    <w:rsid w:val="00C4287D"/>
    <w:rsid w:val="00C64A74"/>
    <w:rsid w:val="00C65F59"/>
    <w:rsid w:val="00C771D5"/>
    <w:rsid w:val="00C83803"/>
    <w:rsid w:val="00CA4D95"/>
    <w:rsid w:val="00CA659A"/>
    <w:rsid w:val="00CD1644"/>
    <w:rsid w:val="00CE43F6"/>
    <w:rsid w:val="00D278E4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E23A79"/>
    <w:rsid w:val="00E36FB9"/>
    <w:rsid w:val="00E40D03"/>
    <w:rsid w:val="00E45C9B"/>
    <w:rsid w:val="00E525A7"/>
    <w:rsid w:val="00E55718"/>
    <w:rsid w:val="00E86BBA"/>
    <w:rsid w:val="00E92924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E2229-3585-4984-BAEB-C8A85ACB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485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Katarzyna Szałowska</cp:lastModifiedBy>
  <cp:revision>7</cp:revision>
  <dcterms:created xsi:type="dcterms:W3CDTF">2023-08-25T07:51:00Z</dcterms:created>
  <dcterms:modified xsi:type="dcterms:W3CDTF">2023-08-31T13:03:00Z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