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54B0744A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A510A6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13AE583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5B83A682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6497B3D9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D9830E3" w14:textId="24BA9F55" w:rsidR="00A96C3B" w:rsidRPr="00BD59A4" w:rsidRDefault="00A96C3B" w:rsidP="00A96C3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 xml:space="preserve">„Dostawa mikroskopów dla Sieć Badawcza Łukasiewicz PORT – Polskiego Ośrodka Rozwoju Technologii z podziałem na </w:t>
      </w:r>
      <w:r w:rsidR="00D6526E">
        <w:rPr>
          <w:rFonts w:ascii="Verdana" w:eastAsia="Times New Roman" w:hAnsi="Verdana" w:cs="Tahoma"/>
          <w:b/>
          <w:bCs/>
          <w:color w:val="000000"/>
          <w:szCs w:val="20"/>
        </w:rPr>
        <w:t>2</w:t>
      </w: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 xml:space="preserve"> części”</w:t>
      </w:r>
    </w:p>
    <w:p w14:paraId="2ADB77E1" w14:textId="787D0D4D" w:rsidR="006F7122" w:rsidRPr="002F310C" w:rsidRDefault="006F7122" w:rsidP="006F7122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114489">
        <w:rPr>
          <w:rFonts w:ascii="Verdana" w:eastAsia="Verdana" w:hAnsi="Verdana" w:cs="Times New Roman"/>
          <w:bCs/>
          <w:color w:val="000000"/>
          <w:szCs w:val="20"/>
        </w:rPr>
        <w:t xml:space="preserve">nr sprawy </w:t>
      </w:r>
      <w:r w:rsidR="00907C05" w:rsidRPr="00907C05">
        <w:rPr>
          <w:rFonts w:ascii="Verdana" w:eastAsia="Verdana" w:hAnsi="Verdana" w:cs="Times New Roman"/>
          <w:bCs/>
          <w:color w:val="000000"/>
          <w:szCs w:val="20"/>
        </w:rPr>
        <w:t>PO.271.</w:t>
      </w:r>
      <w:r w:rsidR="00D6526E">
        <w:rPr>
          <w:rFonts w:ascii="Verdana" w:eastAsia="Verdana" w:hAnsi="Verdana" w:cs="Times New Roman"/>
          <w:bCs/>
          <w:color w:val="000000"/>
          <w:szCs w:val="20"/>
        </w:rPr>
        <w:t>67</w:t>
      </w:r>
      <w:r w:rsidR="00907C05" w:rsidRPr="00907C05">
        <w:rPr>
          <w:rFonts w:ascii="Verdana" w:eastAsia="Verdana" w:hAnsi="Verdana" w:cs="Times New Roman"/>
          <w:bCs/>
          <w:color w:val="000000"/>
          <w:szCs w:val="20"/>
        </w:rPr>
        <w:t>.2023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</w:t>
      </w:r>
      <w:r w:rsidRPr="003562E5">
        <w:rPr>
          <w:rFonts w:eastAsia="Verdana" w:cs="Times New Roman"/>
          <w:color w:val="000000"/>
          <w:szCs w:val="20"/>
        </w:rPr>
        <w:lastRenderedPageBreak/>
        <w:t>instytucji dotującej, pośredniczącej, fundujące etc., w szczególności NCBiR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</w:t>
      </w:r>
      <w:r w:rsidRPr="004E13CD">
        <w:rPr>
          <w:rFonts w:eastAsia="Verdana" w:cs="Times New Roman"/>
          <w:color w:val="000000"/>
          <w:szCs w:val="20"/>
        </w:rPr>
        <w:lastRenderedPageBreak/>
        <w:t>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B469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E41F" w14:textId="77777777" w:rsidR="001E5CCD" w:rsidRDefault="001E5CCD" w:rsidP="006747BD">
      <w:pPr>
        <w:spacing w:after="0" w:line="240" w:lineRule="auto"/>
      </w:pPr>
      <w:r>
        <w:separator/>
      </w:r>
    </w:p>
  </w:endnote>
  <w:endnote w:type="continuationSeparator" w:id="0">
    <w:p w14:paraId="0F1E9DEB" w14:textId="77777777" w:rsidR="001E5CCD" w:rsidRDefault="001E5C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7E7506C" w14:textId="77777777" w:rsidR="00B866D3" w:rsidRPr="00EC10FA" w:rsidRDefault="00B866D3" w:rsidP="00B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FC8A7B" w14:textId="77777777" w:rsidR="00B866D3" w:rsidRDefault="00B866D3" w:rsidP="00B866D3">
            <w:pPr>
              <w:pStyle w:val="Stopka"/>
            </w:pPr>
          </w:p>
          <w:p w14:paraId="1D50ED0A" w14:textId="3AE77E05" w:rsidR="00D40690" w:rsidRDefault="00907C05">
            <w:pPr>
              <w:pStyle w:val="Stopka"/>
            </w:pPr>
            <w:r>
              <w:t>S</w:t>
            </w:r>
            <w:r w:rsidR="00D40690">
              <w:t xml:space="preserve">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1BAB12B1" w14:textId="77777777" w:rsidR="00D5353A" w:rsidRDefault="00D5353A" w:rsidP="00D40690">
        <w:pPr>
          <w:pStyle w:val="Stopka"/>
        </w:pPr>
      </w:p>
      <w:p w14:paraId="45B2A923" w14:textId="4A43A095" w:rsidR="00D5353A" w:rsidRDefault="00D5353A" w:rsidP="00D40690">
        <w:pPr>
          <w:pStyle w:val="Stopka"/>
        </w:pPr>
        <w:r>
          <w:rPr>
            <w:noProof/>
          </w:rPr>
          <w:drawing>
            <wp:anchor distT="0" distB="0" distL="114300" distR="114300" simplePos="0" relativeHeight="251676672" behindDoc="1" locked="0" layoutInCell="1" allowOverlap="1" wp14:anchorId="10758EF7" wp14:editId="60702B8D">
              <wp:simplePos x="0" y="0"/>
              <wp:positionH relativeFrom="column">
                <wp:posOffset>2285365</wp:posOffset>
              </wp:positionH>
              <wp:positionV relativeFrom="paragraph">
                <wp:posOffset>5222240</wp:posOffset>
              </wp:positionV>
              <wp:extent cx="2992755" cy="248920"/>
              <wp:effectExtent l="0" t="0" r="0" b="0"/>
              <wp:wrapThrough wrapText="bothSides">
                <wp:wrapPolygon edited="0">
                  <wp:start x="0" y="0"/>
                  <wp:lineTo x="0" y="19837"/>
                  <wp:lineTo x="2062" y="19837"/>
                  <wp:lineTo x="21449" y="16531"/>
                  <wp:lineTo x="21449" y="6612"/>
                  <wp:lineTo x="2062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072669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2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41D93AD4" w:rsidR="004F5805" w:rsidRPr="00D40690" w:rsidRDefault="00D5353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0758EF7" wp14:editId="7A6AA23C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9448800</wp:posOffset>
                  </wp:positionV>
                  <wp:extent cx="2992755" cy="24892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2062" y="19837"/>
                      <wp:lineTo x="21449" y="16531"/>
                      <wp:lineTo x="21449" y="6612"/>
                      <wp:lineTo x="206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7266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3A0" w14:textId="77777777" w:rsidR="001E5CCD" w:rsidRDefault="001E5CCD" w:rsidP="006747BD">
      <w:pPr>
        <w:spacing w:after="0" w:line="240" w:lineRule="auto"/>
      </w:pPr>
      <w:r>
        <w:separator/>
      </w:r>
    </w:p>
  </w:footnote>
  <w:footnote w:type="continuationSeparator" w:id="0">
    <w:p w14:paraId="670A8F5E" w14:textId="77777777" w:rsidR="001E5CCD" w:rsidRDefault="001E5CC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BA85" w14:textId="426EA9F1" w:rsidR="0078773B" w:rsidRDefault="0078773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2A7A5101" wp14:editId="6046EE85">
          <wp:simplePos x="0" y="0"/>
          <wp:positionH relativeFrom="column">
            <wp:posOffset>-1190625</wp:posOffset>
          </wp:positionH>
          <wp:positionV relativeFrom="paragraph">
            <wp:posOffset>-635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0695572">
    <w:abstractNumId w:val="9"/>
  </w:num>
  <w:num w:numId="2" w16cid:durableId="979306593">
    <w:abstractNumId w:val="8"/>
  </w:num>
  <w:num w:numId="3" w16cid:durableId="987323073">
    <w:abstractNumId w:val="3"/>
  </w:num>
  <w:num w:numId="4" w16cid:durableId="1606307619">
    <w:abstractNumId w:val="2"/>
  </w:num>
  <w:num w:numId="5" w16cid:durableId="286859259">
    <w:abstractNumId w:val="1"/>
  </w:num>
  <w:num w:numId="6" w16cid:durableId="396785259">
    <w:abstractNumId w:val="0"/>
  </w:num>
  <w:num w:numId="7" w16cid:durableId="683557671">
    <w:abstractNumId w:val="7"/>
  </w:num>
  <w:num w:numId="8" w16cid:durableId="883718341">
    <w:abstractNumId w:val="6"/>
  </w:num>
  <w:num w:numId="9" w16cid:durableId="1610090455">
    <w:abstractNumId w:val="5"/>
  </w:num>
  <w:num w:numId="10" w16cid:durableId="612399153">
    <w:abstractNumId w:val="4"/>
  </w:num>
  <w:num w:numId="11" w16cid:durableId="974217136">
    <w:abstractNumId w:val="11"/>
  </w:num>
  <w:num w:numId="12" w16cid:durableId="1729910733">
    <w:abstractNumId w:val="12"/>
  </w:num>
  <w:num w:numId="13" w16cid:durableId="1397388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095AE2"/>
    <w:rsid w:val="00114489"/>
    <w:rsid w:val="00134929"/>
    <w:rsid w:val="001A0BD2"/>
    <w:rsid w:val="001C6A08"/>
    <w:rsid w:val="001E5CCD"/>
    <w:rsid w:val="00231524"/>
    <w:rsid w:val="00274A7A"/>
    <w:rsid w:val="002D48BE"/>
    <w:rsid w:val="002F4540"/>
    <w:rsid w:val="0031510D"/>
    <w:rsid w:val="00335F9F"/>
    <w:rsid w:val="00346C00"/>
    <w:rsid w:val="00354A18"/>
    <w:rsid w:val="0039324B"/>
    <w:rsid w:val="003D7E68"/>
    <w:rsid w:val="003F4BA3"/>
    <w:rsid w:val="004F5805"/>
    <w:rsid w:val="00526CDD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78773B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011BB"/>
    <w:rsid w:val="00907C05"/>
    <w:rsid w:val="00912959"/>
    <w:rsid w:val="00925C09"/>
    <w:rsid w:val="009D4C4D"/>
    <w:rsid w:val="00A06DC4"/>
    <w:rsid w:val="00A36F46"/>
    <w:rsid w:val="00A4666C"/>
    <w:rsid w:val="00A510A6"/>
    <w:rsid w:val="00A52C29"/>
    <w:rsid w:val="00A90F6A"/>
    <w:rsid w:val="00A96C3B"/>
    <w:rsid w:val="00AA5933"/>
    <w:rsid w:val="00AB0618"/>
    <w:rsid w:val="00B46992"/>
    <w:rsid w:val="00B61F8A"/>
    <w:rsid w:val="00B74CE7"/>
    <w:rsid w:val="00B82A2B"/>
    <w:rsid w:val="00B866D3"/>
    <w:rsid w:val="00C02DAD"/>
    <w:rsid w:val="00C736D5"/>
    <w:rsid w:val="00CB1623"/>
    <w:rsid w:val="00D005B3"/>
    <w:rsid w:val="00D06D36"/>
    <w:rsid w:val="00D40690"/>
    <w:rsid w:val="00D5353A"/>
    <w:rsid w:val="00D6526E"/>
    <w:rsid w:val="00D77BF0"/>
    <w:rsid w:val="00D945EE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2023-06-05T09:56:00Z</dcterms:created>
  <dcterms:modified xsi:type="dcterms:W3CDTF">2023-07-03T06:59:00Z</dcterms:modified>
  <cp:contentStatus/>
</cp:coreProperties>
</file>