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00D6" w14:textId="326FF0DE" w:rsidR="00C41D9D" w:rsidRDefault="00C41D9D" w:rsidP="0068033D">
      <w:pPr>
        <w:spacing w:after="240"/>
        <w:jc w:val="both"/>
      </w:pPr>
      <w:r>
        <w:t>Załącznik nr 1</w:t>
      </w:r>
    </w:p>
    <w:p w14:paraId="214E0440" w14:textId="17537F4F" w:rsidR="00C41D9D" w:rsidRDefault="00C41D9D" w:rsidP="0068033D">
      <w:pPr>
        <w:spacing w:after="240"/>
        <w:jc w:val="both"/>
      </w:pPr>
      <w:r>
        <w:t>OPIS PRZEDMIOTU ZAMÓWIENIA</w:t>
      </w:r>
    </w:p>
    <w:p w14:paraId="52CDEEEF" w14:textId="135F8376" w:rsidR="0068033D" w:rsidRDefault="0068033D" w:rsidP="0068033D">
      <w:pPr>
        <w:spacing w:after="240"/>
        <w:jc w:val="both"/>
      </w:pPr>
      <w:r>
        <w:t>Gmina Komorniki zaprasza do złożenia ofert na szacowanie opracowania koncepcji zagospodarowania terenu w Szreniawie.</w:t>
      </w:r>
    </w:p>
    <w:p w14:paraId="7B1E5A5A" w14:textId="77777777" w:rsidR="0068033D" w:rsidRDefault="0068033D" w:rsidP="0068033D">
      <w:pPr>
        <w:spacing w:after="240"/>
        <w:jc w:val="both"/>
      </w:pPr>
      <w:r>
        <w:t xml:space="preserve">Zagospodarowanie terenu odbywa się we współpracy Gminy Komorniki i Muzeum Narodowego Rolnictwa w Szreniawie. </w:t>
      </w:r>
    </w:p>
    <w:p w14:paraId="4760086A" w14:textId="7EFC9182" w:rsidR="0068033D" w:rsidRDefault="0068033D" w:rsidP="0068033D">
      <w:pPr>
        <w:spacing w:after="240"/>
        <w:jc w:val="both"/>
      </w:pPr>
      <w:r>
        <w:t>Zakres opracowania dla Gminy Komorniki obejmuje działki 11/4, 11/5, 11/7, 2/3 w obrębie Rosnówko-Walerianowo oraz dz. 10, w obrębie Rosnowo -Szreniawa.</w:t>
      </w:r>
    </w:p>
    <w:p w14:paraId="22C332EB" w14:textId="6BD0CB21" w:rsidR="0068033D" w:rsidRDefault="0068033D" w:rsidP="0068033D">
      <w:pPr>
        <w:spacing w:after="240"/>
        <w:jc w:val="both"/>
      </w:pPr>
      <w:r>
        <w:t>Zakres opracowania dla Muzeum Narodowego Rolnictwa w Szreniawie. obejmuje działk</w:t>
      </w:r>
      <w:r w:rsidR="00842E49">
        <w:t>i</w:t>
      </w:r>
      <w:r>
        <w:t xml:space="preserve"> 16/4, 11/4, 21/4, 2</w:t>
      </w:r>
      <w:r w:rsidR="00842E49">
        <w:t>2</w:t>
      </w:r>
      <w:r>
        <w:t>/6</w:t>
      </w:r>
      <w:r w:rsidR="00955647">
        <w:t xml:space="preserve">, </w:t>
      </w:r>
      <w:r w:rsidR="00955647" w:rsidRPr="009B5A94">
        <w:t>19/2</w:t>
      </w:r>
      <w:r w:rsidR="002C615F" w:rsidRPr="009B5A94">
        <w:t xml:space="preserve"> </w:t>
      </w:r>
      <w:r w:rsidR="002C615F">
        <w:t>w obrębie Rosnowo -Szreniawa.</w:t>
      </w:r>
    </w:p>
    <w:p w14:paraId="1A5A2E2C" w14:textId="6A79227D" w:rsidR="002C615F" w:rsidRPr="002C615F" w:rsidRDefault="002C615F" w:rsidP="002C615F">
      <w:pPr>
        <w:spacing w:line="312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t>Wskazano w</w:t>
      </w:r>
      <w:r w:rsidRPr="005D7FD3">
        <w:t xml:space="preserve">stępną lokalizację wspólnego parkingu dla przyszłej inwestycji mającego na celu obsługę terenów rekreacyjnych Gminy oraz edukacyjno-wystawienniczych Muzeum. Ustalono na ten cel obszar części działek nr </w:t>
      </w:r>
      <w:proofErr w:type="spellStart"/>
      <w:r w:rsidRPr="005D7FD3">
        <w:t>ewid</w:t>
      </w:r>
      <w:proofErr w:type="spellEnd"/>
      <w:r w:rsidRPr="005D7FD3">
        <w:t xml:space="preserve">. gruntu 11/4 i 11/5 w bezpośrednim sąsiedztwie drogi o symbolu 1 KD-D ( MPZP </w:t>
      </w:r>
      <w:r w:rsidRPr="002C615F">
        <w:rPr>
          <w:rFonts w:eastAsia="Times New Roman" w:cstheme="minorHAnsi"/>
          <w:i/>
          <w:iCs/>
          <w:kern w:val="0"/>
          <w:lang w:eastAsia="pl-PL"/>
          <w14:ligatures w14:val="none"/>
        </w:rPr>
        <w:t>XLIX/439/2022 z dnia 2022-03-30</w:t>
      </w:r>
      <w:r w:rsidR="00226CB5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</w:t>
      </w:r>
      <w:r w:rsidRPr="002C615F">
        <w:rPr>
          <w:rFonts w:eastAsia="Times New Roman" w:cstheme="minorHAnsi"/>
          <w:kern w:val="0"/>
          <w:lang w:eastAsia="pl-PL"/>
          <w14:ligatures w14:val="none"/>
        </w:rPr>
        <w:t>w sprawie miejscowego planu zagospodarowania przestrzennego części wsi Walerianowo i części wsi Szreniawa w rejonie ulicy Poznańskiej).</w:t>
      </w:r>
    </w:p>
    <w:p w14:paraId="067AB98E" w14:textId="77777777" w:rsidR="002C615F" w:rsidRDefault="002C615F" w:rsidP="0068033D">
      <w:pPr>
        <w:spacing w:after="240"/>
        <w:jc w:val="both"/>
      </w:pPr>
      <w:r>
        <w:t xml:space="preserve">W koncepcji zagospodarowania rekreacyjnego terenu dla potrzeb Gminy Komorniki zakłada się lokalizacje </w:t>
      </w:r>
      <w:proofErr w:type="spellStart"/>
      <w:r>
        <w:t>nw</w:t>
      </w:r>
      <w:proofErr w:type="spellEnd"/>
      <w:r>
        <w:t xml:space="preserve"> obiektów:</w:t>
      </w:r>
    </w:p>
    <w:p w14:paraId="645E8B13" w14:textId="35D22571" w:rsidR="00066D0C" w:rsidRDefault="002C615F" w:rsidP="002C615F">
      <w:pPr>
        <w:pStyle w:val="Akapitzlist"/>
        <w:numPr>
          <w:ilvl w:val="0"/>
          <w:numId w:val="2"/>
        </w:numPr>
        <w:spacing w:after="240"/>
        <w:jc w:val="both"/>
      </w:pPr>
      <w:r>
        <w:t>Scena wraz o obszarem piknikow</w:t>
      </w:r>
      <w:r w:rsidR="001A262D">
        <w:t>ym przed sceną</w:t>
      </w:r>
    </w:p>
    <w:p w14:paraId="5FB0B7A6" w14:textId="3ADC3013" w:rsidR="001A262D" w:rsidRDefault="001A262D" w:rsidP="002C615F">
      <w:pPr>
        <w:pStyle w:val="Akapitzlist"/>
        <w:numPr>
          <w:ilvl w:val="0"/>
          <w:numId w:val="2"/>
        </w:numPr>
        <w:spacing w:after="240"/>
        <w:jc w:val="both"/>
      </w:pPr>
      <w:r>
        <w:t>Plac zabaw</w:t>
      </w:r>
    </w:p>
    <w:p w14:paraId="57870821" w14:textId="004A9FF4" w:rsidR="001A262D" w:rsidRDefault="001A262D" w:rsidP="002C615F">
      <w:pPr>
        <w:pStyle w:val="Akapitzlist"/>
        <w:numPr>
          <w:ilvl w:val="0"/>
          <w:numId w:val="2"/>
        </w:numPr>
        <w:spacing w:after="240"/>
        <w:jc w:val="both"/>
      </w:pPr>
      <w:r>
        <w:t>Plaża nad jeziorem</w:t>
      </w:r>
    </w:p>
    <w:p w14:paraId="3E9BA07D" w14:textId="0798E609" w:rsidR="001A262D" w:rsidRDefault="001A262D" w:rsidP="002C615F">
      <w:pPr>
        <w:pStyle w:val="Akapitzlist"/>
        <w:numPr>
          <w:ilvl w:val="0"/>
          <w:numId w:val="2"/>
        </w:numPr>
        <w:spacing w:after="240"/>
        <w:jc w:val="both"/>
      </w:pPr>
      <w:r>
        <w:t>Ścieżka rowerowa i promenada  wokół jeziora umożliwiająca komunikację z ul. Poznańska w Rosnowie</w:t>
      </w:r>
    </w:p>
    <w:p w14:paraId="450D88D0" w14:textId="56266BC1" w:rsidR="001A262D" w:rsidRDefault="001A262D" w:rsidP="002C615F">
      <w:pPr>
        <w:pStyle w:val="Akapitzlist"/>
        <w:numPr>
          <w:ilvl w:val="0"/>
          <w:numId w:val="2"/>
        </w:numPr>
        <w:spacing w:after="240"/>
        <w:jc w:val="both"/>
      </w:pPr>
      <w:r>
        <w:t>Wieża widokowa</w:t>
      </w:r>
    </w:p>
    <w:p w14:paraId="059F1578" w14:textId="128E0274" w:rsidR="001A262D" w:rsidRDefault="001A262D" w:rsidP="002C615F">
      <w:pPr>
        <w:pStyle w:val="Akapitzlist"/>
        <w:numPr>
          <w:ilvl w:val="0"/>
          <w:numId w:val="2"/>
        </w:numPr>
        <w:spacing w:after="240"/>
        <w:jc w:val="both"/>
      </w:pPr>
      <w:r>
        <w:t>Elementy małej architektury</w:t>
      </w:r>
    </w:p>
    <w:p w14:paraId="314CF315" w14:textId="1498F7CF" w:rsidR="001A262D" w:rsidRDefault="00226CB5" w:rsidP="001A262D">
      <w:pPr>
        <w:spacing w:after="240"/>
        <w:jc w:val="both"/>
      </w:pPr>
      <w:r>
        <w:t xml:space="preserve">Koncepcja </w:t>
      </w:r>
      <w:r w:rsidR="001A262D">
        <w:t>zagospodarowania</w:t>
      </w:r>
      <w:r>
        <w:t xml:space="preserve"> </w:t>
      </w:r>
      <w:r w:rsidR="001A262D">
        <w:t xml:space="preserve">terenu dla potrzeb Muzeum Narodowego Rolnictwa w Szreniawie. </w:t>
      </w:r>
      <w:r>
        <w:t>przedstawia się następująco</w:t>
      </w:r>
      <w:r w:rsidR="001A262D">
        <w:t>:</w:t>
      </w:r>
    </w:p>
    <w:p w14:paraId="1AD2C94A" w14:textId="77777777" w:rsidR="001A262D" w:rsidRPr="001A262D" w:rsidRDefault="001A262D" w:rsidP="001A262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cstheme="minorHAnsi"/>
          <w:b/>
          <w:bCs/>
        </w:rPr>
      </w:pPr>
      <w:r w:rsidRPr="001A262D">
        <w:rPr>
          <w:rFonts w:cstheme="minorHAnsi"/>
          <w:b/>
          <w:bCs/>
        </w:rPr>
        <w:t>Podstawowe potrzeby muzeum:</w:t>
      </w:r>
    </w:p>
    <w:p w14:paraId="2380DCFF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Ekspozycje;</w:t>
      </w:r>
    </w:p>
    <w:p w14:paraId="21AAF68F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Magazyny;</w:t>
      </w:r>
    </w:p>
    <w:p w14:paraId="36C19036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Konserwacja;</w:t>
      </w:r>
    </w:p>
    <w:p w14:paraId="3AC62D4D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Edukacja (</w:t>
      </w:r>
      <w:r w:rsidRPr="001A262D">
        <w:rPr>
          <w:rFonts w:cstheme="minorHAnsi"/>
          <w:i/>
        </w:rPr>
        <w:t xml:space="preserve">vide </w:t>
      </w:r>
      <w:proofErr w:type="spellStart"/>
      <w:r w:rsidRPr="001A262D">
        <w:rPr>
          <w:rFonts w:cstheme="minorHAnsi"/>
          <w:i/>
        </w:rPr>
        <w:t>infra</w:t>
      </w:r>
      <w:proofErr w:type="spellEnd"/>
      <w:r w:rsidRPr="001A262D">
        <w:rPr>
          <w:rFonts w:cstheme="minorHAnsi"/>
        </w:rPr>
        <w:t>).</w:t>
      </w:r>
    </w:p>
    <w:p w14:paraId="5FC4B9F6" w14:textId="77777777" w:rsidR="001A262D" w:rsidRPr="001A262D" w:rsidRDefault="001A262D" w:rsidP="001A262D">
      <w:pPr>
        <w:pStyle w:val="Akapitzlist"/>
        <w:spacing w:after="240" w:line="276" w:lineRule="auto"/>
        <w:jc w:val="both"/>
        <w:rPr>
          <w:rFonts w:cstheme="minorHAnsi"/>
        </w:rPr>
      </w:pPr>
    </w:p>
    <w:p w14:paraId="191F0E27" w14:textId="6436D743" w:rsidR="001A262D" w:rsidRPr="001A262D" w:rsidRDefault="001A262D" w:rsidP="001A262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cstheme="minorHAnsi"/>
          <w:b/>
          <w:bCs/>
        </w:rPr>
      </w:pPr>
      <w:r w:rsidRPr="001A262D">
        <w:rPr>
          <w:rFonts w:cstheme="minorHAnsi"/>
          <w:b/>
          <w:bCs/>
          <w:iCs/>
        </w:rPr>
        <w:t>N</w:t>
      </w:r>
      <w:r w:rsidRPr="001A262D">
        <w:rPr>
          <w:rFonts w:cstheme="minorHAnsi"/>
          <w:b/>
          <w:bCs/>
        </w:rPr>
        <w:t xml:space="preserve">owe nieruchomości i aktualna siedziba główna muzeum </w:t>
      </w:r>
    </w:p>
    <w:p w14:paraId="576EA457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3U — pomiędzy torami kolejowymi a ul. Poznańską;</w:t>
      </w:r>
    </w:p>
    <w:p w14:paraId="4AA383F5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2U — pomiędzy ul. Poznańską a planowaną drogą dojazdową 1KD-D;</w:t>
      </w:r>
    </w:p>
    <w:p w14:paraId="7E0A2C7C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1U — pomiędzy planowaną drogą dojazdową 1KD-D a planowanym obszarem „[…] zieleni krajobrazowej” 1WS/ZK;</w:t>
      </w:r>
    </w:p>
    <w:p w14:paraId="6759931F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lastRenderedPageBreak/>
        <w:t xml:space="preserve">SG — aktualna siedziba główna, pomiędzy ul. Dworcową a Wielkopolskim Parkiem Narodowym (z działkami na których znajdują się sad, pole etc.). </w:t>
      </w:r>
    </w:p>
    <w:p w14:paraId="726DF2B0" w14:textId="77777777" w:rsidR="001A262D" w:rsidRPr="001A262D" w:rsidRDefault="001A262D" w:rsidP="001A262D">
      <w:pPr>
        <w:spacing w:after="240"/>
        <w:jc w:val="both"/>
        <w:rPr>
          <w:rFonts w:cstheme="minorHAnsi"/>
        </w:rPr>
      </w:pPr>
    </w:p>
    <w:p w14:paraId="7F042F63" w14:textId="77777777" w:rsidR="001A262D" w:rsidRPr="001A262D" w:rsidRDefault="001A262D" w:rsidP="001A262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cstheme="minorHAnsi"/>
          <w:b/>
          <w:bCs/>
        </w:rPr>
      </w:pPr>
      <w:r w:rsidRPr="001A262D">
        <w:rPr>
          <w:rFonts w:cstheme="minorHAnsi"/>
          <w:b/>
          <w:bCs/>
        </w:rPr>
        <w:t>Nowe nieruchomości — uwarunkowania zagospodarowania:</w:t>
      </w:r>
    </w:p>
    <w:p w14:paraId="5E9AE711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Duża atrakcyjność propozycji programowych na nowych terenach, szczególnie ze wzgl. na ich oddalenie od siedziby głównej. </w:t>
      </w:r>
    </w:p>
    <w:p w14:paraId="779F6BFC" w14:textId="77777777" w:rsidR="001A262D" w:rsidRPr="001A262D" w:rsidRDefault="001A262D" w:rsidP="001A262D">
      <w:pPr>
        <w:pStyle w:val="Akapitzlist"/>
        <w:numPr>
          <w:ilvl w:val="1"/>
          <w:numId w:val="4"/>
        </w:numPr>
        <w:spacing w:before="240"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Komunikacja pomiędzy obszarami wskazanymi w p. 2. (konieczną wydaje się kładka pieszo-rowerowa pomiędzy SG a 3U — mogłaby stanowić platformę obserwacyjną zabytkowych parowozów i lokomotyw kursujących na trasie Poznań Wolsztyn, a wskazaną pomiędzy 3U a 2U).</w:t>
      </w:r>
    </w:p>
    <w:p w14:paraId="39FEA992" w14:textId="77777777" w:rsidR="001A262D" w:rsidRPr="001A262D" w:rsidRDefault="001A262D" w:rsidP="001A262D">
      <w:pPr>
        <w:pStyle w:val="Akapitzlist"/>
        <w:spacing w:before="240" w:after="240" w:line="276" w:lineRule="auto"/>
        <w:jc w:val="both"/>
        <w:rPr>
          <w:rFonts w:cstheme="minorHAnsi"/>
        </w:rPr>
      </w:pPr>
    </w:p>
    <w:p w14:paraId="79BC05CD" w14:textId="77777777" w:rsidR="001A262D" w:rsidRPr="001A262D" w:rsidRDefault="001A262D" w:rsidP="001A262D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cstheme="minorHAnsi"/>
          <w:b/>
          <w:bCs/>
        </w:rPr>
      </w:pPr>
      <w:r w:rsidRPr="001A262D">
        <w:rPr>
          <w:rFonts w:cstheme="minorHAnsi"/>
          <w:b/>
          <w:bCs/>
        </w:rPr>
        <w:t xml:space="preserve">Nowe nieruchomości — możliwość restrukturyzacji SG: </w:t>
      </w:r>
    </w:p>
    <w:p w14:paraId="3D37796B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before="240"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Zmniejszenie liczby eksponatów z poszczególnych kolekcji, pozostawienie najbardziej reprezentatywnych muzealiów; </w:t>
      </w:r>
    </w:p>
    <w:p w14:paraId="1439BFBC" w14:textId="32DF21FA" w:rsidR="001A262D" w:rsidRPr="001A262D" w:rsidRDefault="001A262D" w:rsidP="001A262D">
      <w:pPr>
        <w:pStyle w:val="Akapitzlist"/>
        <w:numPr>
          <w:ilvl w:val="1"/>
          <w:numId w:val="3"/>
        </w:numPr>
        <w:spacing w:before="240"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Przywrócenie (częściowe) pierwotnego, sprzed II wojny światowej, kształtu folwarku poprzez wyburzenie paw. nr 13 i powojennej obory (rzecz jasna po wcześniejszym przeniesieniu kolekcji samochodów Tarpan w nowe miejsce — </w:t>
      </w:r>
      <w:r w:rsidRPr="001A262D">
        <w:rPr>
          <w:rFonts w:cstheme="minorHAnsi"/>
          <w:i/>
        </w:rPr>
        <w:t xml:space="preserve">vide </w:t>
      </w:r>
      <w:proofErr w:type="spellStart"/>
      <w:r w:rsidRPr="001A262D">
        <w:rPr>
          <w:rFonts w:cstheme="minorHAnsi"/>
          <w:i/>
        </w:rPr>
        <w:t>infra</w:t>
      </w:r>
      <w:proofErr w:type="spellEnd"/>
      <w:r w:rsidRPr="001A262D">
        <w:rPr>
          <w:rFonts w:cstheme="minorHAnsi"/>
        </w:rPr>
        <w:t>);</w:t>
      </w:r>
    </w:p>
    <w:p w14:paraId="067D5C2D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before="240"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Uwzględnienie uwarunkowań wskazanych w p. 3. — najbardziej reprezentatywne muzealia.  </w:t>
      </w:r>
    </w:p>
    <w:p w14:paraId="1245EBC3" w14:textId="77777777" w:rsidR="001A262D" w:rsidRPr="001A262D" w:rsidRDefault="001A262D" w:rsidP="001A262D">
      <w:pPr>
        <w:spacing w:after="240"/>
        <w:jc w:val="both"/>
        <w:rPr>
          <w:rFonts w:cstheme="minorHAnsi"/>
        </w:rPr>
      </w:pPr>
    </w:p>
    <w:p w14:paraId="1F726146" w14:textId="77777777" w:rsidR="001A262D" w:rsidRPr="001A262D" w:rsidRDefault="001A262D" w:rsidP="001A262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cstheme="minorHAnsi"/>
          <w:b/>
          <w:bCs/>
        </w:rPr>
      </w:pPr>
      <w:r w:rsidRPr="001A262D">
        <w:rPr>
          <w:rFonts w:cstheme="minorHAnsi"/>
          <w:b/>
          <w:bCs/>
        </w:rPr>
        <w:t>Nowe nieruchomości i SG — zagospodarowanie:</w:t>
      </w:r>
    </w:p>
    <w:p w14:paraId="020A6E36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SG </w:t>
      </w:r>
    </w:p>
    <w:p w14:paraId="6532AE6F" w14:textId="77777777" w:rsidR="001A262D" w:rsidRPr="001A262D" w:rsidRDefault="001A262D" w:rsidP="001A262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ekspozycje tematyczne złożone z najbardziej reprezentatywnych muzealiów pokazywanych dotychczas w działach i oddziałach muzeum (lub znajdujących się w magazynach), </w:t>
      </w:r>
    </w:p>
    <w:p w14:paraId="645AC798" w14:textId="77777777" w:rsidR="001A262D" w:rsidRPr="001A262D" w:rsidRDefault="001A262D" w:rsidP="001A262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ekspozycje uwzględniające </w:t>
      </w:r>
      <w:r w:rsidRPr="001A262D">
        <w:rPr>
          <w:rFonts w:cstheme="minorHAnsi"/>
          <w:u w:val="single"/>
        </w:rPr>
        <w:t>nowe tematy</w:t>
      </w:r>
      <w:r w:rsidRPr="001A262D">
        <w:rPr>
          <w:rFonts w:cstheme="minorHAnsi"/>
        </w:rPr>
        <w:t xml:space="preserve"> np. wpływ przemysłowej produkcji rolnej na środowisko, biotechnologia (w tym produkcja żywności), ewolucja w traktowaniu środowiska naturalnego przez człowieka etc., </w:t>
      </w:r>
    </w:p>
    <w:p w14:paraId="09A7F8F3" w14:textId="77777777" w:rsidR="001A262D" w:rsidRPr="001A262D" w:rsidRDefault="001A262D" w:rsidP="001A262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podstawowa działalność edukacyjna (przede wszystkim dzieci), </w:t>
      </w:r>
    </w:p>
    <w:p w14:paraId="0C0636E1" w14:textId="77777777" w:rsidR="001A262D" w:rsidRPr="001A262D" w:rsidRDefault="001A262D" w:rsidP="001A262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nowoczesne pracownie konserwatorskie (przeznaczone również dla obiektów wielkogabarytowych), </w:t>
      </w:r>
    </w:p>
    <w:p w14:paraId="65741CD8" w14:textId="77777777" w:rsidR="001A262D" w:rsidRPr="001A262D" w:rsidRDefault="001A262D" w:rsidP="001A262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magazyny dzieł sztuki, papieru, małej wielkości muzealiów, </w:t>
      </w:r>
    </w:p>
    <w:p w14:paraId="328372C5" w14:textId="77777777" w:rsidR="001A262D" w:rsidRPr="001A262D" w:rsidRDefault="001A262D" w:rsidP="001A262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sala wystaw czasowych;   </w:t>
      </w:r>
    </w:p>
    <w:p w14:paraId="77D6C368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3U — „centrum maszyn i pojazdów”</w:t>
      </w:r>
    </w:p>
    <w:p w14:paraId="051376CE" w14:textId="01776A3C" w:rsidR="001A262D" w:rsidRPr="001A262D" w:rsidRDefault="001A262D" w:rsidP="001A262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sale ekspozycyjne (hangary), w których znajdowałyby się ekspozycje muzealiów wielkogabarytowych lub należących do grupy zabytków techniki: samolotów, lokomobil, traktorów, młockarni, samochodów (w tym kolekcji samochodów Tarpan przeniesionej z wyburzonej obory— </w:t>
      </w:r>
      <w:r w:rsidRPr="001A262D">
        <w:rPr>
          <w:rFonts w:cstheme="minorHAnsi"/>
          <w:i/>
        </w:rPr>
        <w:t xml:space="preserve">vide </w:t>
      </w:r>
      <w:proofErr w:type="spellStart"/>
      <w:r w:rsidRPr="001A262D">
        <w:rPr>
          <w:rFonts w:cstheme="minorHAnsi"/>
          <w:i/>
        </w:rPr>
        <w:t>supra</w:t>
      </w:r>
      <w:proofErr w:type="spellEnd"/>
      <w:r w:rsidRPr="001A262D">
        <w:rPr>
          <w:rFonts w:cstheme="minorHAnsi"/>
        </w:rPr>
        <w:t>) etc.,</w:t>
      </w:r>
    </w:p>
    <w:p w14:paraId="56C1606D" w14:textId="77777777" w:rsidR="001A262D" w:rsidRPr="001A262D" w:rsidRDefault="001A262D" w:rsidP="001A262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plac manewrowy do prezentacji maszyn i pojazdów podczas ich pracy, </w:t>
      </w:r>
    </w:p>
    <w:p w14:paraId="539D1A27" w14:textId="77777777" w:rsidR="001A262D" w:rsidRPr="001A262D" w:rsidRDefault="001A262D" w:rsidP="001A262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magazyny studyjne przeznaczone dla muzealiów dopełniających kolekcje, które wyżej zostały nazwane jako „najbardziej reprezentatywne”, </w:t>
      </w:r>
    </w:p>
    <w:p w14:paraId="4D011ADE" w14:textId="77777777" w:rsidR="001A262D" w:rsidRPr="001A262D" w:rsidRDefault="001A262D" w:rsidP="001A262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magazyny studyjne spełniające funkcję „otwartych” pracowni konserwatorskich dla obiektów wielkogabarytowych, </w:t>
      </w:r>
    </w:p>
    <w:p w14:paraId="3E70822D" w14:textId="77777777" w:rsidR="001A262D" w:rsidRPr="001A262D" w:rsidRDefault="001A262D" w:rsidP="001A262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magazyny konwencjonalne;</w:t>
      </w:r>
    </w:p>
    <w:p w14:paraId="7D3ED5C8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lastRenderedPageBreak/>
        <w:t>2U — „centrum edukacyjno-rekreacyjne”</w:t>
      </w:r>
    </w:p>
    <w:p w14:paraId="6E9C46E6" w14:textId="77777777" w:rsidR="001A262D" w:rsidRPr="001A262D" w:rsidRDefault="001A262D" w:rsidP="001A262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wioska edukacyjna (przede wszystkim pokazy i warsztaty oraz ekspozycje) — rozszerzona działalność muzealno-edukacyjno-rekreacyjna: ekologia,  budownictwo, rzemiosło w tym „ginące” zawody, uprawa roślin popularnych na przełomie XIX i XX w. — „ogród” rolniczy (poletka, a na nich pokazy prac polowych), sad, hodowla zwierząt ras zachowawczych, </w:t>
      </w:r>
    </w:p>
    <w:p w14:paraId="7C58DF76" w14:textId="77777777" w:rsidR="001A262D" w:rsidRPr="001A262D" w:rsidRDefault="001A262D" w:rsidP="001A262D">
      <w:pPr>
        <w:pStyle w:val="Akapitzlist"/>
        <w:spacing w:after="240" w:line="276" w:lineRule="auto"/>
        <w:ind w:left="2124"/>
        <w:jc w:val="both"/>
        <w:rPr>
          <w:rFonts w:cstheme="minorHAnsi"/>
        </w:rPr>
      </w:pPr>
      <w:r w:rsidRPr="001A262D">
        <w:rPr>
          <w:rFonts w:cstheme="minorHAnsi"/>
        </w:rPr>
        <w:t>modyfikacja wioski edukacyjnej, która została opisana szczegółowo w osobnym materiale pt. „Wielkopolska wioska kulturowa”,</w:t>
      </w:r>
    </w:p>
    <w:p w14:paraId="7881A015" w14:textId="77777777" w:rsidR="001A262D" w:rsidRPr="001A262D" w:rsidRDefault="001A262D" w:rsidP="001A262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zrekonstruowanie 2 wielkopolskich gospodarstw (lub ew. zagród), które prezentowałyby stan rolnictwa w połowie XIX i pierwszej ćwierci XX w. — element szlaku </w:t>
      </w:r>
      <w:proofErr w:type="spellStart"/>
      <w:r w:rsidRPr="001A262D">
        <w:rPr>
          <w:rFonts w:cstheme="minorHAnsi"/>
        </w:rPr>
        <w:t>Szlaku</w:t>
      </w:r>
      <w:proofErr w:type="spellEnd"/>
      <w:r w:rsidRPr="001A262D">
        <w:rPr>
          <w:rFonts w:cstheme="minorHAnsi"/>
        </w:rPr>
        <w:t xml:space="preserve"> Pracy Organicznej, pokazanie efektów działań organiczników wielkopolskich, </w:t>
      </w:r>
    </w:p>
    <w:p w14:paraId="1FE74D54" w14:textId="77777777" w:rsidR="001A262D" w:rsidRPr="001A262D" w:rsidRDefault="001A262D" w:rsidP="001A262D">
      <w:pPr>
        <w:pStyle w:val="Akapitzlist"/>
        <w:spacing w:after="240" w:line="276" w:lineRule="auto"/>
        <w:ind w:left="2124"/>
        <w:jc w:val="both"/>
        <w:rPr>
          <w:rFonts w:cstheme="minorHAnsi"/>
        </w:rPr>
      </w:pPr>
      <w:r w:rsidRPr="001A262D">
        <w:rPr>
          <w:rFonts w:cstheme="minorHAnsi"/>
        </w:rPr>
        <w:t>ekspozycje będą uwzględniać również prezentację życia codziennego chłopstwa np. we współpracy z grupami rekonstrukcyjnymi,</w:t>
      </w:r>
    </w:p>
    <w:p w14:paraId="078E4132" w14:textId="77777777" w:rsidR="001A262D" w:rsidRPr="001A262D" w:rsidRDefault="001A262D" w:rsidP="001A262D">
      <w:pPr>
        <w:pStyle w:val="Akapitzlist"/>
        <w:numPr>
          <w:ilvl w:val="1"/>
          <w:numId w:val="3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1U — „centrum edukacyjno-konferencyjne”</w:t>
      </w:r>
    </w:p>
    <w:p w14:paraId="7767DF0C" w14:textId="5D3325C9" w:rsidR="001A262D" w:rsidRPr="001A262D" w:rsidRDefault="001A262D" w:rsidP="001A262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 xml:space="preserve">miejsca noclegowe podwyższonej klasy turystycznej (klasyfikowane ***) z pełną infrastrukturą konferencyjną (budynek hotelowy lub pawilony), </w:t>
      </w:r>
    </w:p>
    <w:p w14:paraId="66E4BEED" w14:textId="0E3D6D62" w:rsidR="001A262D" w:rsidRPr="001A262D" w:rsidRDefault="001A262D" w:rsidP="001A262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cstheme="minorHAnsi"/>
        </w:rPr>
      </w:pPr>
      <w:r w:rsidRPr="001A262D">
        <w:rPr>
          <w:rFonts w:cstheme="minorHAnsi"/>
        </w:rPr>
        <w:t>„centrum” byłoby przeznaczone przede wszystkim dla uczniów szkół rolniczych, głównie, których organizatorem jest Ministerstwo Rolnictwa i Rozwoju Wsi;</w:t>
      </w:r>
    </w:p>
    <w:p w14:paraId="0096A64B" w14:textId="70CF7450" w:rsidR="001A262D" w:rsidRPr="001A262D" w:rsidRDefault="00C12233" w:rsidP="001A262D">
      <w:pPr>
        <w:spacing w:after="240"/>
        <w:jc w:val="both"/>
        <w:rPr>
          <w:rFonts w:cstheme="minorHAnsi"/>
        </w:rPr>
      </w:pPr>
      <w:r>
        <w:rPr>
          <w:rFonts w:cstheme="minorHAnsi"/>
        </w:rPr>
        <w:t>N</w:t>
      </w:r>
      <w:r w:rsidR="001A262D" w:rsidRPr="001A262D">
        <w:rPr>
          <w:rFonts w:cstheme="minorHAnsi"/>
        </w:rPr>
        <w:t>a nowych gruntach</w:t>
      </w:r>
      <w:r>
        <w:rPr>
          <w:rFonts w:cstheme="minorHAnsi"/>
        </w:rPr>
        <w:t xml:space="preserve"> należy zlokalizować</w:t>
      </w:r>
      <w:r w:rsidR="001A262D" w:rsidRPr="001A262D">
        <w:rPr>
          <w:rFonts w:cstheme="minorHAnsi"/>
        </w:rPr>
        <w:t xml:space="preserve"> pełn</w:t>
      </w:r>
      <w:r>
        <w:rPr>
          <w:rFonts w:cstheme="minorHAnsi"/>
        </w:rPr>
        <w:t xml:space="preserve">ą </w:t>
      </w:r>
      <w:r w:rsidR="001A262D" w:rsidRPr="001A262D">
        <w:rPr>
          <w:rFonts w:cstheme="minorHAnsi"/>
        </w:rPr>
        <w:t>infrastruktur</w:t>
      </w:r>
      <w:r>
        <w:rPr>
          <w:rFonts w:cstheme="minorHAnsi"/>
        </w:rPr>
        <w:t>ę</w:t>
      </w:r>
      <w:r w:rsidR="001A262D" w:rsidRPr="001A262D">
        <w:rPr>
          <w:rFonts w:cstheme="minorHAnsi"/>
        </w:rPr>
        <w:t xml:space="preserve"> służąc</w:t>
      </w:r>
      <w:r>
        <w:rPr>
          <w:rFonts w:cstheme="minorHAnsi"/>
        </w:rPr>
        <w:t xml:space="preserve">ą </w:t>
      </w:r>
      <w:r w:rsidR="001A262D" w:rsidRPr="001A262D">
        <w:rPr>
          <w:rFonts w:cstheme="minorHAnsi"/>
        </w:rPr>
        <w:t>obsłudze gości (np. punkty sprzedaży m.in. tradycyjnych produktów spożywczych, wydawnictw i pamiątek oraz punkty gastronomiczne, miejsca odpoczynku, sanitariaty, w pobliżu miejsca parkingowe etc.).</w:t>
      </w:r>
    </w:p>
    <w:p w14:paraId="0970AF76" w14:textId="6EA9BD25" w:rsidR="001A262D" w:rsidRPr="001A262D" w:rsidRDefault="001A262D" w:rsidP="001A262D">
      <w:pPr>
        <w:spacing w:after="240"/>
        <w:jc w:val="both"/>
        <w:rPr>
          <w:rFonts w:cstheme="minorHAnsi"/>
        </w:rPr>
      </w:pPr>
      <w:r w:rsidRPr="001A262D">
        <w:rPr>
          <w:rFonts w:cstheme="minorHAnsi"/>
        </w:rPr>
        <w:t xml:space="preserve">Pomiędzy 2U i 1U a terenami, które gmina przeznaczyła na usługi </w:t>
      </w:r>
      <w:proofErr w:type="spellStart"/>
      <w:r w:rsidRPr="001A262D">
        <w:rPr>
          <w:rFonts w:cstheme="minorHAnsi"/>
        </w:rPr>
        <w:t>turystyczno</w:t>
      </w:r>
      <w:proofErr w:type="spellEnd"/>
      <w:r w:rsidRPr="001A262D">
        <w:rPr>
          <w:rFonts w:cstheme="minorHAnsi"/>
        </w:rPr>
        <w:t xml:space="preserve">--sportowo-rekreacyjne nie powinno być jednoznacznych granic krajobrazowych. </w:t>
      </w:r>
    </w:p>
    <w:p w14:paraId="08DE3802" w14:textId="77777777" w:rsidR="001A262D" w:rsidRPr="001A262D" w:rsidRDefault="001A262D" w:rsidP="001A262D">
      <w:pPr>
        <w:spacing w:after="240"/>
        <w:jc w:val="both"/>
        <w:rPr>
          <w:rFonts w:cstheme="minorHAnsi"/>
        </w:rPr>
      </w:pPr>
    </w:p>
    <w:p w14:paraId="79DD6C6C" w14:textId="77777777" w:rsidR="001A262D" w:rsidRPr="001A262D" w:rsidRDefault="001A262D" w:rsidP="001A262D">
      <w:pPr>
        <w:spacing w:after="240"/>
        <w:jc w:val="both"/>
        <w:rPr>
          <w:rFonts w:cstheme="minorHAnsi"/>
        </w:rPr>
      </w:pPr>
    </w:p>
    <w:sectPr w:rsidR="001A262D" w:rsidRPr="001A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093"/>
    <w:multiLevelType w:val="hybridMultilevel"/>
    <w:tmpl w:val="A1420712"/>
    <w:lvl w:ilvl="0" w:tplc="71BA585C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3E62940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1631C8"/>
    <w:multiLevelType w:val="multilevel"/>
    <w:tmpl w:val="7C4AB81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</w:lvl>
  </w:abstractNum>
  <w:abstractNum w:abstractNumId="2" w15:restartNumberingAfterBreak="0">
    <w:nsid w:val="609E582C"/>
    <w:multiLevelType w:val="hybridMultilevel"/>
    <w:tmpl w:val="8998F5E4"/>
    <w:lvl w:ilvl="0" w:tplc="CCE065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45456"/>
    <w:multiLevelType w:val="hybridMultilevel"/>
    <w:tmpl w:val="4E7E947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60E4A8C"/>
    <w:multiLevelType w:val="hybridMultilevel"/>
    <w:tmpl w:val="61D242F0"/>
    <w:lvl w:ilvl="0" w:tplc="71BA585C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1877713">
    <w:abstractNumId w:val="2"/>
  </w:num>
  <w:num w:numId="2" w16cid:durableId="958101300">
    <w:abstractNumId w:val="3"/>
  </w:num>
  <w:num w:numId="3" w16cid:durableId="77223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02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828725">
    <w:abstractNumId w:val="4"/>
  </w:num>
  <w:num w:numId="6" w16cid:durableId="1189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3D"/>
    <w:rsid w:val="00066D0C"/>
    <w:rsid w:val="001A262D"/>
    <w:rsid w:val="00226CB5"/>
    <w:rsid w:val="002C615F"/>
    <w:rsid w:val="0068033D"/>
    <w:rsid w:val="00842E49"/>
    <w:rsid w:val="00955647"/>
    <w:rsid w:val="009B5A94"/>
    <w:rsid w:val="00C12233"/>
    <w:rsid w:val="00C41D9D"/>
    <w:rsid w:val="00E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E9B7"/>
  <w15:chartTrackingRefBased/>
  <w15:docId w15:val="{AF87B160-C026-4718-8063-8F650182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15F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Wilak</dc:creator>
  <cp:keywords/>
  <dc:description/>
  <cp:lastModifiedBy>Karolina Wilak</cp:lastModifiedBy>
  <cp:revision>5</cp:revision>
  <dcterms:created xsi:type="dcterms:W3CDTF">2024-02-07T13:48:00Z</dcterms:created>
  <dcterms:modified xsi:type="dcterms:W3CDTF">2024-02-16T12:25:00Z</dcterms:modified>
</cp:coreProperties>
</file>