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-21</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963C91">
        <w:rPr>
          <w:b/>
        </w:rPr>
        <w:t>wyrobów medycznych i niemedycznych – powtórka</w:t>
      </w:r>
      <w:r w:rsidR="00963C91" w:rsidRPr="006A74DE">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CC2B85">
        <w:t>2021/BZP 00338385/01</w:t>
      </w:r>
      <w:r w:rsidR="00915F9E">
        <w:t xml:space="preserve"> </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FA6ED8">
        <w:rPr>
          <w:bCs/>
          <w:color w:val="000000"/>
          <w:spacing w:val="-8"/>
        </w:rPr>
        <w:t>30.12.2021r.</w:t>
      </w:r>
    </w:p>
    <w:p w:rsidR="0048264B" w:rsidRPr="002D1BD0" w:rsidRDefault="0048264B" w:rsidP="00BD3D5A">
      <w:pPr>
        <w:spacing w:line="360" w:lineRule="auto"/>
        <w:jc w:val="both"/>
        <w:rPr>
          <w:bCs/>
          <w:color w:val="000000"/>
          <w:spacing w:val="-8"/>
        </w:rPr>
      </w:pPr>
    </w:p>
    <w:p w:rsidR="00BD3D5A" w:rsidRPr="0048264B" w:rsidRDefault="009A2B64" w:rsidP="0048264B">
      <w:pPr>
        <w:pStyle w:val="Nagwek3"/>
        <w:rPr>
          <w:spacing w:val="0"/>
        </w:rPr>
      </w:pPr>
      <w:r w:rsidRPr="0048264B">
        <w:t xml:space="preserve">Zmiana ogłoszenia </w:t>
      </w:r>
      <w:r w:rsidR="0048264B" w:rsidRPr="0048264B">
        <w:rPr>
          <w:rStyle w:val="normal"/>
          <w:bCs/>
        </w:rPr>
        <w:t xml:space="preserve">2022/BZP </w:t>
      </w:r>
      <w:r w:rsidR="004F346A">
        <w:rPr>
          <w:rStyle w:val="normal"/>
          <w:bCs/>
        </w:rPr>
        <w:t>00012219</w:t>
      </w:r>
      <w:r w:rsidR="0048264B" w:rsidRPr="0048264B">
        <w:rPr>
          <w:rStyle w:val="normal"/>
          <w:bCs/>
        </w:rPr>
        <w:t>/01</w:t>
      </w:r>
      <w:r w:rsidR="0048264B" w:rsidRPr="0048264B">
        <w:rPr>
          <w:rStyle w:val="normal"/>
          <w:b/>
          <w:bCs/>
        </w:rPr>
        <w:t xml:space="preserve"> </w:t>
      </w:r>
      <w:r w:rsidRPr="0048264B">
        <w:t>z dnia 10</w:t>
      </w:r>
      <w:r w:rsidR="004F346A">
        <w:t>1</w:t>
      </w:r>
      <w:r w:rsidRPr="0048264B">
        <w:t>01.2022r.</w:t>
      </w:r>
    </w:p>
    <w:p w:rsidR="00BD3D5A" w:rsidRPr="002D1BD0" w:rsidRDefault="00BD3D5A" w:rsidP="00BD3D5A">
      <w:pPr>
        <w:spacing w:line="360" w:lineRule="auto"/>
        <w:jc w:val="both"/>
        <w:rPr>
          <w:bCs/>
          <w:color w:val="000000"/>
          <w:spacing w:val="-8"/>
        </w:rPr>
      </w:pPr>
    </w:p>
    <w:p w:rsidR="00BD3D5A" w:rsidRPr="009A2B64" w:rsidRDefault="00BD3D5A" w:rsidP="00BD3D5A">
      <w:pPr>
        <w:spacing w:line="360" w:lineRule="auto"/>
        <w:jc w:val="both"/>
        <w:rPr>
          <w:bCs/>
          <w:color w:val="FF0000"/>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4F346A">
        <w:rPr>
          <w:b/>
          <w:bCs/>
          <w:color w:val="FF0000"/>
          <w:spacing w:val="-8"/>
        </w:rPr>
        <w:t>14</w:t>
      </w:r>
      <w:r w:rsidR="0032680F" w:rsidRPr="009A2B64">
        <w:rPr>
          <w:b/>
          <w:bCs/>
          <w:color w:val="FF0000"/>
          <w:spacing w:val="-8"/>
        </w:rPr>
        <w:t xml:space="preserve">.01.2022r. </w:t>
      </w:r>
      <w:r w:rsidR="009A2B64">
        <w:rPr>
          <w:b/>
          <w:bCs/>
          <w:color w:val="FF0000"/>
          <w:spacing w:val="-8"/>
        </w:rPr>
        <w:t>godz. 11</w:t>
      </w:r>
      <w:r w:rsidR="001D1962" w:rsidRPr="009A2B64">
        <w:rPr>
          <w:b/>
          <w:bCs/>
          <w:color w:val="FF0000"/>
          <w:spacing w:val="-8"/>
        </w:rPr>
        <w:t>:00</w:t>
      </w:r>
    </w:p>
    <w:p w:rsidR="00BD3D5A" w:rsidRPr="00F82E26" w:rsidRDefault="00BD3D5A" w:rsidP="00BD3D5A">
      <w:pPr>
        <w:spacing w:line="360" w:lineRule="auto"/>
        <w:jc w:val="both"/>
        <w:rPr>
          <w:bCs/>
          <w:spacing w:val="-8"/>
        </w:rPr>
      </w:pPr>
    </w:p>
    <w:p w:rsidR="00BD3D5A" w:rsidRPr="00F82E26" w:rsidRDefault="00BD3D5A" w:rsidP="00BD3D5A">
      <w:pPr>
        <w:spacing w:line="360" w:lineRule="auto"/>
        <w:jc w:val="both"/>
        <w:rPr>
          <w:bCs/>
          <w:spacing w:val="-8"/>
        </w:rPr>
      </w:pPr>
      <w:r w:rsidRPr="00F82E26">
        <w:rPr>
          <w:bCs/>
          <w:spacing w:val="-8"/>
        </w:rPr>
        <w:t>Termin otwarcia ofert</w:t>
      </w:r>
      <w:r w:rsidR="009D5082" w:rsidRPr="00F82E26">
        <w:rPr>
          <w:bCs/>
          <w:spacing w:val="-8"/>
        </w:rPr>
        <w:t xml:space="preserve"> </w:t>
      </w:r>
      <w:r w:rsidR="0032680F" w:rsidRPr="009A2B64">
        <w:rPr>
          <w:b/>
          <w:bCs/>
          <w:color w:val="FF0000"/>
          <w:spacing w:val="-8"/>
        </w:rPr>
        <w:t>1</w:t>
      </w:r>
      <w:r w:rsidR="004F346A">
        <w:rPr>
          <w:b/>
          <w:bCs/>
          <w:color w:val="FF0000"/>
          <w:spacing w:val="-8"/>
        </w:rPr>
        <w:t>4</w:t>
      </w:r>
      <w:r w:rsidR="0032680F" w:rsidRPr="009A2B64">
        <w:rPr>
          <w:b/>
          <w:bCs/>
          <w:color w:val="FF0000"/>
          <w:spacing w:val="-8"/>
        </w:rPr>
        <w:t xml:space="preserve">.01.2022r. </w:t>
      </w:r>
      <w:r w:rsidRPr="009A2B64">
        <w:rPr>
          <w:b/>
          <w:bCs/>
          <w:color w:val="FF0000"/>
          <w:spacing w:val="-8"/>
        </w:rPr>
        <w:t xml:space="preserve">godz. </w:t>
      </w:r>
      <w:r w:rsidR="00200615" w:rsidRPr="009A2B64">
        <w:rPr>
          <w:b/>
          <w:bCs/>
          <w:color w:val="FF0000"/>
          <w:spacing w:val="-8"/>
        </w:rPr>
        <w:t>1</w:t>
      </w:r>
      <w:r w:rsidR="009A2B64" w:rsidRPr="009A2B64">
        <w:rPr>
          <w:b/>
          <w:bCs/>
          <w:color w:val="FF0000"/>
          <w:spacing w:val="-8"/>
        </w:rPr>
        <w:t>1</w:t>
      </w:r>
      <w:r w:rsidR="001D1962" w:rsidRPr="009A2B64">
        <w:rPr>
          <w:b/>
          <w:bCs/>
          <w:color w:val="FF0000"/>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38589B">
      <w:pPr>
        <w:pStyle w:val="Nagwek2"/>
        <w:numPr>
          <w:ilvl w:val="0"/>
          <w:numId w:val="21"/>
        </w:numPr>
      </w:pPr>
      <w:r w:rsidRPr="00230DC3">
        <w:t>Komunikacja w postępowaniu</w:t>
      </w:r>
      <w:r w:rsidR="009F1BE2">
        <w:t>:</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7B7A">
      <w:pPr>
        <w:pStyle w:val="Nagwek2"/>
        <w:numPr>
          <w:ilvl w:val="0"/>
          <w:numId w:val="0"/>
        </w:numPr>
        <w:ind w:left="720"/>
        <w:jc w:val="both"/>
      </w:pPr>
      <w:r>
        <w:t xml:space="preserve">Zamawiający </w:t>
      </w:r>
      <w:r w:rsidR="008C77B9">
        <w:fldChar w:fldCharType="begin">
          <w:ffData>
            <w:name w:val="Wybór1"/>
            <w:enabled/>
            <w:calcOnExit w:val="0"/>
            <w:checkBox>
              <w:sizeAuto/>
              <w:default w:val="0"/>
              <w:checked w:val="0"/>
            </w:checkBox>
          </w:ffData>
        </w:fldChar>
      </w:r>
      <w:bookmarkStart w:id="4" w:name="Wybór1"/>
      <w:r>
        <w:instrText xml:space="preserve"> FORMCHECKBOX </w:instrText>
      </w:r>
      <w:r w:rsidR="008C77B9">
        <w:fldChar w:fldCharType="separate"/>
      </w:r>
      <w:r w:rsidR="008C77B9">
        <w:fldChar w:fldCharType="end"/>
      </w:r>
      <w:bookmarkEnd w:id="4"/>
      <w:r>
        <w:t xml:space="preserve"> wymaga /  </w:t>
      </w:r>
      <w:r w:rsidR="008C77B9">
        <w:fldChar w:fldCharType="begin">
          <w:ffData>
            <w:name w:val="Wybór2"/>
            <w:enabled/>
            <w:calcOnExit w:val="0"/>
            <w:checkBox>
              <w:sizeAuto/>
              <w:default w:val="0"/>
              <w:checked/>
            </w:checkBox>
          </w:ffData>
        </w:fldChar>
      </w:r>
      <w:bookmarkStart w:id="5" w:name="Wybór2"/>
      <w:r>
        <w:instrText xml:space="preserve"> FORMCHECKBOX </w:instrText>
      </w:r>
      <w:r w:rsidR="008C77B9">
        <w:fldChar w:fldCharType="separate"/>
      </w:r>
      <w:r w:rsidR="008C77B9">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2F2EA5">
        <w:rPr>
          <w:rFonts w:ascii="Times New Roman" w:hAnsi="Times New Roman"/>
          <w:b/>
          <w:sz w:val="24"/>
          <w:szCs w:val="24"/>
        </w:rPr>
        <w:t>Zakup i dostawa wyrobów medycznych i niemedycznych – powtórka:</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2F2EA5" w:rsidRDefault="00BD3D5A" w:rsidP="00BA24EB">
            <w:pPr>
              <w:pStyle w:val="Akapitzlist"/>
              <w:numPr>
                <w:ilvl w:val="0"/>
                <w:numId w:val="49"/>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2F2EA5" w:rsidRPr="002F2EA5">
              <w:rPr>
                <w:rFonts w:ascii="Times New Roman" w:hAnsi="Times New Roman"/>
                <w:color w:val="000000"/>
                <w:sz w:val="24"/>
                <w:szCs w:val="24"/>
              </w:rPr>
              <w:t>33141000-0 – Jednorazowe niechemiczne artykuły medyczne i hematologiczne</w:t>
            </w:r>
            <w:r w:rsidR="002F2EA5">
              <w:rPr>
                <w:rFonts w:ascii="Times New Roman" w:hAnsi="Times New Roman"/>
                <w:color w:val="000000"/>
                <w:sz w:val="24"/>
                <w:szCs w:val="24"/>
              </w:rPr>
              <w:t>.</w:t>
            </w:r>
          </w:p>
          <w:p w:rsidR="0039385A" w:rsidRPr="002F2EA5" w:rsidRDefault="002F2EA5" w:rsidP="00BA24EB">
            <w:pPr>
              <w:pStyle w:val="Akapitzlist"/>
              <w:numPr>
                <w:ilvl w:val="0"/>
                <w:numId w:val="49"/>
              </w:numPr>
              <w:spacing w:after="60"/>
              <w:jc w:val="both"/>
              <w:rPr>
                <w:rFonts w:ascii="Times New Roman" w:hAnsi="Times New Roman"/>
                <w:sz w:val="24"/>
                <w:szCs w:val="24"/>
              </w:rPr>
            </w:pPr>
            <w:r>
              <w:rPr>
                <w:rFonts w:ascii="Times New Roman" w:hAnsi="Times New Roman"/>
                <w:color w:val="000000"/>
                <w:sz w:val="24"/>
                <w:szCs w:val="24"/>
              </w:rPr>
              <w:t>„</w:t>
            </w:r>
            <w:r w:rsidRPr="002F2EA5">
              <w:rPr>
                <w:rFonts w:ascii="Times New Roman" w:hAnsi="Times New Roman"/>
                <w:b/>
                <w:sz w:val="24"/>
                <w:szCs w:val="24"/>
              </w:rPr>
              <w:t>Zakup i dostawa wyrobów medycznych i niemedycznych – powtórka</w:t>
            </w:r>
            <w:r>
              <w:rPr>
                <w:rFonts w:ascii="Times New Roman" w:hAnsi="Times New Roman"/>
                <w:b/>
                <w:sz w:val="24"/>
                <w:szCs w:val="24"/>
              </w:rPr>
              <w:t xml:space="preserve">” </w:t>
            </w:r>
            <w:r w:rsidRPr="002F2EA5">
              <w:rPr>
                <w:rFonts w:ascii="Times New Roman" w:hAnsi="Times New Roman"/>
                <w:sz w:val="24"/>
                <w:szCs w:val="24"/>
              </w:rPr>
              <w:t xml:space="preserve">zgrupowanych w 12 pakietach: </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1 – Materiały zużywalne</w:t>
            </w:r>
            <w:r w:rsidR="00943325">
              <w:rPr>
                <w:rFonts w:ascii="Times New Roman" w:hAnsi="Times New Roman"/>
                <w:sz w:val="24"/>
                <w:szCs w:val="24"/>
              </w:rPr>
              <w:t xml:space="preserve"> – </w:t>
            </w:r>
            <w:r w:rsidRPr="002F2EA5">
              <w:rPr>
                <w:rFonts w:ascii="Times New Roman" w:hAnsi="Times New Roman"/>
                <w:sz w:val="24"/>
                <w:szCs w:val="24"/>
              </w:rPr>
              <w:t>diagnostyka – papier,</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2 – Siatki i taśmy ginekologiczne, worek do laparoskopii,</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3 – Wkładki douszne do termometru </w:t>
            </w:r>
            <w:proofErr w:type="spellStart"/>
            <w:r w:rsidRPr="002F2EA5">
              <w:rPr>
                <w:rFonts w:ascii="Times New Roman" w:hAnsi="Times New Roman"/>
                <w:sz w:val="24"/>
                <w:szCs w:val="24"/>
              </w:rPr>
              <w:t>Theromoscan</w:t>
            </w:r>
            <w:proofErr w:type="spellEnd"/>
            <w:r w:rsidRPr="002F2EA5">
              <w:rPr>
                <w:rFonts w:ascii="Times New Roman" w:hAnsi="Times New Roman"/>
                <w:sz w:val="24"/>
                <w:szCs w:val="24"/>
              </w:rPr>
              <w:t xml:space="preserve"> PRO 6000,</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4 – Żel do EEG,</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5 – Zestaw do pomiaru ciśnienia (końcówka typu UTAH),</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6 – Elementy do urządzeń medycznych,</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7 – Asortyment do kontenerów firmy Braun,</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8 – Czepki chirurgiczne + ochraniacze, </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9 – Materiały zużywalne 2,</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10 – Zestaw do monitorowania ciśnienia </w:t>
            </w:r>
            <w:proofErr w:type="spellStart"/>
            <w:r w:rsidRPr="002F2EA5">
              <w:rPr>
                <w:rFonts w:ascii="Times New Roman" w:hAnsi="Times New Roman"/>
                <w:sz w:val="24"/>
                <w:szCs w:val="24"/>
              </w:rPr>
              <w:t>śródbrzusznego</w:t>
            </w:r>
            <w:proofErr w:type="spellEnd"/>
            <w:r w:rsidRPr="002F2EA5">
              <w:rPr>
                <w:rFonts w:ascii="Times New Roman" w:hAnsi="Times New Roman"/>
                <w:sz w:val="24"/>
                <w:szCs w:val="24"/>
              </w:rPr>
              <w:t>,</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11 – Zestaw do nadłonowego drenażu pęcherza moczowego,</w:t>
            </w:r>
          </w:p>
          <w:p w:rsidR="0039385A"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12 – Akcesoria jednorazowe do AIRVO 2</w:t>
            </w:r>
            <w:r>
              <w:rPr>
                <w:rFonts w:ascii="Times New Roman" w:hAnsi="Times New Roman"/>
                <w:sz w:val="24"/>
                <w:szCs w:val="24"/>
              </w:rPr>
              <w:t>,</w:t>
            </w:r>
          </w:p>
          <w:p w:rsidR="002F2EA5" w:rsidRPr="002F2EA5" w:rsidRDefault="002F2EA5" w:rsidP="002F2EA5">
            <w:pPr>
              <w:spacing w:line="276" w:lineRule="auto"/>
              <w:ind w:left="360"/>
              <w:jc w:val="both"/>
            </w:pPr>
            <w:r w:rsidRPr="00B71A9A">
              <w:t>w szacowanej ilości, asortymencie i o parametr</w:t>
            </w:r>
            <w:r>
              <w:t xml:space="preserve">ach określonych w </w:t>
            </w:r>
            <w:r w:rsidRPr="006449A3">
              <w:rPr>
                <w:b/>
              </w:rPr>
              <w:t>Załączniku nr</w:t>
            </w:r>
            <w:r>
              <w:rPr>
                <w:b/>
              </w:rPr>
              <w:t xml:space="preserve"> 3</w:t>
            </w:r>
            <w:r>
              <w:t xml:space="preserve"> do S</w:t>
            </w:r>
            <w:r w:rsidRPr="00B71A9A">
              <w:t xml:space="preserve">WZ </w:t>
            </w:r>
            <w:r>
              <w:t>–</w:t>
            </w:r>
            <w:r w:rsidRPr="00B71A9A">
              <w:t xml:space="preserve"> </w:t>
            </w:r>
            <w:r>
              <w:t>opis przedmiotu zamówienia.</w:t>
            </w:r>
          </w:p>
          <w:p w:rsidR="002F2EA5" w:rsidRPr="002F2EA5" w:rsidRDefault="002F2EA5" w:rsidP="00BA24EB">
            <w:pPr>
              <w:pStyle w:val="Akapitzlist"/>
              <w:numPr>
                <w:ilvl w:val="0"/>
                <w:numId w:val="49"/>
              </w:numPr>
              <w:jc w:val="both"/>
              <w:rPr>
                <w:rFonts w:ascii="Times New Roman" w:hAnsi="Times New Roman"/>
                <w:sz w:val="24"/>
                <w:szCs w:val="24"/>
              </w:rPr>
            </w:pPr>
            <w:r w:rsidRPr="002F2EA5">
              <w:rPr>
                <w:rFonts w:ascii="Times New Roman" w:hAnsi="Times New Roman"/>
                <w:sz w:val="24"/>
                <w:szCs w:val="24"/>
              </w:rPr>
              <w:t xml:space="preserve">Szczegółowy opis przedmiotu zamówienia oraz warunki wykonania przedmiotu zamówienia zawiera </w:t>
            </w:r>
            <w:r w:rsidRPr="002F2EA5">
              <w:rPr>
                <w:rFonts w:ascii="Times New Roman" w:hAnsi="Times New Roman"/>
                <w:b/>
                <w:sz w:val="24"/>
                <w:szCs w:val="24"/>
              </w:rPr>
              <w:t xml:space="preserve">Załącznik nr 3 </w:t>
            </w:r>
            <w:r w:rsidRPr="002F2EA5">
              <w:rPr>
                <w:rFonts w:ascii="Times New Roman" w:hAnsi="Times New Roman"/>
                <w:sz w:val="24"/>
                <w:szCs w:val="24"/>
              </w:rPr>
              <w:t>do SWZ – opis przedmiotu zamówienia.</w:t>
            </w:r>
          </w:p>
          <w:p w:rsidR="002F2EA5" w:rsidRDefault="002F2EA5" w:rsidP="00BA24EB">
            <w:pPr>
              <w:pStyle w:val="Akapitzlist"/>
              <w:numPr>
                <w:ilvl w:val="0"/>
                <w:numId w:val="49"/>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Oferowany przedmiot zamówienia musi posiadać dokumenty dopuszczające do obrotu i używania zgodnie z Ustawą z dnia 20 maja 2010 r. o wyrobach medycznych</w:t>
            </w:r>
            <w:r w:rsidR="009F1BE2">
              <w:rPr>
                <w:rFonts w:ascii="Times New Roman" w:hAnsi="Times New Roman"/>
                <w:sz w:val="24"/>
                <w:szCs w:val="24"/>
              </w:rPr>
              <w:t xml:space="preserve"> (Dz. U. z 2021 r. poz. 1565 z późn. zm.) </w:t>
            </w:r>
            <w:r w:rsidRPr="003F7A0D">
              <w:rPr>
                <w:rFonts w:ascii="Times New Roman" w:hAnsi="Times New Roman"/>
                <w:sz w:val="24"/>
                <w:szCs w:val="24"/>
              </w:rPr>
              <w:t xml:space="preserve"> – z wyjątkiem asortymentu, który nie jest zarejestrowany jako wyrób medyczny.</w:t>
            </w:r>
          </w:p>
          <w:p w:rsidR="002F2EA5" w:rsidRPr="003F7A0D" w:rsidRDefault="002F2EA5" w:rsidP="00BA24EB">
            <w:pPr>
              <w:pStyle w:val="Tekstpodstawowywcity"/>
              <w:numPr>
                <w:ilvl w:val="0"/>
                <w:numId w:val="49"/>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2F2EA5" w:rsidRPr="007814C5" w:rsidRDefault="002F2EA5" w:rsidP="00BA24EB">
            <w:pPr>
              <w:pStyle w:val="Tekstpodstawowywcity"/>
              <w:numPr>
                <w:ilvl w:val="0"/>
                <w:numId w:val="49"/>
              </w:numPr>
              <w:tabs>
                <w:tab w:val="left" w:pos="0"/>
              </w:tabs>
              <w:spacing w:after="0"/>
              <w:jc w:val="both"/>
              <w:rPr>
                <w:b/>
                <w:spacing w:val="2"/>
              </w:rPr>
            </w:pPr>
            <w:r w:rsidRPr="007814C5">
              <w:t xml:space="preserve">Przedmiot zamówienia określony jako sterylny musi mieć, co najmniej </w:t>
            </w:r>
            <w:r w:rsidRPr="007814C5">
              <w:rPr>
                <w:b/>
              </w:rPr>
              <w:t>12 miesięczny okres ważności</w:t>
            </w:r>
            <w:r w:rsidRPr="007814C5">
              <w:t xml:space="preserve"> licząc od momentu ich dostarc</w:t>
            </w:r>
            <w:r w:rsidR="00D604AE" w:rsidRPr="007814C5">
              <w:t>zenia do siedziby Zamawiającego.</w:t>
            </w:r>
          </w:p>
          <w:p w:rsidR="002F2EA5" w:rsidRPr="007814C5" w:rsidRDefault="002F2EA5" w:rsidP="00BA24EB">
            <w:pPr>
              <w:pStyle w:val="Tekstpodstawowywcity"/>
              <w:numPr>
                <w:ilvl w:val="0"/>
                <w:numId w:val="49"/>
              </w:numPr>
              <w:tabs>
                <w:tab w:val="left" w:pos="0"/>
              </w:tabs>
              <w:spacing w:after="0"/>
              <w:jc w:val="both"/>
              <w:rPr>
                <w:spacing w:val="2"/>
              </w:rPr>
            </w:pPr>
            <w:r w:rsidRPr="007814C5">
              <w:rPr>
                <w:spacing w:val="2"/>
              </w:rPr>
              <w:t>Zamawiający zastrzega możliwość żądania próbek.</w:t>
            </w:r>
          </w:p>
          <w:p w:rsidR="002F2EA5" w:rsidRPr="00B71A9A" w:rsidRDefault="002F2EA5" w:rsidP="00BA24EB">
            <w:pPr>
              <w:pStyle w:val="Tekstpodstawowywcity"/>
              <w:numPr>
                <w:ilvl w:val="0"/>
                <w:numId w:val="49"/>
              </w:numPr>
              <w:tabs>
                <w:tab w:val="left" w:pos="0"/>
              </w:tabs>
              <w:spacing w:after="0"/>
              <w:jc w:val="both"/>
              <w:rPr>
                <w:b/>
                <w:spacing w:val="2"/>
              </w:rPr>
            </w:pPr>
            <w:r w:rsidRPr="007814C5">
              <w:rPr>
                <w:spacing w:val="2"/>
              </w:rPr>
              <w:t>Dostawy będą realizowane sukcesywnie zgodnie</w:t>
            </w:r>
            <w:r w:rsidRPr="00B71A9A">
              <w:rPr>
                <w:spacing w:val="2"/>
              </w:rPr>
              <w:t xml:space="preserv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2F2EA5" w:rsidRPr="003F7A0D" w:rsidRDefault="002F2EA5" w:rsidP="00BA24EB">
            <w:pPr>
              <w:pStyle w:val="Tekstpodstawowywcity"/>
              <w:numPr>
                <w:ilvl w:val="0"/>
                <w:numId w:val="49"/>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2F2EA5" w:rsidRPr="00D604AE" w:rsidRDefault="002F2EA5" w:rsidP="00BA24EB">
            <w:pPr>
              <w:numPr>
                <w:ilvl w:val="0"/>
                <w:numId w:val="49"/>
              </w:numPr>
              <w:tabs>
                <w:tab w:val="left" w:pos="0"/>
              </w:tabs>
              <w:spacing w:after="100"/>
              <w:jc w:val="both"/>
              <w:rPr>
                <w:color w:val="000000"/>
              </w:rPr>
            </w:pPr>
            <w:r w:rsidRPr="00B71A9A">
              <w:t>Termi</w:t>
            </w:r>
            <w:r>
              <w:t>n płatności należności za dostawę wynosi</w:t>
            </w:r>
            <w:r w:rsidRPr="00B71A9A">
              <w:t xml:space="preserve"> 60 dni od dostarczenia faktury VAT (wraz z towarem) do siedziby Zamawiającego.</w:t>
            </w: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D604AE">
      <w:pPr>
        <w:pStyle w:val="Nagwek2"/>
        <w:numPr>
          <w:ilvl w:val="0"/>
          <w:numId w:val="19"/>
        </w:numPr>
        <w:jc w:val="both"/>
      </w:pPr>
      <w:r w:rsidRPr="00D91376">
        <w:t>Zamawiający</w:t>
      </w:r>
      <w:r w:rsidR="00D604AE">
        <w:t xml:space="preserve"> </w:t>
      </w:r>
      <w:r w:rsidR="00D604AE" w:rsidRPr="00751E37">
        <w:t xml:space="preserve">dopuszcza składnie ofert częściowych. Ofertę można złożyć w odniesieniu do jednego lub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D604AE">
      <w:pPr>
        <w:pStyle w:val="Nagwek2"/>
        <w:numPr>
          <w:ilvl w:val="0"/>
          <w:numId w:val="19"/>
        </w:numPr>
        <w:jc w:val="both"/>
      </w:pPr>
      <w:r w:rsidRPr="00751E37">
        <w:t xml:space="preserve">W przypadku użycia w SWZ oraz jego załącznikach, opisie przedmiotu zamówienia znaków towarowych, patentów lub pochodzenia, źródła lub szczególnego procesu, który </w:t>
      </w:r>
      <w:r w:rsidRPr="00751E37">
        <w:lastRenderedPageBreak/>
        <w:t>charakteryzuje produkty lub usługi dostarczane przez konkretnego wykonawcę, zamawiający dopuszcza rozwiązania równoważne zgodnie z art. 99 ust. 5 Ustawy Pzp.</w:t>
      </w:r>
    </w:p>
    <w:p w:rsidR="00BD3D5A" w:rsidRPr="00751E37" w:rsidRDefault="00BD3D5A" w:rsidP="00D604AE">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837172">
        <w:rPr>
          <w:b/>
        </w:rPr>
        <w:t>6</w:t>
      </w:r>
      <w:r w:rsidRPr="002E05A6">
        <w:rPr>
          <w:b/>
          <w:color w:val="FF0000"/>
        </w:rPr>
        <w:t xml:space="preserve"> </w:t>
      </w:r>
      <w:r w:rsidRPr="00751E37">
        <w:t>do SWZ.</w:t>
      </w:r>
    </w:p>
    <w:p w:rsidR="00BD3D5A" w:rsidRPr="00751E37" w:rsidRDefault="00BD3D5A" w:rsidP="00D604AE">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560797">
        <w:rPr>
          <w:rFonts w:eastAsia="Garamond"/>
          <w:b/>
          <w:szCs w:val="24"/>
        </w:rPr>
        <w:t>1</w:t>
      </w:r>
      <w:r w:rsidR="00D604AE">
        <w:rPr>
          <w:rFonts w:eastAsia="Garamond"/>
          <w:b/>
          <w:szCs w:val="24"/>
        </w:rPr>
        <w:t>8</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38589B">
      <w:pPr>
        <w:pStyle w:val="Nagwek2"/>
        <w:numPr>
          <w:ilvl w:val="0"/>
          <w:numId w:val="22"/>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D604AE" w:rsidRPr="00B31986" w:rsidRDefault="00D604AE" w:rsidP="00D604AE">
      <w:pPr>
        <w:pStyle w:val="Nagwek2"/>
        <w:numPr>
          <w:ilvl w:val="0"/>
          <w:numId w:val="22"/>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D604AE" w:rsidRPr="00361F40" w:rsidRDefault="00D604AE" w:rsidP="000A72DC">
      <w:pPr>
        <w:pStyle w:val="Akapitzlist"/>
        <w:numPr>
          <w:ilvl w:val="2"/>
          <w:numId w:val="55"/>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D604AE" w:rsidRPr="00361F40" w:rsidRDefault="00D604AE" w:rsidP="00BA24EB">
      <w:pPr>
        <w:numPr>
          <w:ilvl w:val="2"/>
          <w:numId w:val="55"/>
        </w:numPr>
        <w:spacing w:line="259" w:lineRule="auto"/>
        <w:contextualSpacing/>
        <w:jc w:val="both"/>
        <w:rPr>
          <w:rFonts w:eastAsia="Calibri"/>
        </w:rPr>
      </w:pPr>
      <w:r w:rsidRPr="00361F40">
        <w:rPr>
          <w:rFonts w:eastAsia="Calibri"/>
        </w:rPr>
        <w:t>kompetencji lub uprawnień do prowadzenia określonej działalności zawodowej;</w:t>
      </w:r>
    </w:p>
    <w:p w:rsidR="00D604AE" w:rsidRPr="00361F40" w:rsidRDefault="00D604AE" w:rsidP="00BA24EB">
      <w:pPr>
        <w:numPr>
          <w:ilvl w:val="2"/>
          <w:numId w:val="55"/>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D604AE" w:rsidRPr="00D604AE" w:rsidRDefault="00D604AE" w:rsidP="00BA24EB">
      <w:pPr>
        <w:numPr>
          <w:ilvl w:val="2"/>
          <w:numId w:val="55"/>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BD3D5A" w:rsidRPr="008F7B5E" w:rsidRDefault="007636F2" w:rsidP="0038589B">
      <w:pPr>
        <w:pStyle w:val="Nagwek2"/>
        <w:numPr>
          <w:ilvl w:val="0"/>
          <w:numId w:val="25"/>
        </w:numPr>
        <w:jc w:val="both"/>
      </w:pPr>
      <w:r>
        <w:t>Z</w:t>
      </w:r>
      <w:r w:rsidR="00BD3D5A" w:rsidRPr="008F7B5E">
        <w:t>amawiający wykluczy z postępowania o udzielenie zamówienia Wykonawcę, wobec którego zachodzą podstawy wykluczenia, o których mowa w art. 108 ust. 1 ustawy Pzp.</w:t>
      </w:r>
    </w:p>
    <w:p w:rsidR="00BD3D5A" w:rsidRPr="008F7B5E" w:rsidRDefault="00BD3D5A" w:rsidP="0038589B">
      <w:pPr>
        <w:pStyle w:val="Nagwek2"/>
        <w:numPr>
          <w:ilvl w:val="0"/>
          <w:numId w:val="25"/>
        </w:numPr>
        <w:jc w:val="both"/>
      </w:pPr>
      <w:r w:rsidRPr="008F7B5E">
        <w:t>Wykluczenie Wykonawcy nastąpi w przypadkach, o których mowa w art. 111 ustawy Pzp.</w:t>
      </w:r>
    </w:p>
    <w:p w:rsidR="00BD3D5A" w:rsidRPr="008F7B5E" w:rsidRDefault="00BD3D5A" w:rsidP="0038589B">
      <w:pPr>
        <w:pStyle w:val="Nagwek2"/>
        <w:numPr>
          <w:ilvl w:val="0"/>
          <w:numId w:val="25"/>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38589B">
      <w:pPr>
        <w:pStyle w:val="Nagwek2"/>
        <w:numPr>
          <w:ilvl w:val="0"/>
          <w:numId w:val="25"/>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38589B">
      <w:pPr>
        <w:pStyle w:val="Nagwek2"/>
        <w:numPr>
          <w:ilvl w:val="0"/>
          <w:numId w:val="25"/>
        </w:numPr>
        <w:jc w:val="both"/>
      </w:pPr>
      <w:r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38589B">
      <w:pPr>
        <w:pStyle w:val="Nagwek2"/>
        <w:numPr>
          <w:ilvl w:val="0"/>
          <w:numId w:val="26"/>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lastRenderedPageBreak/>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8589B">
      <w:pPr>
        <w:pStyle w:val="Nagwek2"/>
        <w:numPr>
          <w:ilvl w:val="0"/>
          <w:numId w:val="26"/>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9F1BE2">
      <w:pPr>
        <w:pStyle w:val="Nagwek2"/>
        <w:numPr>
          <w:ilvl w:val="1"/>
          <w:numId w:val="22"/>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F33A8E" w:rsidP="0038589B">
      <w:pPr>
        <w:pStyle w:val="Nagwek2"/>
        <w:numPr>
          <w:ilvl w:val="1"/>
          <w:numId w:val="22"/>
        </w:numPr>
        <w:jc w:val="both"/>
      </w:pPr>
      <w:r>
        <w:lastRenderedPageBreak/>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B01D02" w:rsidRPr="00767E19" w:rsidRDefault="00D604AE" w:rsidP="009F1BE2">
            <w:pPr>
              <w:jc w:val="both"/>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 xml:space="preserve">r. o wyrobach medycznych </w:t>
            </w:r>
            <w:r w:rsidR="009F1BE2">
              <w:t>(Dz. U. z 2021 r. poz. 1565 z późn. zm.))</w:t>
            </w:r>
            <w:r w:rsidR="00DF6A94">
              <w:t xml:space="preserve"> </w:t>
            </w:r>
            <w:r>
              <w:t xml:space="preserve">– </w:t>
            </w:r>
            <w:r w:rsidR="00837172">
              <w:rPr>
                <w:b/>
              </w:rPr>
              <w:t>załącznik nr 5</w:t>
            </w:r>
            <w:r w:rsidRPr="002B07B1">
              <w:rPr>
                <w:b/>
              </w:rPr>
              <w:t>.</w:t>
            </w:r>
          </w:p>
        </w:tc>
      </w:tr>
    </w:tbl>
    <w:p w:rsidR="00B01D02" w:rsidRDefault="00B01D02" w:rsidP="00B01D02">
      <w:pPr>
        <w:pStyle w:val="Nagwek2"/>
        <w:numPr>
          <w:ilvl w:val="0"/>
          <w:numId w:val="0"/>
        </w:numPr>
        <w:jc w:val="both"/>
      </w:pPr>
    </w:p>
    <w:p w:rsidR="0042367B" w:rsidRDefault="0042367B" w:rsidP="0038589B">
      <w:pPr>
        <w:pStyle w:val="Nagwek2"/>
        <w:numPr>
          <w:ilvl w:val="0"/>
          <w:numId w:val="22"/>
        </w:numPr>
        <w:jc w:val="both"/>
      </w:pPr>
      <w:r>
        <w:t>Jeżeli przedstawione dokumenty są w języku obcym wymagane jest tłumaczenie na język polski.</w:t>
      </w:r>
    </w:p>
    <w:p w:rsidR="00A55F01" w:rsidRPr="00885ADD" w:rsidRDefault="00A55F01" w:rsidP="0038589B">
      <w:pPr>
        <w:pStyle w:val="Nagwek2"/>
        <w:numPr>
          <w:ilvl w:val="0"/>
          <w:numId w:val="22"/>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8589B">
      <w:pPr>
        <w:pStyle w:val="Nagwek2"/>
        <w:numPr>
          <w:ilvl w:val="0"/>
          <w:numId w:val="22"/>
        </w:numPr>
        <w:jc w:val="both"/>
      </w:pPr>
      <w:r>
        <w:t>Zamawiający może żądać od Wykonawców w</w:t>
      </w:r>
      <w:r w:rsidR="00361F40">
        <w:t>yjaśnień dotyczących treści po</w:t>
      </w:r>
      <w:r>
        <w:t>dmiotowych środków dowodowych.</w:t>
      </w:r>
    </w:p>
    <w:p w:rsidR="00BD3D5A" w:rsidRDefault="00BD3D5A" w:rsidP="0038589B">
      <w:pPr>
        <w:pStyle w:val="Nagwek2"/>
        <w:numPr>
          <w:ilvl w:val="0"/>
          <w:numId w:val="22"/>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8589B">
      <w:pPr>
        <w:pStyle w:val="Nagwek2"/>
        <w:numPr>
          <w:ilvl w:val="0"/>
          <w:numId w:val="22"/>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8589B">
      <w:pPr>
        <w:pStyle w:val="Nagwek2"/>
        <w:numPr>
          <w:ilvl w:val="0"/>
          <w:numId w:val="22"/>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8589B">
      <w:pPr>
        <w:pStyle w:val="Nagwek2"/>
        <w:numPr>
          <w:ilvl w:val="0"/>
          <w:numId w:val="22"/>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38589B">
      <w:pPr>
        <w:pStyle w:val="Nagwek2"/>
        <w:numPr>
          <w:ilvl w:val="0"/>
          <w:numId w:val="27"/>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8589B">
      <w:pPr>
        <w:pStyle w:val="Nagwek2"/>
        <w:numPr>
          <w:ilvl w:val="0"/>
          <w:numId w:val="27"/>
        </w:numPr>
        <w:jc w:val="both"/>
      </w:pPr>
      <w:r>
        <w:t>Wykonawca, który polega na zdolnościach lub sytuacji podmiotów udostępniających zasoby, zobowiązany jest:</w:t>
      </w:r>
    </w:p>
    <w:p w:rsidR="00BD3D5A" w:rsidRDefault="00B93D4A" w:rsidP="0038589B">
      <w:pPr>
        <w:pStyle w:val="Nagwek2"/>
        <w:numPr>
          <w:ilvl w:val="0"/>
          <w:numId w:val="28"/>
        </w:numPr>
        <w:jc w:val="both"/>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D3D5A">
        <w:lastRenderedPageBreak/>
        <w:t>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8589B">
      <w:pPr>
        <w:pStyle w:val="Nagwek2"/>
        <w:numPr>
          <w:ilvl w:val="0"/>
          <w:numId w:val="29"/>
        </w:numPr>
        <w:jc w:val="both"/>
      </w:pPr>
      <w:r>
        <w:t>zakres dostępnych Wykonawcy zasobów podmiotu udostępniającego zasoby;</w:t>
      </w:r>
    </w:p>
    <w:p w:rsidR="00BD3D5A" w:rsidRDefault="00D419C2" w:rsidP="0038589B">
      <w:pPr>
        <w:pStyle w:val="Nagwek2"/>
        <w:numPr>
          <w:ilvl w:val="0"/>
          <w:numId w:val="29"/>
        </w:numPr>
        <w:jc w:val="both"/>
      </w:pPr>
      <w:r>
        <w:t>s</w:t>
      </w:r>
      <w:r w:rsidR="00BD3D5A">
        <w:t>posób i okres udostępnienia Wykonawcy i wykorzystania przez niego zasobów podmiotu udostępniającego te zasoby przy wykonywaniu zamówienia;</w:t>
      </w:r>
    </w:p>
    <w:p w:rsidR="00BD3D5A" w:rsidRDefault="00BD3D5A" w:rsidP="0038589B">
      <w:pPr>
        <w:pStyle w:val="Nagwek2"/>
        <w:numPr>
          <w:ilvl w:val="0"/>
          <w:numId w:val="29"/>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8589B">
      <w:pPr>
        <w:pStyle w:val="Nagwek2"/>
        <w:numPr>
          <w:ilvl w:val="0"/>
          <w:numId w:val="28"/>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8589B">
      <w:pPr>
        <w:pStyle w:val="Nagwek2"/>
        <w:numPr>
          <w:ilvl w:val="0"/>
          <w:numId w:val="27"/>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38589B">
      <w:pPr>
        <w:pStyle w:val="Nagwek2"/>
        <w:numPr>
          <w:ilvl w:val="0"/>
          <w:numId w:val="27"/>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38589B">
      <w:pPr>
        <w:pStyle w:val="Nagwek2"/>
        <w:numPr>
          <w:ilvl w:val="0"/>
          <w:numId w:val="30"/>
        </w:numPr>
        <w:jc w:val="both"/>
      </w:pPr>
      <w:r>
        <w:t xml:space="preserve">Wykonawca może powierzyć wykonanie części zamówienia Podwykonawcom. </w:t>
      </w:r>
    </w:p>
    <w:p w:rsidR="00BD3D5A" w:rsidRDefault="00BD3D5A" w:rsidP="0038589B">
      <w:pPr>
        <w:pStyle w:val="Nagwek2"/>
        <w:numPr>
          <w:ilvl w:val="0"/>
          <w:numId w:val="30"/>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8589B">
      <w:pPr>
        <w:pStyle w:val="Nagwek2"/>
        <w:numPr>
          <w:ilvl w:val="0"/>
          <w:numId w:val="30"/>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8589B">
      <w:pPr>
        <w:pStyle w:val="Nagwek2"/>
        <w:numPr>
          <w:ilvl w:val="0"/>
          <w:numId w:val="30"/>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38589B">
      <w:pPr>
        <w:pStyle w:val="Nagwek2"/>
        <w:numPr>
          <w:ilvl w:val="0"/>
          <w:numId w:val="32"/>
        </w:numPr>
        <w:jc w:val="both"/>
      </w:pPr>
      <w:r>
        <w:t xml:space="preserve">Wykonawcy mogą wspólnie ubiegać się o udzielenie zamówienia. W takim przypadku Wykonawcy zobowiązani są do ustanowienia pełnomocnika do reprezentowania ich w </w:t>
      </w:r>
      <w:r>
        <w:lastRenderedPageBreak/>
        <w:t>postępowaniu o udzielenie zamówienia albo do reprezentowania w postępowaniu i zawarcia umowy w sprawie zamówienia publicznego.</w:t>
      </w:r>
    </w:p>
    <w:p w:rsidR="00BD3D5A" w:rsidRDefault="00BD3D5A" w:rsidP="0038589B">
      <w:pPr>
        <w:pStyle w:val="Nagwek2"/>
        <w:numPr>
          <w:ilvl w:val="0"/>
          <w:numId w:val="32"/>
        </w:numPr>
        <w:jc w:val="both"/>
      </w:pPr>
      <w:r>
        <w:t>Pełnomocnictwo należy dołączyć do oferty i powinno ono zawierać w szczególności wskazanie:</w:t>
      </w:r>
    </w:p>
    <w:p w:rsidR="00BD3D5A" w:rsidRDefault="00BD3D5A" w:rsidP="0038589B">
      <w:pPr>
        <w:pStyle w:val="Nagwek2"/>
        <w:numPr>
          <w:ilvl w:val="0"/>
          <w:numId w:val="23"/>
        </w:numPr>
        <w:jc w:val="both"/>
      </w:pPr>
      <w:r>
        <w:t>postępowania o udzielenie zamówienie publicznego, którego dotyczy;</w:t>
      </w:r>
    </w:p>
    <w:p w:rsidR="00BD3D5A" w:rsidRDefault="00BD3D5A" w:rsidP="0038589B">
      <w:pPr>
        <w:pStyle w:val="Nagwek2"/>
        <w:numPr>
          <w:ilvl w:val="0"/>
          <w:numId w:val="23"/>
        </w:numPr>
        <w:jc w:val="both"/>
      </w:pPr>
      <w:r>
        <w:t>wszystkich Wykonawców ubiegających się wspólnie o udzielenie zamówienia;</w:t>
      </w:r>
    </w:p>
    <w:p w:rsidR="00221E25" w:rsidRDefault="00BD3D5A" w:rsidP="00D604AE">
      <w:pPr>
        <w:pStyle w:val="Nagwek2"/>
        <w:numPr>
          <w:ilvl w:val="0"/>
          <w:numId w:val="23"/>
        </w:numPr>
        <w:jc w:val="both"/>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38589B">
      <w:pPr>
        <w:pStyle w:val="Nagwek2"/>
        <w:numPr>
          <w:ilvl w:val="0"/>
          <w:numId w:val="33"/>
        </w:numPr>
        <w:jc w:val="both"/>
      </w:pPr>
      <w:r w:rsidRPr="009F1AAE">
        <w:t>W niniejszym postępowaniu komunikacja Zamawiającego z Wykonawcami odbywa się przy użyciu środków komunikacji elektronicznej, za pośrednictwem:</w:t>
      </w:r>
    </w:p>
    <w:p w:rsidR="00BD3D5A" w:rsidRPr="009F1AAE" w:rsidRDefault="00BD3D5A" w:rsidP="0038589B">
      <w:pPr>
        <w:pStyle w:val="Nagwek2"/>
        <w:numPr>
          <w:ilvl w:val="0"/>
          <w:numId w:val="34"/>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38589B">
      <w:pPr>
        <w:pStyle w:val="Nagwek2"/>
        <w:numPr>
          <w:ilvl w:val="0"/>
          <w:numId w:val="34"/>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38589B">
      <w:pPr>
        <w:pStyle w:val="Nagwek2"/>
        <w:numPr>
          <w:ilvl w:val="0"/>
          <w:numId w:val="33"/>
        </w:numPr>
        <w:jc w:val="both"/>
      </w:pPr>
      <w:bookmarkStart w:id="12" w:name="_Hlk37863747"/>
      <w:r w:rsidRPr="009F1AAE">
        <w:t>Korzystanie z Platformy przez Wykonawcę jest bezpłatne</w:t>
      </w:r>
      <w:bookmarkEnd w:id="12"/>
      <w:r w:rsidRPr="009F1AAE">
        <w:t>.</w:t>
      </w:r>
    </w:p>
    <w:p w:rsidR="00BD3D5A" w:rsidRPr="009F1AAE" w:rsidRDefault="00BD3D5A" w:rsidP="0038589B">
      <w:pPr>
        <w:pStyle w:val="Nagwek2"/>
        <w:numPr>
          <w:ilvl w:val="0"/>
          <w:numId w:val="33"/>
        </w:numPr>
        <w:jc w:val="both"/>
      </w:pPr>
      <w:bookmarkStart w:id="13" w:name="_Hlk37863788"/>
      <w:r w:rsidRPr="009F1AAE">
        <w:t>Na</w:t>
      </w:r>
      <w:r w:rsidR="007B3A46">
        <w:t xml:space="preserve"> Platformie p</w:t>
      </w:r>
      <w:r w:rsidRPr="009F1AAE">
        <w:t>ostępow</w:t>
      </w:r>
      <w:r w:rsidR="00CA618E">
        <w:t xml:space="preserve">anie prowadzone jest pod nazwą: </w:t>
      </w:r>
      <w:r w:rsidR="00D604AE" w:rsidRPr="00D71234">
        <w:rPr>
          <w:b/>
          <w:bCs/>
        </w:rPr>
        <w:t>„</w:t>
      </w:r>
      <w:r w:rsidR="00D604AE" w:rsidRPr="00F971FB">
        <w:rPr>
          <w:b/>
        </w:rPr>
        <w:t>Zakup i dostawa</w:t>
      </w:r>
      <w:r w:rsidR="00D604AE" w:rsidRPr="00B71A9A">
        <w:rPr>
          <w:rFonts w:ascii="Arial Narrow" w:hAnsi="Arial Narrow" w:cs="Arial"/>
          <w:sz w:val="22"/>
          <w:szCs w:val="22"/>
        </w:rPr>
        <w:t xml:space="preserve"> </w:t>
      </w:r>
      <w:r w:rsidR="00D604AE">
        <w:rPr>
          <w:b/>
        </w:rPr>
        <w:t>wyrobów medycznych i niemedycznych – powtórka</w:t>
      </w:r>
      <w:r w:rsidR="00D604AE"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D604AE">
        <w:t>21</w:t>
      </w:r>
      <w:r w:rsidRPr="009F1AAE">
        <w:t>/21.</w:t>
      </w:r>
      <w:r>
        <w:t xml:space="preserve"> </w:t>
      </w:r>
    </w:p>
    <w:p w:rsidR="00BD3D5A" w:rsidRPr="009F1AAE" w:rsidRDefault="00BD3D5A" w:rsidP="0038589B">
      <w:pPr>
        <w:pStyle w:val="Nagwek2"/>
        <w:numPr>
          <w:ilvl w:val="0"/>
          <w:numId w:val="33"/>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8589B">
      <w:pPr>
        <w:pStyle w:val="Nagwek2"/>
        <w:numPr>
          <w:ilvl w:val="0"/>
          <w:numId w:val="33"/>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8589B">
      <w:pPr>
        <w:pStyle w:val="Nagwek2"/>
        <w:numPr>
          <w:ilvl w:val="0"/>
          <w:numId w:val="33"/>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8589B">
      <w:pPr>
        <w:pStyle w:val="Nagwek2"/>
        <w:numPr>
          <w:ilvl w:val="0"/>
          <w:numId w:val="33"/>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8589B">
      <w:pPr>
        <w:pStyle w:val="Nagwek2"/>
        <w:numPr>
          <w:ilvl w:val="0"/>
          <w:numId w:val="35"/>
        </w:numPr>
        <w:jc w:val="both"/>
      </w:pPr>
      <w:bookmarkStart w:id="18" w:name="_Hlk37937034"/>
      <w:r w:rsidRPr="00BA58C6">
        <w:t>stały dostęp do sieci Internet</w:t>
      </w:r>
      <w:bookmarkEnd w:id="18"/>
      <w:r w:rsidRPr="00BA58C6">
        <w:t>,</w:t>
      </w:r>
    </w:p>
    <w:p w:rsidR="00BD3D5A" w:rsidRPr="00BA58C6" w:rsidRDefault="00BD3D5A" w:rsidP="0038589B">
      <w:pPr>
        <w:pStyle w:val="Akapitzlist"/>
        <w:numPr>
          <w:ilvl w:val="0"/>
          <w:numId w:val="35"/>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8589B">
      <w:pPr>
        <w:numPr>
          <w:ilvl w:val="0"/>
          <w:numId w:val="3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8589B">
      <w:pPr>
        <w:numPr>
          <w:ilvl w:val="0"/>
          <w:numId w:val="3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8589B">
      <w:pPr>
        <w:pStyle w:val="Nagwek2"/>
        <w:numPr>
          <w:ilvl w:val="0"/>
          <w:numId w:val="35"/>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8589B">
      <w:pPr>
        <w:pStyle w:val="Nagwek2"/>
        <w:numPr>
          <w:ilvl w:val="0"/>
          <w:numId w:val="33"/>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8589B">
      <w:pPr>
        <w:pStyle w:val="Nagwek2"/>
        <w:numPr>
          <w:ilvl w:val="0"/>
          <w:numId w:val="33"/>
        </w:numPr>
        <w:jc w:val="both"/>
      </w:pPr>
      <w:bookmarkStart w:id="23" w:name="_Hlk37937156"/>
      <w:r w:rsidRPr="009F1AAE">
        <w:lastRenderedPageBreak/>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8589B">
      <w:pPr>
        <w:numPr>
          <w:ilvl w:val="0"/>
          <w:numId w:val="3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8589B">
      <w:pPr>
        <w:pStyle w:val="Nagwek2"/>
        <w:numPr>
          <w:ilvl w:val="0"/>
          <w:numId w:val="33"/>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7814C5" w:rsidRPr="009F1AAE" w:rsidRDefault="007814C5" w:rsidP="0038589B">
      <w:pPr>
        <w:pStyle w:val="Nagwek2"/>
        <w:numPr>
          <w:ilvl w:val="0"/>
          <w:numId w:val="33"/>
        </w:numPr>
        <w:jc w:val="both"/>
      </w:pPr>
      <w:r>
        <w:t>Na podstawie art</w:t>
      </w:r>
      <w:r w:rsidR="00516204">
        <w:t>. 65 ust. 1 pkt. 4</w:t>
      </w:r>
      <w:r>
        <w:t xml:space="preserve"> </w:t>
      </w:r>
      <w:r w:rsidR="0032680F">
        <w:t xml:space="preserve">ustawy Pzp </w:t>
      </w:r>
      <w:r>
        <w:t>Zamawiający odstąpi od wymogu użycia środków komunikacji elektronicznej w przypadku konieczności złożenia próbek.</w:t>
      </w:r>
    </w:p>
    <w:p w:rsidR="00BD3D5A" w:rsidRPr="009F1AAE" w:rsidRDefault="00BD3D5A" w:rsidP="0038589B">
      <w:pPr>
        <w:pStyle w:val="Nagwek2"/>
        <w:numPr>
          <w:ilvl w:val="0"/>
          <w:numId w:val="33"/>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8589B">
      <w:pPr>
        <w:pStyle w:val="Nagwek2"/>
        <w:numPr>
          <w:ilvl w:val="0"/>
          <w:numId w:val="33"/>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8589B">
      <w:pPr>
        <w:pStyle w:val="Nagwek2"/>
        <w:numPr>
          <w:ilvl w:val="0"/>
          <w:numId w:val="33"/>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38589B">
      <w:pPr>
        <w:pStyle w:val="Nagwek2"/>
        <w:numPr>
          <w:ilvl w:val="0"/>
          <w:numId w:val="31"/>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8589B">
      <w:pPr>
        <w:pStyle w:val="Nagwek2"/>
        <w:numPr>
          <w:ilvl w:val="0"/>
          <w:numId w:val="31"/>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8589B">
      <w:pPr>
        <w:pStyle w:val="Nagwek2"/>
        <w:numPr>
          <w:ilvl w:val="0"/>
          <w:numId w:val="31"/>
        </w:numPr>
        <w:jc w:val="both"/>
      </w:pPr>
      <w:r>
        <w:t>Jeżeli wniosek o wyjaśnienie treści SWZ nie wpłynie w terminie, o którym mowa w punkcie powyżej, Zamawiający nie ma obowiązku udzielania wyjaśnień SWZ.</w:t>
      </w:r>
    </w:p>
    <w:p w:rsidR="00BD3D5A" w:rsidRDefault="00BD3D5A" w:rsidP="0038589B">
      <w:pPr>
        <w:pStyle w:val="Nagwek2"/>
        <w:numPr>
          <w:ilvl w:val="0"/>
          <w:numId w:val="31"/>
        </w:numPr>
        <w:jc w:val="both"/>
      </w:pPr>
      <w:r>
        <w:t>Przedłużenie terminu składania ofert, nie wpływa na bieg terminu składania wniosku o wyjaśnienie treści SWZ.</w:t>
      </w:r>
    </w:p>
    <w:p w:rsidR="00BD3D5A" w:rsidRDefault="00BD3D5A" w:rsidP="0038589B">
      <w:pPr>
        <w:pStyle w:val="Nagwek2"/>
        <w:numPr>
          <w:ilvl w:val="0"/>
          <w:numId w:val="31"/>
        </w:numPr>
        <w:jc w:val="both"/>
      </w:pPr>
      <w:r>
        <w:lastRenderedPageBreak/>
        <w:t>Treść zapytań wraz z wyjaśnieniami Zamawiający udostępni na stronie internetowej prowadzonego postępowania, bez ujawniania źródła zapytania.</w:t>
      </w:r>
    </w:p>
    <w:p w:rsidR="005E6066" w:rsidRDefault="00BD3D5A" w:rsidP="0054396D">
      <w:pPr>
        <w:pStyle w:val="Nagwek2"/>
        <w:numPr>
          <w:ilvl w:val="0"/>
          <w:numId w:val="31"/>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8589B">
      <w:pPr>
        <w:pStyle w:val="Nagwek2"/>
        <w:numPr>
          <w:ilvl w:val="0"/>
          <w:numId w:val="37"/>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4F346A">
        <w:rPr>
          <w:b/>
          <w:color w:val="FF0000"/>
        </w:rPr>
        <w:t>12</w:t>
      </w:r>
      <w:r w:rsidR="0032680F" w:rsidRPr="009A2B64">
        <w:rPr>
          <w:b/>
          <w:color w:val="FF0000"/>
        </w:rPr>
        <w:t>.02.2022r.</w:t>
      </w:r>
    </w:p>
    <w:p w:rsidR="00BD3D5A" w:rsidRDefault="00BD3D5A" w:rsidP="0038589B">
      <w:pPr>
        <w:pStyle w:val="Nagwek2"/>
        <w:numPr>
          <w:ilvl w:val="0"/>
          <w:numId w:val="37"/>
        </w:numPr>
        <w:jc w:val="both"/>
      </w:pPr>
      <w:r>
        <w:t>Bieg terminu związania ofertą rozpoczyna się wraz z upływem terminu składania ofert.</w:t>
      </w:r>
    </w:p>
    <w:p w:rsidR="00BD3D5A" w:rsidRDefault="00BD3D5A" w:rsidP="0038589B">
      <w:pPr>
        <w:pStyle w:val="Nagwek2"/>
        <w:numPr>
          <w:ilvl w:val="0"/>
          <w:numId w:val="37"/>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8589B">
      <w:pPr>
        <w:pStyle w:val="Nagwek2"/>
        <w:numPr>
          <w:ilvl w:val="0"/>
          <w:numId w:val="37"/>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38589B">
      <w:pPr>
        <w:pStyle w:val="Nagwek2"/>
        <w:numPr>
          <w:ilvl w:val="0"/>
          <w:numId w:val="38"/>
        </w:numPr>
        <w:jc w:val="both"/>
      </w:pPr>
      <w:r>
        <w:t>Wykonawca może złożyć tylko jedną ofertę.</w:t>
      </w:r>
    </w:p>
    <w:p w:rsidR="00BD3D5A" w:rsidRDefault="00BD3D5A" w:rsidP="0038589B">
      <w:pPr>
        <w:pStyle w:val="Nagwek2"/>
        <w:numPr>
          <w:ilvl w:val="0"/>
          <w:numId w:val="38"/>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8589B">
      <w:pPr>
        <w:pStyle w:val="Nagwek2"/>
        <w:numPr>
          <w:ilvl w:val="0"/>
          <w:numId w:val="38"/>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8589B">
      <w:pPr>
        <w:pStyle w:val="Nagwek2"/>
        <w:numPr>
          <w:ilvl w:val="0"/>
          <w:numId w:val="38"/>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8589B">
      <w:pPr>
        <w:pStyle w:val="Nagwek2"/>
        <w:numPr>
          <w:ilvl w:val="0"/>
          <w:numId w:val="38"/>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8589B">
      <w:pPr>
        <w:pStyle w:val="Nagwek2"/>
        <w:numPr>
          <w:ilvl w:val="0"/>
          <w:numId w:val="38"/>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8589B">
      <w:pPr>
        <w:pStyle w:val="Nagwek2"/>
        <w:numPr>
          <w:ilvl w:val="0"/>
          <w:numId w:val="39"/>
        </w:numPr>
        <w:jc w:val="both"/>
      </w:pPr>
      <w:r w:rsidRPr="003A4A86">
        <w:t>wraz z przekazaniem takich informacji, zastrzegł, że nie mogą być one udostępniane;</w:t>
      </w:r>
    </w:p>
    <w:p w:rsidR="00BD3D5A" w:rsidRPr="003A4A86" w:rsidRDefault="00BD3D5A" w:rsidP="0038589B">
      <w:pPr>
        <w:pStyle w:val="Nagwek2"/>
        <w:numPr>
          <w:ilvl w:val="0"/>
          <w:numId w:val="39"/>
        </w:numPr>
        <w:jc w:val="both"/>
      </w:pPr>
      <w:r w:rsidRPr="003A4A86">
        <w:t>wykazał, załączając stosowne uzasadnienie, iż zastrzeżone informacje stanowią tajemnicę przedsiębiorstwa.</w:t>
      </w:r>
      <w:bookmarkStart w:id="42" w:name="_Hlk37939296"/>
    </w:p>
    <w:p w:rsidR="00BD3D5A" w:rsidRPr="003A4A86" w:rsidRDefault="00BD3D5A" w:rsidP="0038589B">
      <w:pPr>
        <w:pStyle w:val="Nagwek2"/>
        <w:numPr>
          <w:ilvl w:val="0"/>
          <w:numId w:val="38"/>
        </w:numPr>
        <w:jc w:val="both"/>
      </w:pPr>
      <w:r w:rsidRPr="003A4A86">
        <w:t>Zaleca się, aby uzasadnienie o którym mowa powyżej było sformułowane w sposób umożliwiający jego udostępnienie pozostałym uczestnikom postępowania.</w:t>
      </w:r>
    </w:p>
    <w:p w:rsidR="00BD3D5A" w:rsidRPr="003A4A86" w:rsidRDefault="00BD3D5A" w:rsidP="0038589B">
      <w:pPr>
        <w:pStyle w:val="Nagwek2"/>
        <w:numPr>
          <w:ilvl w:val="0"/>
          <w:numId w:val="38"/>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8589B">
      <w:pPr>
        <w:pStyle w:val="Nagwek2"/>
        <w:numPr>
          <w:ilvl w:val="0"/>
          <w:numId w:val="38"/>
        </w:numPr>
        <w:jc w:val="both"/>
      </w:pPr>
      <w:bookmarkStart w:id="44" w:name="_Hlk37928068"/>
      <w:r w:rsidRPr="003A4A86">
        <w:t>Opis sposobu przygotowania oferty składanej w formie elektronicznej</w:t>
      </w:r>
      <w:bookmarkEnd w:id="44"/>
      <w:r w:rsidRPr="003A4A86">
        <w:t>:</w:t>
      </w:r>
    </w:p>
    <w:p w:rsidR="00DB4759" w:rsidRPr="009F1BE2" w:rsidRDefault="00BD3D5A" w:rsidP="009F1BE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lastRenderedPageBreak/>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38589B">
      <w:pPr>
        <w:pStyle w:val="Nagwek2"/>
        <w:numPr>
          <w:ilvl w:val="0"/>
          <w:numId w:val="40"/>
        </w:numPr>
        <w:jc w:val="both"/>
        <w:rPr>
          <w:color w:val="auto"/>
        </w:rPr>
      </w:pPr>
      <w:r w:rsidRPr="003A4A86">
        <w:t>Oferty n</w:t>
      </w:r>
      <w:r w:rsidR="004A3C76">
        <w:t xml:space="preserve">ależy złożyć w terminie do dnia </w:t>
      </w:r>
      <w:r w:rsidR="004F346A">
        <w:rPr>
          <w:b/>
          <w:color w:val="FF0000"/>
        </w:rPr>
        <w:t>14</w:t>
      </w:r>
      <w:r w:rsidR="0032680F" w:rsidRPr="009A2B64">
        <w:rPr>
          <w:b/>
          <w:color w:val="FF0000"/>
        </w:rPr>
        <w:t>.01.2022r.</w:t>
      </w:r>
      <w:r w:rsidRPr="009A2B64">
        <w:rPr>
          <w:b/>
          <w:color w:val="FF0000"/>
        </w:rPr>
        <w:t xml:space="preserve"> do godz. </w:t>
      </w:r>
      <w:r w:rsidR="009A2B64" w:rsidRPr="009A2B64">
        <w:rPr>
          <w:b/>
          <w:color w:val="FF0000"/>
        </w:rPr>
        <w:t>11</w:t>
      </w:r>
      <w:r w:rsidR="001D1962" w:rsidRPr="009A2B64">
        <w:rPr>
          <w:b/>
          <w:color w:val="FF0000"/>
        </w:rPr>
        <w:t>:00</w:t>
      </w:r>
      <w:r w:rsidRPr="009A2B64">
        <w:rPr>
          <w:color w:val="FF0000"/>
        </w:rPr>
        <w:t xml:space="preserve"> </w:t>
      </w:r>
      <w:r w:rsidRPr="009A4D6C">
        <w:rPr>
          <w:color w:val="auto"/>
        </w:rPr>
        <w:t xml:space="preserve">przy użyciu Platformy pod adresem: </w:t>
      </w:r>
      <w:hyperlink r:id="rId21" w:history="1">
        <w:r w:rsidRPr="009A4D6C">
          <w:rPr>
            <w:rStyle w:val="Hipercze"/>
            <w:color w:val="auto"/>
          </w:rPr>
          <w:t>https://platformazakupowa.pl/pn/szpital_wrzesnia</w:t>
        </w:r>
      </w:hyperlink>
      <w:r w:rsidRPr="009A4D6C">
        <w:rPr>
          <w:color w:val="auto"/>
        </w:rPr>
        <w:t xml:space="preserve"> w zakładce „Oferty" zgodnie z instrukcjami wyświetlanymi na Platformie Zakupowej.</w:t>
      </w:r>
    </w:p>
    <w:p w:rsidR="00CA618E" w:rsidRPr="007B3A46" w:rsidRDefault="00BD3D5A" w:rsidP="0038589B">
      <w:pPr>
        <w:pStyle w:val="Nagwek2"/>
        <w:numPr>
          <w:ilvl w:val="0"/>
          <w:numId w:val="40"/>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38589B">
      <w:pPr>
        <w:pStyle w:val="Nagwek2"/>
        <w:numPr>
          <w:ilvl w:val="0"/>
          <w:numId w:val="41"/>
        </w:numPr>
        <w:jc w:val="both"/>
      </w:pPr>
      <w:r w:rsidRPr="009A4D6C">
        <w:rPr>
          <w:color w:val="auto"/>
        </w:rPr>
        <w:t>Otwarcie ofert nastąpi w dniu</w:t>
      </w:r>
      <w:r w:rsidR="004A3C76" w:rsidRPr="009A4D6C">
        <w:rPr>
          <w:color w:val="auto"/>
        </w:rPr>
        <w:t xml:space="preserve"> </w:t>
      </w:r>
      <w:r w:rsidR="0032680F" w:rsidRPr="009A2B64">
        <w:rPr>
          <w:b/>
          <w:color w:val="FF0000"/>
        </w:rPr>
        <w:t>1</w:t>
      </w:r>
      <w:r w:rsidR="004F346A">
        <w:rPr>
          <w:b/>
          <w:color w:val="FF0000"/>
        </w:rPr>
        <w:t>4</w:t>
      </w:r>
      <w:r w:rsidR="0032680F" w:rsidRPr="009A2B64">
        <w:rPr>
          <w:b/>
          <w:color w:val="FF0000"/>
        </w:rPr>
        <w:t>.01.2022r.</w:t>
      </w:r>
      <w:r w:rsidR="001D1962" w:rsidRPr="009A2B64">
        <w:rPr>
          <w:b/>
          <w:color w:val="FF0000"/>
        </w:rPr>
        <w:t xml:space="preserve"> </w:t>
      </w:r>
      <w:r w:rsidRPr="009A2B64">
        <w:rPr>
          <w:b/>
          <w:color w:val="FF0000"/>
        </w:rPr>
        <w:t xml:space="preserve">o godz. </w:t>
      </w:r>
      <w:r w:rsidR="00F14193" w:rsidRPr="009A2B64">
        <w:rPr>
          <w:b/>
          <w:color w:val="FF0000"/>
        </w:rPr>
        <w:t>1</w:t>
      </w:r>
      <w:r w:rsidR="009A2B64" w:rsidRPr="009A2B64">
        <w:rPr>
          <w:b/>
          <w:color w:val="FF0000"/>
        </w:rPr>
        <w:t>1</w:t>
      </w:r>
      <w:r w:rsidR="001D1962" w:rsidRPr="009A2B64">
        <w:rPr>
          <w:b/>
          <w:color w:val="FF0000"/>
        </w:rPr>
        <w:t>:15</w:t>
      </w:r>
      <w:r w:rsidRPr="004A3C76">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8589B">
      <w:pPr>
        <w:pStyle w:val="Nagwek2"/>
        <w:numPr>
          <w:ilvl w:val="0"/>
          <w:numId w:val="41"/>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8589B">
      <w:pPr>
        <w:pStyle w:val="Nagwek2"/>
        <w:numPr>
          <w:ilvl w:val="0"/>
          <w:numId w:val="41"/>
        </w:numPr>
        <w:jc w:val="both"/>
      </w:pPr>
      <w:r w:rsidRPr="003A4A86">
        <w:t>Niezwłocznie po otwarciu ofert, Zamawiający zamieści na stronie internetowej prowadzonego postępowania informacje o:</w:t>
      </w:r>
    </w:p>
    <w:p w:rsidR="00BD3D5A" w:rsidRPr="003A4A86" w:rsidRDefault="00BD3D5A" w:rsidP="0038589B">
      <w:pPr>
        <w:pStyle w:val="Nagwek2"/>
        <w:numPr>
          <w:ilvl w:val="0"/>
          <w:numId w:val="24"/>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38589B">
      <w:pPr>
        <w:pStyle w:val="Nagwek2"/>
        <w:numPr>
          <w:ilvl w:val="0"/>
          <w:numId w:val="24"/>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DB4759" w:rsidRPr="00DB4759" w:rsidRDefault="00DB4759" w:rsidP="00DB4759">
      <w:pPr>
        <w:pStyle w:val="Akapitzlist"/>
        <w:numPr>
          <w:ilvl w:val="0"/>
          <w:numId w:val="17"/>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7B3A46">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38589B">
      <w:pPr>
        <w:pStyle w:val="Nagwek2"/>
        <w:numPr>
          <w:ilvl w:val="0"/>
          <w:numId w:val="42"/>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919D5"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9669E5" w:rsidP="00325C67">
            <w:pPr>
              <w:spacing w:before="10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32680F"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4</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38589B">
      <w:pPr>
        <w:pStyle w:val="Bezodstpw"/>
        <w:numPr>
          <w:ilvl w:val="0"/>
          <w:numId w:val="42"/>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w:t>
            </w:r>
            <w:r w:rsidRPr="00166D57">
              <w:rPr>
                <w:rFonts w:ascii="Times New Roman" w:hAnsi="Times New Roman"/>
                <w:sz w:val="24"/>
                <w:szCs w:val="24"/>
              </w:rPr>
              <w: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3</w:t>
            </w:r>
            <w:r w:rsidR="0032680F">
              <w:rPr>
                <w:rFonts w:ascii="Times New Roman" w:hAnsi="Times New Roman"/>
                <w:sz w:val="24"/>
                <w:szCs w:val="24"/>
              </w:rPr>
              <w:t xml:space="preserve"> dni robocze otrzyma – 10</w:t>
            </w:r>
            <w:r w:rsidRPr="006858B2">
              <w:rPr>
                <w:rFonts w:ascii="Times New Roman" w:hAnsi="Times New Roman"/>
                <w:sz w:val="24"/>
                <w:szCs w:val="24"/>
              </w:rPr>
              <w:t xml:space="preserve"> pkt.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2</w:t>
            </w:r>
            <w:r>
              <w:rPr>
                <w:rFonts w:ascii="Times New Roman" w:hAnsi="Times New Roman"/>
                <w:sz w:val="24"/>
                <w:szCs w:val="24"/>
              </w:rPr>
              <w:t xml:space="preserve"> dni robocze </w:t>
            </w:r>
            <w:r w:rsidR="0032680F">
              <w:rPr>
                <w:rFonts w:ascii="Times New Roman" w:hAnsi="Times New Roman"/>
                <w:sz w:val="24"/>
                <w:szCs w:val="24"/>
              </w:rPr>
              <w:t>otrzyma – 20</w:t>
            </w:r>
            <w:r w:rsidRPr="006858B2">
              <w:rPr>
                <w:rFonts w:ascii="Times New Roman" w:hAnsi="Times New Roman"/>
                <w:sz w:val="24"/>
                <w:szCs w:val="24"/>
              </w:rPr>
              <w:t xml:space="preserve"> pkt.</w:t>
            </w:r>
          </w:p>
          <w:p w:rsidR="00837172" w:rsidRPr="0036544D"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sidR="0032680F">
              <w:rPr>
                <w:rFonts w:ascii="Times New Roman" w:hAnsi="Times New Roman"/>
                <w:sz w:val="24"/>
                <w:szCs w:val="24"/>
              </w:rPr>
              <w:t xml:space="preserve"> 40</w:t>
            </w:r>
            <w:r w:rsidRPr="006858B2">
              <w:rPr>
                <w:rFonts w:ascii="Times New Roman" w:hAnsi="Times New Roman"/>
                <w:sz w:val="24"/>
                <w:szCs w:val="24"/>
              </w:rPr>
              <w:t xml:space="preserve"> pkt.</w:t>
            </w:r>
          </w:p>
        </w:tc>
      </w:tr>
    </w:tbl>
    <w:p w:rsidR="00BD3D5A" w:rsidRPr="004C7F19" w:rsidRDefault="00BD3D5A" w:rsidP="0038589B">
      <w:pPr>
        <w:pStyle w:val="Nagwek2"/>
        <w:numPr>
          <w:ilvl w:val="0"/>
          <w:numId w:val="42"/>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38589B">
      <w:pPr>
        <w:pStyle w:val="Nagwek2"/>
        <w:numPr>
          <w:ilvl w:val="0"/>
          <w:numId w:val="42"/>
        </w:numPr>
        <w:jc w:val="both"/>
      </w:pPr>
      <w:r w:rsidRPr="004C7F19">
        <w:t>Zamawiaj</w:t>
      </w:r>
      <w:r w:rsidRPr="004C7F19">
        <w:rPr>
          <w:rFonts w:eastAsia="TimesNewRoman"/>
        </w:rPr>
        <w:t>ą</w:t>
      </w:r>
      <w:r w:rsidRPr="004C7F19">
        <w:t>cy poprawi w ofercie:</w:t>
      </w:r>
    </w:p>
    <w:p w:rsidR="00BD3D5A" w:rsidRPr="004C7F19" w:rsidRDefault="00BD3D5A" w:rsidP="0038589B">
      <w:pPr>
        <w:pStyle w:val="Nagwek2"/>
        <w:numPr>
          <w:ilvl w:val="0"/>
          <w:numId w:val="43"/>
        </w:numPr>
        <w:jc w:val="both"/>
      </w:pPr>
      <w:r w:rsidRPr="004C7F19">
        <w:t>oczywiste omyłki pisarskie,</w:t>
      </w:r>
    </w:p>
    <w:p w:rsidR="00BD3D5A" w:rsidRPr="004C7F19" w:rsidRDefault="00BD3D5A" w:rsidP="0038589B">
      <w:pPr>
        <w:pStyle w:val="Nagwek2"/>
        <w:numPr>
          <w:ilvl w:val="0"/>
          <w:numId w:val="43"/>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8589B">
      <w:pPr>
        <w:pStyle w:val="Nagwek2"/>
        <w:numPr>
          <w:ilvl w:val="0"/>
          <w:numId w:val="43"/>
        </w:numPr>
        <w:jc w:val="both"/>
      </w:pPr>
      <w:r w:rsidRPr="004C7F19">
        <w:lastRenderedPageBreak/>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8589B">
      <w:pPr>
        <w:pStyle w:val="Nagwek2"/>
        <w:numPr>
          <w:ilvl w:val="0"/>
          <w:numId w:val="42"/>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8589B">
      <w:pPr>
        <w:pStyle w:val="Nagwek2"/>
        <w:numPr>
          <w:ilvl w:val="0"/>
          <w:numId w:val="42"/>
        </w:numPr>
        <w:jc w:val="both"/>
      </w:pPr>
      <w:r>
        <w:t>Obowiązek wykazania, że oferta nie zawiera rażąco niskiej ceny spoczywa na Wykonawcy.</w:t>
      </w:r>
    </w:p>
    <w:p w:rsidR="00BD3D5A" w:rsidRDefault="00BD3D5A" w:rsidP="0038589B">
      <w:pPr>
        <w:pStyle w:val="Nagwek2"/>
        <w:numPr>
          <w:ilvl w:val="0"/>
          <w:numId w:val="42"/>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8589B">
      <w:pPr>
        <w:pStyle w:val="Nagwek2"/>
        <w:numPr>
          <w:ilvl w:val="0"/>
          <w:numId w:val="42"/>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38589B">
      <w:pPr>
        <w:pStyle w:val="Nagwek2"/>
        <w:numPr>
          <w:ilvl w:val="0"/>
          <w:numId w:val="44"/>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8589B">
      <w:pPr>
        <w:pStyle w:val="Nagwek2"/>
        <w:numPr>
          <w:ilvl w:val="0"/>
          <w:numId w:val="44"/>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38589B">
      <w:pPr>
        <w:pStyle w:val="Nagwek2"/>
        <w:numPr>
          <w:ilvl w:val="0"/>
          <w:numId w:val="44"/>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8589B">
      <w:pPr>
        <w:pStyle w:val="Nagwek2"/>
        <w:numPr>
          <w:ilvl w:val="0"/>
          <w:numId w:val="45"/>
        </w:numPr>
        <w:jc w:val="both"/>
      </w:pPr>
      <w:r>
        <w:t xml:space="preserve">Zamawiający zawrze umowę w sprawie zamówienia publicznego, w terminie i na zasadach określonych w art. 308 ust. 2 i </w:t>
      </w:r>
      <w:r w:rsidR="00C10CF4">
        <w:t xml:space="preserve">ust. </w:t>
      </w:r>
      <w:r>
        <w:t>3 pkt. 1 lit. a ustawy Pzp.</w:t>
      </w:r>
    </w:p>
    <w:p w:rsidR="00BD3D5A" w:rsidRDefault="00BD3D5A" w:rsidP="0038589B">
      <w:pPr>
        <w:pStyle w:val="Nagwek2"/>
        <w:numPr>
          <w:ilvl w:val="0"/>
          <w:numId w:val="45"/>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C10CF4" w:rsidRDefault="00C10CF4" w:rsidP="00F43F91">
      <w:pPr>
        <w:pStyle w:val="Nagwek2"/>
        <w:numPr>
          <w:ilvl w:val="0"/>
          <w:numId w:val="0"/>
        </w:numPr>
        <w:ind w:left="426" w:hanging="66"/>
        <w:jc w:val="both"/>
      </w:pPr>
    </w:p>
    <w:p w:rsidR="00BD3D5A" w:rsidRDefault="00BD3D5A" w:rsidP="002D0CE0">
      <w:pPr>
        <w:pStyle w:val="Nagwek1"/>
      </w:pPr>
      <w:bookmarkStart w:id="51" w:name="_Toc258314259"/>
      <w:r>
        <w:lastRenderedPageBreak/>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837172">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325C67" w:rsidRDefault="00BD3D5A" w:rsidP="00325C67">
      <w:pPr>
        <w:autoSpaceDE w:val="0"/>
        <w:autoSpaceDN w:val="0"/>
        <w:adjustRightInd w:val="0"/>
        <w:ind w:left="786"/>
        <w:jc w:val="both"/>
        <w:rPr>
          <w:b/>
          <w:bC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70 590.</w:t>
      </w: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BA24EB">
      <w:pPr>
        <w:pStyle w:val="Akapitzlist"/>
        <w:numPr>
          <w:ilvl w:val="0"/>
          <w:numId w:val="52"/>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BA24EB">
      <w:pPr>
        <w:pStyle w:val="Akapitzlist"/>
        <w:numPr>
          <w:ilvl w:val="0"/>
          <w:numId w:val="52"/>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BA24EB">
      <w:pPr>
        <w:pStyle w:val="Akapitzlist"/>
        <w:numPr>
          <w:ilvl w:val="0"/>
          <w:numId w:val="52"/>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BA24EB">
      <w:pPr>
        <w:pStyle w:val="Akapitzlist"/>
        <w:numPr>
          <w:ilvl w:val="0"/>
          <w:numId w:val="52"/>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BA24EB">
      <w:pPr>
        <w:pStyle w:val="Akapitzlist"/>
        <w:numPr>
          <w:ilvl w:val="0"/>
          <w:numId w:val="52"/>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BA24EB">
      <w:pPr>
        <w:pStyle w:val="Akapitzlist"/>
        <w:numPr>
          <w:ilvl w:val="0"/>
          <w:numId w:val="52"/>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83717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837172" w:rsidP="00905A56">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FA6ED8" w:rsidP="00331F2D">
            <w:pPr>
              <w:tabs>
                <w:tab w:val="left" w:pos="360"/>
              </w:tabs>
              <w:jc w:val="both"/>
            </w:pPr>
            <w:r>
              <w:t>30.12.</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325C67" w:rsidRDefault="00CE5C16" w:rsidP="00BA24EB">
            <w:pPr>
              <w:pStyle w:val="Akapitzlist"/>
              <w:numPr>
                <w:ilvl w:val="0"/>
                <w:numId w:val="51"/>
              </w:numPr>
              <w:tabs>
                <w:tab w:val="left" w:pos="360"/>
              </w:tabs>
              <w:spacing w:before="12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C3712B" w:rsidRDefault="00C3712B"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Pr="00284751" w:rsidRDefault="00837172" w:rsidP="00BA24EB">
            <w:pPr>
              <w:pStyle w:val="Akapitzlist"/>
              <w:numPr>
                <w:ilvl w:val="0"/>
                <w:numId w:val="51"/>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B3A46" w:rsidRPr="003E7AE5" w:rsidRDefault="00CE5C16"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BA24EB">
            <w:pPr>
              <w:pStyle w:val="Akapitzlist"/>
              <w:numPr>
                <w:ilvl w:val="0"/>
                <w:numId w:val="51"/>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CB2BAC" w:rsidRDefault="00BD3D5A"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597AA7" w:rsidRPr="00D71234">
              <w:rPr>
                <w:b/>
                <w:bCs/>
                <w:iCs/>
              </w:rPr>
              <w:t>„</w:t>
            </w:r>
            <w:r w:rsidR="00597AA7" w:rsidRPr="00F971FB">
              <w:rPr>
                <w:b/>
              </w:rPr>
              <w:t>Zakup i dostaw</w:t>
            </w:r>
            <w:r w:rsidR="00597AA7">
              <w:rPr>
                <w:b/>
              </w:rPr>
              <w:t>ę</w:t>
            </w:r>
            <w:r w:rsidR="00597AA7" w:rsidRPr="00B71A9A">
              <w:rPr>
                <w:rFonts w:ascii="Arial Narrow" w:hAnsi="Arial Narrow" w:cs="Arial"/>
                <w:sz w:val="22"/>
                <w:szCs w:val="22"/>
              </w:rPr>
              <w:t xml:space="preserve"> </w:t>
            </w:r>
            <w:r w:rsidR="00597AA7">
              <w:rPr>
                <w:b/>
              </w:rPr>
              <w:t>wyrobów medycznych i niemedycznych – powtórka</w:t>
            </w:r>
            <w:r w:rsidR="00597AA7" w:rsidRPr="00DF3CE5">
              <w:rPr>
                <w:b/>
                <w:bCs/>
                <w:iCs/>
              </w:rPr>
              <w:t>”</w:t>
            </w:r>
            <w:r w:rsidR="00597AA7">
              <w:rPr>
                <w:b/>
                <w:bCs/>
                <w:iCs/>
              </w:rPr>
              <w:t xml:space="preserve"> </w:t>
            </w:r>
            <w:r w:rsidRPr="00C40184">
              <w:rPr>
                <w:bCs/>
                <w:iCs/>
              </w:rPr>
              <w:t>zgodnie z wymogami Specyfikacji  Warunków Zamówienia.</w:t>
            </w:r>
          </w:p>
          <w:p w:rsidR="00597AA7" w:rsidRPr="00D71234" w:rsidRDefault="00597AA7" w:rsidP="00597AA7">
            <w:pPr>
              <w:spacing w:after="100"/>
              <w:jc w:val="both"/>
              <w:rPr>
                <w:iCs/>
              </w:rPr>
            </w:pPr>
            <w:r w:rsidRPr="00D71234">
              <w:rPr>
                <w:iCs/>
              </w:rPr>
              <w:t>Oferujemy dostawę za następującą cenę:</w:t>
            </w:r>
          </w:p>
          <w:p w:rsidR="00597AA7" w:rsidRPr="0087542B" w:rsidRDefault="00597AA7"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netto:................................................................................................................PLN</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brutto: .............................................................................................................PLN</w:t>
            </w:r>
          </w:p>
          <w:p w:rsidR="00597AA7" w:rsidRPr="00281A9F"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Default="00597AA7" w:rsidP="00597AA7">
            <w:pPr>
              <w:widowControl w:val="0"/>
              <w:autoSpaceDE w:val="0"/>
              <w:spacing w:before="100" w:after="100"/>
              <w:rPr>
                <w:b/>
              </w:rPr>
            </w:pPr>
            <w:r w:rsidRPr="00D71234">
              <w:rPr>
                <w:b/>
              </w:rPr>
              <w:lastRenderedPageBreak/>
              <w:t>T</w:t>
            </w:r>
            <w:r>
              <w:rPr>
                <w:b/>
              </w:rPr>
              <w:t>ermin dostawy …………… dni robocze</w:t>
            </w:r>
          </w:p>
          <w:p w:rsidR="00BD3D5A" w:rsidRPr="00CB2BAC" w:rsidRDefault="00597AA7" w:rsidP="00597AA7">
            <w:pPr>
              <w:widowControl w:val="0"/>
              <w:autoSpaceDE w:val="0"/>
              <w:spacing w:before="100" w:after="160"/>
              <w:rPr>
                <w:b/>
              </w:rPr>
            </w:pPr>
            <w:r>
              <w:rPr>
                <w:b/>
              </w:rPr>
              <w:t>*według potrzeby</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8C77B9" w:rsidP="00331F2D">
            <w:pPr>
              <w:ind w:left="426"/>
              <w:jc w:val="both"/>
              <w:rPr>
                <w:shd w:val="clear" w:color="auto" w:fill="FFFFFF"/>
              </w:rPr>
            </w:pPr>
            <w:r w:rsidRPr="008C77B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8C77B9" w:rsidP="00331F2D">
            <w:pPr>
              <w:ind w:left="426"/>
              <w:jc w:val="both"/>
              <w:rPr>
                <w:shd w:val="clear" w:color="auto" w:fill="FFFFFF"/>
              </w:rPr>
            </w:pPr>
            <w:r w:rsidRPr="008C77B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8C77B9" w:rsidP="00331F2D">
            <w:pPr>
              <w:ind w:left="426"/>
              <w:jc w:val="both"/>
              <w:rPr>
                <w:shd w:val="clear" w:color="auto" w:fill="FFFFFF"/>
              </w:rPr>
            </w:pPr>
            <w:r w:rsidRPr="008C77B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8C77B9" w:rsidP="00331F2D">
            <w:pPr>
              <w:ind w:left="426"/>
              <w:jc w:val="both"/>
              <w:rPr>
                <w:shd w:val="clear" w:color="auto" w:fill="FFFFFF"/>
              </w:rPr>
            </w:pPr>
            <w:r w:rsidRPr="008C77B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8C77B9" w:rsidP="00331F2D">
            <w:pPr>
              <w:ind w:left="426"/>
              <w:jc w:val="both"/>
              <w:rPr>
                <w:shd w:val="clear" w:color="auto" w:fill="FFFFFF"/>
              </w:rPr>
            </w:pPr>
            <w:r w:rsidRPr="008C77B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8C77B9" w:rsidP="00331F2D">
            <w:pPr>
              <w:ind w:left="426"/>
              <w:jc w:val="both"/>
              <w:rPr>
                <w:b/>
                <w:iCs/>
              </w:rPr>
            </w:pPr>
            <w:r w:rsidRPr="008C77B9">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2A59E5"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56170D" w:rsidRPr="00A8231F" w:rsidRDefault="0056170D" w:rsidP="00331F2D">
            <w:pPr>
              <w:jc w:val="both"/>
              <w:rPr>
                <w:b/>
                <w:bCs/>
                <w:iCs/>
              </w:rPr>
            </w:pP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2A59E5" w:rsidRDefault="00BD3D5A" w:rsidP="00CB2BAC">
            <w:pPr>
              <w:numPr>
                <w:ilvl w:val="0"/>
                <w:numId w:val="7"/>
              </w:numPr>
              <w:jc w:val="both"/>
              <w:rPr>
                <w:iCs/>
              </w:rPr>
            </w:pPr>
            <w:r w:rsidRPr="003A4A86">
              <w:rPr>
                <w:iCs/>
              </w:rPr>
              <w:t>podlegam / nie podlegam* wykluczeniu z postępowania na podstawie art. 108 ust. 1 ustawy Prawo zamówień publicznych,</w:t>
            </w:r>
          </w:p>
          <w:p w:rsidR="003E6230" w:rsidRPr="00CB2BAC" w:rsidRDefault="003E6230" w:rsidP="003E6230">
            <w:pPr>
              <w:ind w:left="644"/>
              <w:jc w:val="both"/>
              <w:rPr>
                <w:iCs/>
              </w:rPr>
            </w:pP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9F1BE2" w:rsidRDefault="00BD3D5A" w:rsidP="00FD5985">
            <w:pPr>
              <w:rPr>
                <w:iCs/>
              </w:rPr>
            </w:pPr>
            <w:r w:rsidRPr="003A4A86">
              <w:rPr>
                <w:iCs/>
              </w:rPr>
              <w:t>*niepotrzebne skreślić</w:t>
            </w:r>
          </w:p>
          <w:p w:rsidR="0056170D" w:rsidRPr="00FD5985" w:rsidRDefault="0056170D" w:rsidP="00FD5985">
            <w:pPr>
              <w:rPr>
                <w:iCs/>
              </w:rPr>
            </w:pPr>
          </w:p>
          <w:p w:rsidR="00BD3D5A" w:rsidRPr="003A4A86" w:rsidRDefault="00BD3D5A" w:rsidP="00331F2D">
            <w:pPr>
              <w:numPr>
                <w:ilvl w:val="0"/>
                <w:numId w:val="8"/>
              </w:numPr>
              <w:ind w:left="426"/>
              <w:jc w:val="both"/>
              <w:rPr>
                <w:iCs/>
              </w:rPr>
            </w:pPr>
            <w:r w:rsidRPr="003A4A86">
              <w:rPr>
                <w:b/>
                <w:iCs/>
              </w:rPr>
              <w:lastRenderedPageBreak/>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804351" w:rsidRPr="00316E1E" w:rsidRDefault="00804351" w:rsidP="00804351">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wyrobów medycznych i niemedycznych – powtórka</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804351" w:rsidRPr="00A31E19" w:rsidRDefault="00804351" w:rsidP="00804351">
      <w:pPr>
        <w:pStyle w:val="Default"/>
        <w:jc w:val="center"/>
        <w:rPr>
          <w:rFonts w:eastAsiaTheme="minorHAnsi"/>
        </w:rPr>
      </w:pPr>
    </w:p>
    <w:p w:rsidR="00804351" w:rsidRPr="00A31E19" w:rsidRDefault="00804351" w:rsidP="00804351">
      <w:pPr>
        <w:pStyle w:val="Default"/>
        <w:ind w:left="2832"/>
        <w:rPr>
          <w:b/>
        </w:rPr>
      </w:pPr>
      <w:r w:rsidRPr="00A31E19">
        <w:rPr>
          <w:rFonts w:eastAsiaTheme="minorHAnsi"/>
          <w:b/>
        </w:rPr>
        <w:t>Formu</w:t>
      </w:r>
      <w:r>
        <w:rPr>
          <w:rFonts w:eastAsiaTheme="minorHAnsi"/>
          <w:b/>
        </w:rPr>
        <w:t>larz cenowy dla pakietu nr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tbl>
      <w:tblPr>
        <w:tblW w:w="13618" w:type="dxa"/>
        <w:tblLayout w:type="fixed"/>
        <w:tblCellMar>
          <w:left w:w="70" w:type="dxa"/>
          <w:right w:w="70" w:type="dxa"/>
        </w:tblCellMar>
        <w:tblLook w:val="04A0"/>
      </w:tblPr>
      <w:tblGrid>
        <w:gridCol w:w="567"/>
        <w:gridCol w:w="1731"/>
        <w:gridCol w:w="567"/>
        <w:gridCol w:w="742"/>
        <w:gridCol w:w="1192"/>
        <w:gridCol w:w="992"/>
        <w:gridCol w:w="992"/>
        <w:gridCol w:w="1191"/>
        <w:gridCol w:w="1191"/>
        <w:gridCol w:w="1191"/>
        <w:gridCol w:w="1631"/>
        <w:gridCol w:w="1631"/>
      </w:tblGrid>
      <w:tr w:rsidR="00804351" w:rsidRPr="003A0D46" w:rsidTr="0056170D">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i/>
                <w:color w:val="000000"/>
              </w:rPr>
            </w:pPr>
            <w:r w:rsidRPr="003E6230">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Ilość</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 xml:space="preserve">Cena netto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brutto</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iCs/>
              </w:rPr>
            </w:pPr>
          </w:p>
          <w:p w:rsidR="00804351" w:rsidRPr="003E6230" w:rsidRDefault="00804351" w:rsidP="00905A56">
            <w:pPr>
              <w:jc w:val="center"/>
              <w:rPr>
                <w:i/>
                <w:iCs/>
              </w:rPr>
            </w:pPr>
            <w:r w:rsidRPr="003E6230">
              <w:rPr>
                <w:i/>
                <w:iCs/>
              </w:rPr>
              <w:t>Oferowany produkt:</w:t>
            </w:r>
          </w:p>
          <w:p w:rsidR="00804351" w:rsidRPr="003E6230" w:rsidRDefault="009F1BE2" w:rsidP="00905A56">
            <w:pPr>
              <w:jc w:val="center"/>
              <w:rPr>
                <w:i/>
                <w:iCs/>
              </w:rPr>
            </w:pPr>
            <w:r w:rsidRPr="003E6230">
              <w:rPr>
                <w:i/>
                <w:iCs/>
              </w:rPr>
              <w:t>N</w:t>
            </w:r>
            <w:r w:rsidR="00804351" w:rsidRPr="003E6230">
              <w:rPr>
                <w:i/>
                <w:iCs/>
              </w:rPr>
              <w:t>azw</w:t>
            </w:r>
            <w:r w:rsidRPr="003E6230">
              <w:rPr>
                <w:i/>
                <w:iCs/>
              </w:rPr>
              <w:t>a, producent</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color w:val="000000"/>
              </w:rPr>
            </w:pPr>
          </w:p>
          <w:p w:rsidR="00804351" w:rsidRPr="003E6230" w:rsidRDefault="00804351" w:rsidP="00905A56">
            <w:pPr>
              <w:jc w:val="center"/>
              <w:rPr>
                <w:i/>
                <w:iCs/>
              </w:rPr>
            </w:pPr>
            <w:r w:rsidRPr="003E6230">
              <w:rPr>
                <w:i/>
                <w:color w:val="000000"/>
              </w:rPr>
              <w:t>Ref/Kod/Nr katalogowy oferowanego produktu</w:t>
            </w:r>
          </w:p>
        </w:tc>
      </w:tr>
      <w:tr w:rsidR="00804351" w:rsidRPr="003A0D46" w:rsidTr="0056170D">
        <w:trPr>
          <w:trHeight w:val="11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804351" w:rsidRPr="003A0D46" w:rsidRDefault="00804351" w:rsidP="00905A56">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rPr>
                <w:rFonts w:ascii="Arial" w:hAnsi="Arial" w:cs="Arial"/>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11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r>
    </w:tbl>
    <w:p w:rsidR="00804351" w:rsidRPr="00A31E19" w:rsidRDefault="00804351" w:rsidP="00804351">
      <w:pPr>
        <w:spacing w:after="60" w:line="259" w:lineRule="auto"/>
        <w:jc w:val="center"/>
        <w:rPr>
          <w:rFonts w:eastAsia="Calibri"/>
          <w:b/>
          <w:lang w:eastAsia="en-US"/>
        </w:rPr>
      </w:pPr>
    </w:p>
    <w:p w:rsidR="00804351" w:rsidRPr="00A31E19" w:rsidRDefault="00804351" w:rsidP="00804351">
      <w:pPr>
        <w:spacing w:after="160" w:line="259" w:lineRule="auto"/>
        <w:jc w:val="right"/>
        <w:rPr>
          <w:rFonts w:eastAsia="Calibri"/>
          <w:b/>
          <w:lang w:eastAsia="en-US"/>
        </w:rPr>
      </w:pPr>
    </w:p>
    <w:p w:rsidR="00765B0E" w:rsidRDefault="00804351" w:rsidP="00804351">
      <w:pPr>
        <w:spacing w:before="120" w:after="160"/>
        <w:rPr>
          <w:rFonts w:eastAsia="Calibri"/>
          <w:lang w:eastAsia="en-US"/>
        </w:rPr>
      </w:pPr>
      <w:r w:rsidRPr="00A31E19">
        <w:rPr>
          <w:rFonts w:eastAsia="Calibri"/>
          <w:lang w:eastAsia="en-US"/>
        </w:rPr>
        <w:t xml:space="preserve">Łączna wartość netto Pakietu  wynosi:................................................... zł, </w:t>
      </w:r>
    </w:p>
    <w:p w:rsidR="00804351" w:rsidRPr="00A31E19" w:rsidRDefault="00804351" w:rsidP="00804351">
      <w:pPr>
        <w:spacing w:before="120" w:after="160"/>
        <w:rPr>
          <w:rFonts w:eastAsia="Calibri"/>
          <w:lang w:eastAsia="en-US"/>
        </w:rPr>
      </w:pPr>
      <w:r w:rsidRPr="00A31E19">
        <w:rPr>
          <w:rFonts w:eastAsia="Calibri"/>
          <w:lang w:eastAsia="en-US"/>
        </w:rPr>
        <w:t>słownie: ...............................................................................................................</w:t>
      </w:r>
    </w:p>
    <w:p w:rsidR="00765B0E" w:rsidRDefault="00804351" w:rsidP="00804351">
      <w:pPr>
        <w:spacing w:after="160"/>
        <w:rPr>
          <w:rFonts w:eastAsia="Calibri"/>
          <w:lang w:eastAsia="en-US"/>
        </w:rPr>
      </w:pPr>
      <w:r w:rsidRPr="00A31E19">
        <w:rPr>
          <w:rFonts w:eastAsia="Calibri"/>
          <w:lang w:eastAsia="en-US"/>
        </w:rPr>
        <w:t xml:space="preserve">Łączna wartość brutto Pakietu  wynosi:.................................................. zł, </w:t>
      </w:r>
    </w:p>
    <w:p w:rsidR="00804351" w:rsidRPr="00A31E19" w:rsidRDefault="00804351" w:rsidP="00804351">
      <w:pPr>
        <w:spacing w:after="160"/>
        <w:rPr>
          <w:rFonts w:eastAsia="Calibri"/>
          <w:lang w:eastAsia="en-US"/>
        </w:rPr>
      </w:pPr>
      <w:r w:rsidRPr="00A31E19">
        <w:rPr>
          <w:rFonts w:eastAsia="Calibri"/>
          <w:lang w:eastAsia="en-US"/>
        </w:rPr>
        <w:t>słownie: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804351" w:rsidRDefault="00804351" w:rsidP="00804351">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BD6014" w:rsidRDefault="00BD6014" w:rsidP="00BD6014">
      <w:pPr>
        <w:jc w:val="center"/>
        <w:rPr>
          <w:b/>
          <w:bCs/>
        </w:rPr>
      </w:pPr>
      <w:r>
        <w:rPr>
          <w:b/>
          <w:bCs/>
        </w:rPr>
        <w:t>OPIS PRZEDMIOTU ZAMÓWIENIA</w:t>
      </w:r>
    </w:p>
    <w:p w:rsidR="00BD6014" w:rsidRDefault="00BD6014" w:rsidP="00BD6014">
      <w:pPr>
        <w:jc w:val="center"/>
        <w:rPr>
          <w:b/>
          <w:bCs/>
        </w:rPr>
      </w:pPr>
    </w:p>
    <w:tbl>
      <w:tblPr>
        <w:tblW w:w="0" w:type="auto"/>
        <w:tblCellSpacing w:w="0" w:type="dxa"/>
        <w:tblCellMar>
          <w:top w:w="15" w:type="dxa"/>
          <w:left w:w="15" w:type="dxa"/>
          <w:bottom w:w="15" w:type="dxa"/>
          <w:right w:w="15" w:type="dxa"/>
        </w:tblCellMar>
        <w:tblLook w:val="04A0"/>
      </w:tblPr>
      <w:tblGrid>
        <w:gridCol w:w="552"/>
        <w:gridCol w:w="7200"/>
        <w:gridCol w:w="1055"/>
        <w:gridCol w:w="1144"/>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t>1</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38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Materiały zużywalne- diagnostyka - papier</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3, szer.10,4; nadruk 9cm x 40m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B-56, szer.11,2cm x 25m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270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31; szer. 6cm x 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290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w:t>
            </w:r>
            <w:proofErr w:type="spellStart"/>
            <w:r w:rsidRPr="00BD6014">
              <w:rPr>
                <w:color w:val="000000"/>
              </w:rPr>
              <w:t>Gold</w:t>
            </w:r>
            <w:proofErr w:type="spellEnd"/>
            <w:r w:rsidRPr="00BD6014">
              <w:rPr>
                <w:color w:val="000000"/>
              </w:rPr>
              <w:t xml:space="preserve"> 3; rolka 210 x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5</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B1/B5/ECO/GRENN 58 x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rol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6</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USG SONY </w:t>
            </w:r>
            <w:proofErr w:type="spellStart"/>
            <w:r w:rsidRPr="00BD6014">
              <w:rPr>
                <w:color w:val="000000"/>
              </w:rPr>
              <w:t>UPP-S</w:t>
            </w:r>
            <w:proofErr w:type="spellEnd"/>
            <w:r w:rsidRPr="00BD6014">
              <w:rPr>
                <w:color w:val="000000"/>
              </w:rPr>
              <w:t xml:space="preserve"> do UP-701/811/895E szer.110 x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7</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wydruku USG Mitsubishi K65HM-CE szer.110 x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8</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KTG </w:t>
            </w:r>
            <w:proofErr w:type="spellStart"/>
            <w:r w:rsidRPr="00BD6014">
              <w:rPr>
                <w:color w:val="000000"/>
              </w:rPr>
              <w:t>Corometrics</w:t>
            </w:r>
            <w:proofErr w:type="spellEnd"/>
            <w:r w:rsidRPr="00BD6014">
              <w:rPr>
                <w:color w:val="000000"/>
              </w:rPr>
              <w:t xml:space="preserve"> 4305 roz.152 x 90, nadruk czerwony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roofErr w:type="spellStart"/>
            <w:r w:rsidRPr="00BD6014">
              <w:rPr>
                <w:color w:val="000000"/>
              </w:rPr>
              <w:t>Skł</w:t>
            </w:r>
            <w:proofErr w:type="spellEnd"/>
            <w:r w:rsidRPr="00BD6014">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400</w:t>
            </w:r>
          </w:p>
        </w:tc>
      </w:tr>
      <w:tr w:rsidR="00BD6014" w:rsidRPr="00BD6014" w:rsidTr="00BD6014">
        <w:trPr>
          <w:trHeight w:val="36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9</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defibrylatora „</w:t>
            </w:r>
            <w:proofErr w:type="spellStart"/>
            <w:r w:rsidRPr="00BD6014">
              <w:rPr>
                <w:color w:val="000000"/>
              </w:rPr>
              <w:t>Lifepack</w:t>
            </w:r>
            <w:proofErr w:type="spellEnd"/>
            <w:r w:rsidRPr="00BD6014">
              <w:rPr>
                <w:color w:val="000000"/>
              </w:rPr>
              <w:t xml:space="preserve"> – 12” szer.106 x 25 z nadrukiem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35</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10</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defibrylatora „</w:t>
            </w:r>
            <w:proofErr w:type="spellStart"/>
            <w:r w:rsidRPr="00BD6014">
              <w:rPr>
                <w:color w:val="000000"/>
              </w:rPr>
              <w:t>Lifepack</w:t>
            </w:r>
            <w:proofErr w:type="spellEnd"/>
            <w:r w:rsidRPr="00BD6014">
              <w:rPr>
                <w:color w:val="000000"/>
              </w:rPr>
              <w:t xml:space="preserve"> – 12” szer. 50 x 26 z nadrukiem (do wykonania testu)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15</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defibrylatora ZOLL w kratkę 9x9cm op.ok.100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Papier do drukarki EKG DMICO HIGH GLOSSY SUPER ULSTAR-840HG 84 mm x 12,5 m x 1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2"/>
        <w:gridCol w:w="8381"/>
        <w:gridCol w:w="520"/>
        <w:gridCol w:w="618"/>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t>2</w:t>
            </w:r>
          </w:p>
        </w:tc>
        <w:tc>
          <w:tcPr>
            <w:tcW w:w="7410" w:type="dxa"/>
            <w:vAlign w:val="center"/>
            <w:hideMark/>
          </w:tcPr>
          <w:p w:rsidR="00BD6014" w:rsidRPr="00BD6014" w:rsidRDefault="00BD6014" w:rsidP="00BD6014">
            <w:pPr>
              <w:rPr>
                <w:color w:val="000000"/>
              </w:rPr>
            </w:pPr>
            <w:r w:rsidRPr="00BD6014">
              <w:rPr>
                <w:color w:val="000000"/>
              </w:rPr>
              <w:t xml:space="preserve">PAKIET </w:t>
            </w:r>
          </w:p>
        </w:tc>
        <w:tc>
          <w:tcPr>
            <w:tcW w:w="855" w:type="dxa"/>
            <w:vAlign w:val="center"/>
            <w:hideMark/>
          </w:tcPr>
          <w:p w:rsidR="00BD6014" w:rsidRPr="00BD6014" w:rsidRDefault="00BD6014" w:rsidP="00BD6014">
            <w:pPr>
              <w:jc w:val="center"/>
              <w:rPr>
                <w:color w:val="000000"/>
              </w:rPr>
            </w:pPr>
          </w:p>
        </w:tc>
        <w:tc>
          <w:tcPr>
            <w:tcW w:w="945"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Siatki i taśmy ginekologiczne, worek do laparoskopii</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rPr>
                <w:color w:val="000000"/>
              </w:rPr>
            </w:pPr>
            <w:r w:rsidRPr="00BD6014">
              <w:rPr>
                <w:i/>
                <w:iCs/>
                <w:color w:val="000000"/>
              </w:rPr>
              <w:t>Przedmiot zamówienia</w:t>
            </w:r>
          </w:p>
        </w:tc>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Ilość</w:t>
            </w:r>
          </w:p>
        </w:tc>
      </w:tr>
      <w:tr w:rsidR="00BD6014" w:rsidRPr="00BD6014" w:rsidTr="00BD6014">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Jednorazowy zestaw do operacyjnego leczenia przedniej ściany pochwy składający się z siatki </w:t>
            </w:r>
            <w:proofErr w:type="spellStart"/>
            <w:r w:rsidRPr="00BD6014">
              <w:rPr>
                <w:color w:val="000000"/>
              </w:rPr>
              <w:t>makroporowatej</w:t>
            </w:r>
            <w:proofErr w:type="spellEnd"/>
            <w:r w:rsidRPr="00BD6014">
              <w:rPr>
                <w:color w:val="000000"/>
              </w:rPr>
              <w:t xml:space="preserve">, </w:t>
            </w:r>
            <w:proofErr w:type="spellStart"/>
            <w:r w:rsidRPr="00BD6014">
              <w:rPr>
                <w:color w:val="000000"/>
              </w:rPr>
              <w:t>monofilamentowej</w:t>
            </w:r>
            <w:proofErr w:type="spellEnd"/>
            <w:r w:rsidRPr="00BD6014">
              <w:rPr>
                <w:color w:val="000000"/>
              </w:rPr>
              <w:t xml:space="preserve">, polipropylenowej, o grubości nici 120 </w:t>
            </w:r>
            <w:proofErr w:type="spellStart"/>
            <w:r w:rsidRPr="00BD6014">
              <w:rPr>
                <w:color w:val="000000"/>
              </w:rPr>
              <w:t>um</w:t>
            </w:r>
            <w:proofErr w:type="spellEnd"/>
            <w:r w:rsidRPr="00BD6014">
              <w:rPr>
                <w:color w:val="000000"/>
              </w:rPr>
              <w:t xml:space="preserve">, wadze 63g/m2, porowatości 80%, w zestawie dwa jednorazowe narzędzia o kształcie </w:t>
            </w:r>
            <w:proofErr w:type="spellStart"/>
            <w:r w:rsidRPr="00BD6014">
              <w:rPr>
                <w:color w:val="000000"/>
              </w:rPr>
              <w:t>helikalnym</w:t>
            </w:r>
            <w:proofErr w:type="spellEnd"/>
            <w:r w:rsidRPr="00BD6014">
              <w:rPr>
                <w:color w:val="000000"/>
              </w:rPr>
              <w:t xml:space="preserve"> do zakładania siatki.(5, 6, 7 cm)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15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Jednorazowy zestaw do operacyjnego leczenia tylnej ściany pochwy składający się z siatki </w:t>
            </w:r>
            <w:proofErr w:type="spellStart"/>
            <w:r w:rsidRPr="00BD6014">
              <w:rPr>
                <w:color w:val="000000"/>
              </w:rPr>
              <w:t>makroporowatej</w:t>
            </w:r>
            <w:proofErr w:type="spellEnd"/>
            <w:r w:rsidRPr="00BD6014">
              <w:rPr>
                <w:color w:val="000000"/>
              </w:rPr>
              <w:t xml:space="preserve">, </w:t>
            </w:r>
            <w:proofErr w:type="spellStart"/>
            <w:r w:rsidRPr="00BD6014">
              <w:rPr>
                <w:color w:val="000000"/>
              </w:rPr>
              <w:t>monofilamentowej</w:t>
            </w:r>
            <w:proofErr w:type="spellEnd"/>
            <w:r w:rsidRPr="00BD6014">
              <w:rPr>
                <w:color w:val="000000"/>
              </w:rPr>
              <w:t xml:space="preserve">, polipropylenowej, o grubości nici 120 </w:t>
            </w:r>
            <w:proofErr w:type="spellStart"/>
            <w:r w:rsidRPr="00BD6014">
              <w:rPr>
                <w:color w:val="000000"/>
              </w:rPr>
              <w:t>um</w:t>
            </w:r>
            <w:proofErr w:type="spellEnd"/>
            <w:r w:rsidRPr="00BD6014">
              <w:rPr>
                <w:color w:val="000000"/>
              </w:rPr>
              <w:t>, wadze 63g/m2, porowatości 80%, w zestawie jednorazowe narzędzia do zakładania siatki.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Taśma do korekcji wysiłkowego nietrzymania moczu u kobiet, taśma bez koszulki, </w:t>
            </w:r>
            <w:proofErr w:type="spellStart"/>
            <w:r w:rsidRPr="00BD6014">
              <w:rPr>
                <w:color w:val="000000"/>
              </w:rPr>
              <w:t>makroporowata</w:t>
            </w:r>
            <w:proofErr w:type="spellEnd"/>
            <w:r w:rsidRPr="00BD6014">
              <w:rPr>
                <w:color w:val="000000"/>
              </w:rPr>
              <w:t xml:space="preserve">, </w:t>
            </w:r>
            <w:proofErr w:type="spellStart"/>
            <w:r w:rsidRPr="00BD6014">
              <w:rPr>
                <w:color w:val="000000"/>
              </w:rPr>
              <w:t>monofilamentowa</w:t>
            </w:r>
            <w:proofErr w:type="spellEnd"/>
            <w:r w:rsidRPr="00BD6014">
              <w:rPr>
                <w:color w:val="000000"/>
              </w:rPr>
              <w:t xml:space="preserve">, polipropylenowa, o grubości nici 120 </w:t>
            </w:r>
            <w:proofErr w:type="spellStart"/>
            <w:r w:rsidRPr="00BD6014">
              <w:rPr>
                <w:color w:val="000000"/>
              </w:rPr>
              <w:t>um</w:t>
            </w:r>
            <w:proofErr w:type="spellEnd"/>
            <w:r w:rsidRPr="00BD6014">
              <w:rPr>
                <w:color w:val="000000"/>
              </w:rPr>
              <w:t xml:space="preserve">, wadze 63g/m2, szerokość taśmy 12mm, długość 500mm i porowatości 80% w zestawie dwa jednorazowe narzędzia o kształcie </w:t>
            </w:r>
            <w:proofErr w:type="spellStart"/>
            <w:r w:rsidRPr="00BD6014">
              <w:rPr>
                <w:color w:val="000000"/>
              </w:rPr>
              <w:t>helikalnym</w:t>
            </w:r>
            <w:proofErr w:type="spellEnd"/>
            <w:r w:rsidRPr="00BD6014">
              <w:rPr>
                <w:color w:val="000000"/>
              </w:rPr>
              <w:t xml:space="preserve"> do zakładania taśmy drogą </w:t>
            </w:r>
            <w:proofErr w:type="spellStart"/>
            <w:r w:rsidRPr="00BD6014">
              <w:rPr>
                <w:color w:val="000000"/>
              </w:rPr>
              <w:t>przezzasłonową</w:t>
            </w:r>
            <w:proofErr w:type="spellEnd"/>
            <w:r w:rsidRPr="00BD6014">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r>
      <w:tr w:rsidR="00BD6014" w:rsidRPr="00BD6014" w:rsidTr="00BD6014">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Worek do laparoskopii </w:t>
            </w:r>
            <w:proofErr w:type="spellStart"/>
            <w:r w:rsidRPr="00BD6014">
              <w:rPr>
                <w:color w:val="000000"/>
              </w:rPr>
              <w:t>Quantity</w:t>
            </w:r>
            <w:proofErr w:type="spellEnd"/>
            <w:r w:rsidRPr="00BD6014">
              <w:rPr>
                <w:color w:val="000000"/>
              </w:rPr>
              <w:t xml:space="preserve"> 200 ml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160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19"/>
        <w:gridCol w:w="7499"/>
        <w:gridCol w:w="929"/>
        <w:gridCol w:w="1104"/>
      </w:tblGrid>
      <w:tr w:rsidR="00BD6014" w:rsidRPr="00BD6014" w:rsidTr="00BD6014">
        <w:trPr>
          <w:trHeight w:val="300"/>
          <w:tblCellSpacing w:w="0" w:type="dxa"/>
        </w:trPr>
        <w:tc>
          <w:tcPr>
            <w:tcW w:w="450" w:type="dxa"/>
            <w:vAlign w:val="center"/>
            <w:hideMark/>
          </w:tcPr>
          <w:p w:rsidR="00BD6014" w:rsidRPr="00BD6014" w:rsidRDefault="00BD6014" w:rsidP="00BD6014">
            <w:pPr>
              <w:jc w:val="center"/>
              <w:rPr>
                <w:color w:val="000000"/>
              </w:rPr>
            </w:pPr>
            <w:r w:rsidRPr="00BD6014">
              <w:rPr>
                <w:color w:val="000000"/>
              </w:rPr>
              <w:t>3</w:t>
            </w:r>
          </w:p>
        </w:tc>
        <w:tc>
          <w:tcPr>
            <w:tcW w:w="7410" w:type="dxa"/>
            <w:vAlign w:val="center"/>
            <w:hideMark/>
          </w:tcPr>
          <w:p w:rsidR="00BD6014" w:rsidRPr="00BD6014" w:rsidRDefault="00BD6014" w:rsidP="00BD6014">
            <w:pPr>
              <w:rPr>
                <w:color w:val="000000"/>
              </w:rPr>
            </w:pPr>
            <w:r w:rsidRPr="00BD6014">
              <w:rPr>
                <w:color w:val="000000"/>
              </w:rPr>
              <w:t xml:space="preserve">PAKIET </w:t>
            </w:r>
          </w:p>
        </w:tc>
        <w:tc>
          <w:tcPr>
            <w:tcW w:w="132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r w:rsidRPr="00BD6014">
              <w:rPr>
                <w:b/>
                <w:bCs/>
                <w:color w:val="000000"/>
              </w:rPr>
              <w:t xml:space="preserve">Wkładki douszne do termometru </w:t>
            </w:r>
            <w:proofErr w:type="spellStart"/>
            <w:r w:rsidRPr="00BD6014">
              <w:rPr>
                <w:b/>
                <w:bCs/>
                <w:color w:val="000000"/>
              </w:rPr>
              <w:t>Theromoscan</w:t>
            </w:r>
            <w:proofErr w:type="spellEnd"/>
            <w:r w:rsidRPr="00BD6014">
              <w:rPr>
                <w:b/>
                <w:bCs/>
                <w:color w:val="000000"/>
              </w:rPr>
              <w:t xml:space="preserve"> PRO 6000</w:t>
            </w: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Wkładki douszne – kapturki higieniczne do termometru dousznego </w:t>
            </w:r>
            <w:proofErr w:type="spellStart"/>
            <w:r w:rsidRPr="00BD6014">
              <w:rPr>
                <w:color w:val="000000"/>
              </w:rPr>
              <w:t>Theromoscan</w:t>
            </w:r>
            <w:proofErr w:type="spellEnd"/>
            <w:r w:rsidRPr="00BD6014">
              <w:rPr>
                <w:color w:val="000000"/>
              </w:rPr>
              <w:t xml:space="preserve"> PRO 6000 firmy Braun (ref 901054)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1600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34"/>
        <w:gridCol w:w="7656"/>
        <w:gridCol w:w="781"/>
        <w:gridCol w:w="980"/>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t>4</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050" w:type="dxa"/>
            <w:vAlign w:val="center"/>
            <w:hideMark/>
          </w:tcPr>
          <w:p w:rsidR="00BD6014" w:rsidRPr="00BD6014" w:rsidRDefault="00BD6014" w:rsidP="00BD6014">
            <w:pPr>
              <w:jc w:val="center"/>
              <w:rPr>
                <w:color w:val="000000"/>
              </w:rPr>
            </w:pPr>
          </w:p>
        </w:tc>
        <w:tc>
          <w:tcPr>
            <w:tcW w:w="1290" w:type="dxa"/>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Żel do EEG</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Ilość</w:t>
            </w:r>
          </w:p>
        </w:tc>
      </w:tr>
      <w:tr w:rsidR="00BD6014" w:rsidRPr="00BD6014" w:rsidTr="00BD6014">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Żel do EEG a 500 ml o odpowiedniej lepkości zapewniającej dobrą przyczepność tak, aby żel nie spływał podczas badania.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Plastikowa końcówka do strzykawki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26"/>
        <w:gridCol w:w="8038"/>
        <w:gridCol w:w="593"/>
        <w:gridCol w:w="794"/>
      </w:tblGrid>
      <w:tr w:rsidR="00BD6014" w:rsidRPr="00BD6014" w:rsidTr="00BD6014">
        <w:trPr>
          <w:trHeight w:val="300"/>
          <w:tblCellSpacing w:w="0" w:type="dxa"/>
        </w:trPr>
        <w:tc>
          <w:tcPr>
            <w:tcW w:w="810" w:type="dxa"/>
            <w:vAlign w:val="center"/>
            <w:hideMark/>
          </w:tcPr>
          <w:p w:rsidR="00BD6014" w:rsidRPr="00BD6014" w:rsidRDefault="00BD6014" w:rsidP="00BD6014">
            <w:pPr>
              <w:jc w:val="center"/>
              <w:rPr>
                <w:color w:val="000000"/>
              </w:rPr>
            </w:pPr>
            <w:r w:rsidRPr="00BD6014">
              <w:rPr>
                <w:color w:val="000000"/>
              </w:rPr>
              <w:t>5</w:t>
            </w:r>
          </w:p>
        </w:tc>
        <w:tc>
          <w:tcPr>
            <w:tcW w:w="7425" w:type="dxa"/>
            <w:vAlign w:val="center"/>
            <w:hideMark/>
          </w:tcPr>
          <w:p w:rsidR="00BD6014" w:rsidRPr="00BD6014" w:rsidRDefault="00BD6014" w:rsidP="00BD6014">
            <w:pPr>
              <w:rPr>
                <w:color w:val="000000"/>
              </w:rPr>
            </w:pPr>
            <w:r w:rsidRPr="00BD6014">
              <w:rPr>
                <w:color w:val="000000"/>
              </w:rPr>
              <w:t>PAKIET</w:t>
            </w:r>
          </w:p>
        </w:tc>
        <w:tc>
          <w:tcPr>
            <w:tcW w:w="930" w:type="dxa"/>
            <w:vAlign w:val="center"/>
            <w:hideMark/>
          </w:tcPr>
          <w:p w:rsidR="00BD6014" w:rsidRPr="00BD6014" w:rsidRDefault="00BD6014" w:rsidP="00BD6014">
            <w:pPr>
              <w:rPr>
                <w:color w:val="000000"/>
              </w:rPr>
            </w:pPr>
          </w:p>
        </w:tc>
        <w:tc>
          <w:tcPr>
            <w:tcW w:w="129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Zestaw do pomiaru ciśnienia (końcówka typu UTAH)</w:t>
            </w: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12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Zestaw jednorazowy do pomiaru ciśnienia z przetwornikiem dostosowanym do aparatu do znieczulania typ FABIUS TIRO DREGER MEDICAL (rok </w:t>
            </w:r>
            <w:proofErr w:type="spellStart"/>
            <w:r w:rsidRPr="00BD6014">
              <w:rPr>
                <w:color w:val="000000"/>
              </w:rPr>
              <w:t>prok</w:t>
            </w:r>
            <w:proofErr w:type="spellEnd"/>
            <w:r w:rsidRPr="00BD6014">
              <w:rPr>
                <w:color w:val="000000"/>
              </w:rPr>
              <w:t xml:space="preserve"> 2013), pojedynczy, do monitora DELTA INFINITY</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69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Zestaw jednorazowy do pomiaru ciśnienia z przetwornikiem - kompatybilne z kablem końcówka typu Utah</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A</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Pojedynczy</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B</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Podwójny </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bl>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4"/>
        <w:gridCol w:w="8317"/>
        <w:gridCol w:w="573"/>
        <w:gridCol w:w="627"/>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lastRenderedPageBreak/>
              <w:t>6</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290" w:type="dxa"/>
            <w:vAlign w:val="center"/>
            <w:hideMark/>
          </w:tcPr>
          <w:p w:rsidR="00BD6014" w:rsidRPr="00BD6014" w:rsidRDefault="00BD6014" w:rsidP="00BD6014">
            <w:pPr>
              <w:jc w:val="center"/>
              <w:rPr>
                <w:color w:val="000000"/>
              </w:rPr>
            </w:pPr>
          </w:p>
        </w:tc>
        <w:tc>
          <w:tcPr>
            <w:tcW w:w="975" w:type="dxa"/>
            <w:vAlign w:val="center"/>
            <w:hideMark/>
          </w:tcPr>
          <w:p w:rsidR="00BD6014" w:rsidRPr="00BD6014" w:rsidRDefault="00BD6014" w:rsidP="00BD6014">
            <w:pPr>
              <w:jc w:val="center"/>
              <w:rPr>
                <w:color w:val="000000"/>
              </w:rPr>
            </w:pPr>
          </w:p>
        </w:tc>
      </w:tr>
      <w:tr w:rsidR="00BD6014" w:rsidRPr="00BD6014" w:rsidTr="00BD6014">
        <w:trPr>
          <w:trHeight w:val="42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Elementy do urządzeń medycznych</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Zastawka wydechowa do Evita 2 </w:t>
            </w:r>
            <w:proofErr w:type="spellStart"/>
            <w:r w:rsidRPr="00BD6014">
              <w:rPr>
                <w:color w:val="000000"/>
              </w:rPr>
              <w:t>dura</w:t>
            </w:r>
            <w:proofErr w:type="spellEnd"/>
            <w:r w:rsidRPr="00BD6014">
              <w:rPr>
                <w:color w:val="000000"/>
              </w:rPr>
              <w:t xml:space="preserve">®, Evita® 4, Evita® XL, jednorazowego użytku, bez pułapki wodnej </w:t>
            </w:r>
            <w:proofErr w:type="spellStart"/>
            <w:r w:rsidRPr="00BD6014">
              <w:rPr>
                <w:color w:val="000000"/>
              </w:rPr>
              <w:t>op</w:t>
            </w:r>
            <w:proofErr w:type="spellEnd"/>
            <w:r w:rsidRPr="00BD6014">
              <w:rPr>
                <w:color w:val="000000"/>
              </w:rPr>
              <w:t xml:space="preserve"> x 10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55</w:t>
            </w:r>
          </w:p>
        </w:tc>
      </w:tr>
      <w:tr w:rsidR="00BD6014" w:rsidRPr="00BD6014" w:rsidTr="00BD6014">
        <w:trPr>
          <w:trHeight w:val="11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vAlign w:val="center"/>
            <w:hideMark/>
          </w:tcPr>
          <w:p w:rsidR="00BD6014" w:rsidRPr="00BD6014" w:rsidRDefault="00BD6014" w:rsidP="00BD6014">
            <w:pPr>
              <w:rPr>
                <w:color w:val="000000"/>
              </w:rPr>
            </w:pPr>
            <w:r w:rsidRPr="00BD6014">
              <w:rPr>
                <w:color w:val="000000"/>
              </w:rPr>
              <w:t xml:space="preserve">Czujnik przepływu- Czujnik przepływu </w:t>
            </w:r>
            <w:proofErr w:type="spellStart"/>
            <w:r w:rsidRPr="00BD6014">
              <w:rPr>
                <w:color w:val="000000"/>
              </w:rPr>
              <w:t>Infinity</w:t>
            </w:r>
            <w:proofErr w:type="spellEnd"/>
            <w:r w:rsidRPr="00BD6014">
              <w:rPr>
                <w:color w:val="000000"/>
              </w:rPr>
              <w:t xml:space="preserve">® ID, ABS, Wyposażony w identyfikator RFID w celu zwiększenia funkcjonalności, przystosowany do dezynfekcji, kompatybilny z urządzeniami medycznymi </w:t>
            </w:r>
            <w:proofErr w:type="spellStart"/>
            <w:r w:rsidRPr="00BD6014">
              <w:rPr>
                <w:color w:val="000000"/>
              </w:rPr>
              <w:t>Drager,op</w:t>
            </w:r>
            <w:proofErr w:type="spellEnd"/>
            <w:r w:rsidRPr="00BD6014">
              <w:rPr>
                <w:color w:val="000000"/>
              </w:rPr>
              <w:t xml:space="preserve"> x 5 </w:t>
            </w: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tlenu kapsuła, kompatybilny z aparatami do znieczulenia </w:t>
            </w:r>
            <w:proofErr w:type="spellStart"/>
            <w:r w:rsidRPr="00BD6014">
              <w:rPr>
                <w:color w:val="000000"/>
              </w:rPr>
              <w:t>Drager</w:t>
            </w:r>
            <w:proofErr w:type="spellEnd"/>
            <w:r w:rsidRPr="00BD6014">
              <w:rPr>
                <w:color w:val="000000"/>
              </w:rPr>
              <w:t xml:space="preserve">, na opakowaniu powinna znajdować się data ostatecznego użycia czujnika, od której producent gwarantuje rok pracy czujnika z urządzeniem medycznym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w:t>
            </w:r>
          </w:p>
        </w:tc>
      </w:tr>
      <w:tr w:rsidR="00BD6014" w:rsidRPr="00BD6014" w:rsidTr="00BD6014">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tlenu do </w:t>
            </w:r>
            <w:proofErr w:type="spellStart"/>
            <w:r w:rsidRPr="00BD6014">
              <w:rPr>
                <w:color w:val="000000"/>
              </w:rPr>
              <w:t>Isolette</w:t>
            </w:r>
            <w:proofErr w:type="spellEnd"/>
            <w:r w:rsidRPr="00BD6014">
              <w:rPr>
                <w:color w:val="000000"/>
              </w:rPr>
              <w:t xml:space="preserve">® C2000/8000, wielokrotnego użytku, </w:t>
            </w:r>
            <w:proofErr w:type="spellStart"/>
            <w:r w:rsidRPr="00BD6014">
              <w:rPr>
                <w:color w:val="000000"/>
              </w:rPr>
              <w:t>op</w:t>
            </w:r>
            <w:proofErr w:type="spellEnd"/>
            <w:r w:rsidRPr="00BD6014">
              <w:rPr>
                <w:color w:val="000000"/>
              </w:rPr>
              <w:t xml:space="preserve"> x 2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20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4F346A" w:rsidRDefault="00BD6014" w:rsidP="00BD6014">
            <w:pPr>
              <w:jc w:val="center"/>
              <w:rPr>
                <w:color w:val="FF0000"/>
              </w:rPr>
            </w:pPr>
            <w:r w:rsidRPr="004F346A">
              <w:rPr>
                <w:color w:val="FF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4F346A" w:rsidRDefault="00BD6014" w:rsidP="00BD6014">
            <w:pPr>
              <w:rPr>
                <w:color w:val="FF0000"/>
              </w:rPr>
            </w:pPr>
            <w:r w:rsidRPr="004F346A">
              <w:rPr>
                <w:color w:val="FF0000"/>
              </w:rPr>
              <w:t xml:space="preserve">Pułapka wodna </w:t>
            </w:r>
            <w:proofErr w:type="spellStart"/>
            <w:r w:rsidRPr="004F346A">
              <w:rPr>
                <w:color w:val="FF0000"/>
              </w:rPr>
              <w:t>WaterLock</w:t>
            </w:r>
            <w:proofErr w:type="spellEnd"/>
            <w:r w:rsidRPr="004F346A">
              <w:rPr>
                <w:color w:val="FF0000"/>
              </w:rPr>
              <w:t xml:space="preserve"> 2 do monitora gazów anestetycznych, przystosowana do pracy z dostępnymi na rynku aparatami </w:t>
            </w:r>
            <w:proofErr w:type="spellStart"/>
            <w:r w:rsidRPr="004F346A">
              <w:rPr>
                <w:color w:val="FF0000"/>
              </w:rPr>
              <w:t>Dräger</w:t>
            </w:r>
            <w:proofErr w:type="spellEnd"/>
            <w:r w:rsidRPr="004F346A">
              <w:rPr>
                <w:color w:val="FF0000"/>
              </w:rPr>
              <w:t xml:space="preserve">. Zabezpiecza moduł pomiarowy. Wyposażona w dwa zintegrowane filtry hydrofobowe. Gwarantowana przez producenta zdatność do pracy 4 tygodnie. Pułapka nie podlegająca sterylizacji. Potwierdzona przez producenta kompatybilność z aparatami </w:t>
            </w:r>
            <w:proofErr w:type="spellStart"/>
            <w:r w:rsidRPr="004F346A">
              <w:rPr>
                <w:color w:val="FF0000"/>
              </w:rPr>
              <w:t>Dräger</w:t>
            </w:r>
            <w:proofErr w:type="spellEnd"/>
            <w:r w:rsidRPr="004F346A">
              <w:rPr>
                <w:color w:val="FF0000"/>
              </w:rPr>
              <w:t xml:space="preserve">. </w:t>
            </w:r>
            <w:proofErr w:type="spellStart"/>
            <w:r w:rsidRPr="004F346A">
              <w:rPr>
                <w:color w:val="FF0000"/>
              </w:rPr>
              <w:t>Op</w:t>
            </w:r>
            <w:proofErr w:type="spellEnd"/>
            <w:r w:rsidRPr="004F346A">
              <w:rPr>
                <w:color w:val="FF0000"/>
              </w:rPr>
              <w:t xml:space="preserve"> x 24 </w:t>
            </w:r>
            <w:proofErr w:type="spellStart"/>
            <w:r w:rsidRPr="004F346A">
              <w:rPr>
                <w:color w:val="FF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4F346A" w:rsidRDefault="00BD6014" w:rsidP="00BD6014">
            <w:pPr>
              <w:jc w:val="center"/>
              <w:rPr>
                <w:color w:val="FF0000"/>
              </w:rPr>
            </w:pPr>
            <w:proofErr w:type="spellStart"/>
            <w:r w:rsidRPr="004F346A">
              <w:rPr>
                <w:color w:val="FF0000"/>
              </w:rPr>
              <w:t>op</w:t>
            </w:r>
            <w:proofErr w:type="spellEnd"/>
            <w:r w:rsidRPr="004F346A">
              <w:rPr>
                <w:color w:val="FF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4F346A" w:rsidRDefault="00BD6014" w:rsidP="00BD6014">
            <w:pPr>
              <w:jc w:val="center"/>
              <w:rPr>
                <w:color w:val="FF0000"/>
              </w:rPr>
            </w:pPr>
            <w:r w:rsidRPr="004F346A">
              <w:rPr>
                <w:color w:val="FF0000"/>
              </w:rPr>
              <w:t>1</w:t>
            </w:r>
          </w:p>
        </w:tc>
      </w:tr>
      <w:tr w:rsidR="00BD6014" w:rsidRPr="00BD6014" w:rsidTr="00BD6014">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SpO2 </w:t>
            </w:r>
            <w:proofErr w:type="spellStart"/>
            <w:r w:rsidRPr="00BD6014">
              <w:rPr>
                <w:color w:val="000000"/>
              </w:rPr>
              <w:t>Nellcor</w:t>
            </w:r>
            <w:proofErr w:type="spellEnd"/>
            <w:r w:rsidRPr="00BD6014">
              <w:rPr>
                <w:color w:val="000000"/>
              </w:rPr>
              <w:t xml:space="preserve">® </w:t>
            </w:r>
            <w:proofErr w:type="spellStart"/>
            <w:r w:rsidRPr="00BD6014">
              <w:rPr>
                <w:color w:val="000000"/>
              </w:rPr>
              <w:t>Oximax</w:t>
            </w:r>
            <w:proofErr w:type="spellEnd"/>
            <w:r w:rsidRPr="00BD6014">
              <w:rPr>
                <w:color w:val="000000"/>
              </w:rPr>
              <w:t xml:space="preserve">® Max-Fast, z plastrem, jednorazowego użytku, na </w:t>
            </w:r>
            <w:proofErr w:type="spellStart"/>
            <w:r w:rsidRPr="00BD6014">
              <w:rPr>
                <w:color w:val="000000"/>
              </w:rPr>
              <w:t>czoło,op</w:t>
            </w:r>
            <w:proofErr w:type="spellEnd"/>
            <w:r w:rsidRPr="00BD6014">
              <w:rPr>
                <w:color w:val="000000"/>
              </w:rPr>
              <w:t xml:space="preserve"> x 24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9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SpO2 </w:t>
            </w:r>
            <w:proofErr w:type="spellStart"/>
            <w:r w:rsidRPr="00BD6014">
              <w:rPr>
                <w:color w:val="000000"/>
              </w:rPr>
              <w:t>Nellcor</w:t>
            </w:r>
            <w:proofErr w:type="spellEnd"/>
            <w:r w:rsidRPr="00BD6014">
              <w:rPr>
                <w:color w:val="000000"/>
              </w:rPr>
              <w:t xml:space="preserve">® </w:t>
            </w:r>
            <w:proofErr w:type="spellStart"/>
            <w:r w:rsidRPr="00BD6014">
              <w:rPr>
                <w:color w:val="000000"/>
              </w:rPr>
              <w:t>Oximax</w:t>
            </w:r>
            <w:proofErr w:type="spellEnd"/>
            <w:r w:rsidRPr="00BD6014">
              <w:rPr>
                <w:color w:val="000000"/>
              </w:rPr>
              <w:t xml:space="preserve">® Max-A, z plastrem, jednorazowego użytku, dla dorosłych, przewód o dł. 46 cm, </w:t>
            </w:r>
            <w:proofErr w:type="spellStart"/>
            <w:r w:rsidRPr="00BD6014">
              <w:rPr>
                <w:color w:val="000000"/>
              </w:rPr>
              <w:t>op</w:t>
            </w:r>
            <w:proofErr w:type="spellEnd"/>
            <w:r w:rsidRPr="00BD6014">
              <w:rPr>
                <w:color w:val="000000"/>
              </w:rPr>
              <w:t xml:space="preserve"> x 24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Układ oddechowy do </w:t>
            </w:r>
            <w:proofErr w:type="spellStart"/>
            <w:r w:rsidRPr="00BD6014">
              <w:rPr>
                <w:color w:val="000000"/>
              </w:rPr>
              <w:t>Resuscitaire</w:t>
            </w:r>
            <w:proofErr w:type="spellEnd"/>
            <w:r w:rsidRPr="00BD6014">
              <w:rPr>
                <w:color w:val="000000"/>
              </w:rPr>
              <w:t xml:space="preserve">® z </w:t>
            </w:r>
            <w:proofErr w:type="spellStart"/>
            <w:r w:rsidRPr="00BD6014">
              <w:rPr>
                <w:color w:val="000000"/>
              </w:rPr>
              <w:t>AutoBreath</w:t>
            </w:r>
            <w:proofErr w:type="spellEnd"/>
            <w:r w:rsidRPr="00BD6014">
              <w:rPr>
                <w:color w:val="000000"/>
              </w:rPr>
              <w:t>, jednorazowego użytku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Filtr powietrza wlotowego do </w:t>
            </w:r>
            <w:proofErr w:type="spellStart"/>
            <w:r w:rsidRPr="00BD6014">
              <w:rPr>
                <w:color w:val="000000"/>
              </w:rPr>
              <w:t>Isolette</w:t>
            </w:r>
            <w:proofErr w:type="spellEnd"/>
            <w:r w:rsidRPr="00BD6014">
              <w:rPr>
                <w:color w:val="000000"/>
              </w:rPr>
              <w:t xml:space="preserve">® C2000/8000, wielokrotnego użytku, </w:t>
            </w:r>
            <w:proofErr w:type="spellStart"/>
            <w:r w:rsidRPr="00BD6014">
              <w:rPr>
                <w:color w:val="000000"/>
              </w:rPr>
              <w:t>op</w:t>
            </w:r>
            <w:proofErr w:type="spellEnd"/>
            <w:r w:rsidRPr="00BD6014">
              <w:rPr>
                <w:color w:val="000000"/>
              </w:rPr>
              <w:t xml:space="preserve"> x 4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Zestaw linii próbkującej do </w:t>
            </w:r>
            <w:proofErr w:type="spellStart"/>
            <w:r w:rsidRPr="00BD6014">
              <w:rPr>
                <w:color w:val="000000"/>
              </w:rPr>
              <w:t>Scio</w:t>
            </w:r>
            <w:proofErr w:type="spellEnd"/>
            <w:r w:rsidRPr="00BD6014">
              <w:rPr>
                <w:color w:val="000000"/>
              </w:rPr>
              <w:t xml:space="preserve"> </w:t>
            </w:r>
            <w:proofErr w:type="spellStart"/>
            <w:r w:rsidRPr="00BD6014">
              <w:rPr>
                <w:color w:val="000000"/>
              </w:rPr>
              <w:t>op</w:t>
            </w:r>
            <w:proofErr w:type="spellEnd"/>
            <w:r w:rsidRPr="00BD6014">
              <w:rPr>
                <w:color w:val="000000"/>
              </w:rPr>
              <w:t xml:space="preserve"> x 10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42"/>
        <w:gridCol w:w="7485"/>
        <w:gridCol w:w="1068"/>
        <w:gridCol w:w="856"/>
      </w:tblGrid>
      <w:tr w:rsidR="00BD6014" w:rsidRPr="00BD6014" w:rsidTr="00BD6014">
        <w:trPr>
          <w:trHeight w:val="300"/>
          <w:tblCellSpacing w:w="0" w:type="dxa"/>
        </w:trPr>
        <w:tc>
          <w:tcPr>
            <w:tcW w:w="765" w:type="dxa"/>
            <w:vAlign w:val="center"/>
            <w:hideMark/>
          </w:tcPr>
          <w:p w:rsidR="00BD6014" w:rsidRPr="00BD6014" w:rsidRDefault="00BD6014" w:rsidP="00BD6014">
            <w:pPr>
              <w:jc w:val="center"/>
              <w:rPr>
                <w:color w:val="000000"/>
              </w:rPr>
            </w:pPr>
            <w:r w:rsidRPr="00BD6014">
              <w:rPr>
                <w:color w:val="000000"/>
              </w:rPr>
              <w:t>7</w:t>
            </w:r>
          </w:p>
        </w:tc>
        <w:tc>
          <w:tcPr>
            <w:tcW w:w="7425" w:type="dxa"/>
            <w:vAlign w:val="center"/>
            <w:hideMark/>
          </w:tcPr>
          <w:p w:rsidR="00BD6014" w:rsidRPr="00BD6014" w:rsidRDefault="00BD6014" w:rsidP="00BD6014">
            <w:pPr>
              <w:rPr>
                <w:color w:val="000000"/>
              </w:rPr>
            </w:pPr>
            <w:r w:rsidRPr="00BD6014">
              <w:rPr>
                <w:color w:val="000000"/>
              </w:rPr>
              <w:t xml:space="preserve">PAKIET </w:t>
            </w:r>
          </w:p>
        </w:tc>
        <w:tc>
          <w:tcPr>
            <w:tcW w:w="1680" w:type="dxa"/>
            <w:vAlign w:val="center"/>
            <w:hideMark/>
          </w:tcPr>
          <w:p w:rsidR="00BD6014" w:rsidRPr="00BD6014" w:rsidRDefault="00BD6014" w:rsidP="00BD6014">
            <w:pPr>
              <w:rPr>
                <w:color w:val="000000"/>
              </w:rPr>
            </w:pPr>
          </w:p>
        </w:tc>
        <w:tc>
          <w:tcPr>
            <w:tcW w:w="1290" w:type="dxa"/>
            <w:vAlign w:val="center"/>
            <w:hideMark/>
          </w:tcPr>
          <w:p w:rsidR="00BD6014" w:rsidRPr="00BD6014" w:rsidRDefault="00BD6014" w:rsidP="00BD6014">
            <w:pP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315"/>
          <w:tblCellSpacing w:w="0" w:type="dxa"/>
        </w:trPr>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r w:rsidRPr="00BD6014">
              <w:rPr>
                <w:b/>
                <w:bCs/>
                <w:color w:val="000000"/>
              </w:rPr>
              <w:t>Asortyment do kontenerów firmy Braun</w:t>
            </w: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84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Plomba zabezpieczająca zamknięty kontener przed otwarciem, informująca, że kontener nie był jeszcze otwierany; kompatybilna z kontenerem firmy B Braun</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xml:space="preserve">op. (1000 </w:t>
            </w:r>
            <w:proofErr w:type="spellStart"/>
            <w:r w:rsidRPr="00BD6014">
              <w:rPr>
                <w:color w:val="000000"/>
              </w:rPr>
              <w:t>szt</w:t>
            </w:r>
            <w:proofErr w:type="spellEnd"/>
            <w:r w:rsidRPr="00BD6014">
              <w:rPr>
                <w:color w:val="000000"/>
              </w:rPr>
              <w:t>)</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Plomba, wskaźnik sterylności z warstwą klejącą, kompatybilna z kontenerem firmy B Braun</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xml:space="preserve">op. (1000 </w:t>
            </w:r>
            <w:proofErr w:type="spellStart"/>
            <w:r w:rsidRPr="00BD6014">
              <w:rPr>
                <w:color w:val="000000"/>
              </w:rPr>
              <w:t>szt</w:t>
            </w:r>
            <w:proofErr w:type="spellEnd"/>
            <w:r w:rsidRPr="00BD6014">
              <w:rPr>
                <w:color w:val="000000"/>
              </w:rPr>
              <w:t>)</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10"/>
        <w:gridCol w:w="7658"/>
        <w:gridCol w:w="772"/>
        <w:gridCol w:w="1011"/>
      </w:tblGrid>
      <w:tr w:rsidR="00BD6014" w:rsidRPr="00BD6014" w:rsidTr="00BD6014">
        <w:trPr>
          <w:trHeight w:val="300"/>
          <w:tblCellSpacing w:w="0" w:type="dxa"/>
        </w:trPr>
        <w:tc>
          <w:tcPr>
            <w:tcW w:w="615" w:type="dxa"/>
            <w:vAlign w:val="center"/>
            <w:hideMark/>
          </w:tcPr>
          <w:p w:rsidR="00BD6014" w:rsidRPr="00BD6014" w:rsidRDefault="00BD6014" w:rsidP="00BD6014">
            <w:pPr>
              <w:jc w:val="center"/>
              <w:rPr>
                <w:color w:val="000000"/>
              </w:rPr>
            </w:pPr>
            <w:r w:rsidRPr="00BD6014">
              <w:rPr>
                <w:color w:val="000000"/>
              </w:rPr>
              <w:t>8</w:t>
            </w:r>
          </w:p>
        </w:tc>
        <w:tc>
          <w:tcPr>
            <w:tcW w:w="7425" w:type="dxa"/>
            <w:vAlign w:val="center"/>
            <w:hideMark/>
          </w:tcPr>
          <w:p w:rsidR="00BD6014" w:rsidRPr="00BD6014" w:rsidRDefault="00BD6014" w:rsidP="00BD6014">
            <w:pPr>
              <w:rPr>
                <w:color w:val="000000"/>
              </w:rPr>
            </w:pPr>
            <w:r w:rsidRPr="00BD6014">
              <w:rPr>
                <w:color w:val="000000"/>
              </w:rPr>
              <w:t xml:space="preserve">PAKIET </w:t>
            </w:r>
          </w:p>
        </w:tc>
        <w:tc>
          <w:tcPr>
            <w:tcW w:w="1035" w:type="dxa"/>
            <w:vAlign w:val="center"/>
            <w:hideMark/>
          </w:tcPr>
          <w:p w:rsidR="00BD6014" w:rsidRPr="00BD6014" w:rsidRDefault="00BD6014" w:rsidP="00BD6014">
            <w:pPr>
              <w:jc w:val="center"/>
              <w:rPr>
                <w:color w:val="000000"/>
              </w:rPr>
            </w:pPr>
          </w:p>
        </w:tc>
        <w:tc>
          <w:tcPr>
            <w:tcW w:w="129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 xml:space="preserve">Czepki chirurgiczne + ochraniacze </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Czepek chirurgiczny na gumce, duży, pochłaniający pot</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11000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Czepek chirurgiczny, męski, wiązany na troki, pochłaniający pot, XL - duży</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6600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Pokrowce higieniczne na buty, foliowe, antypoślizgowe, ściągane na gumkę, pakowane po 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Obuwie ochronne z </w:t>
            </w:r>
            <w:proofErr w:type="spellStart"/>
            <w:r w:rsidRPr="00BD6014">
              <w:rPr>
                <w:color w:val="000000"/>
              </w:rPr>
              <w:t>fliseliny</w:t>
            </w:r>
            <w:proofErr w:type="spellEnd"/>
            <w:r w:rsidRPr="00BD6014">
              <w:rPr>
                <w:color w:val="000000"/>
              </w:rPr>
              <w:t xml:space="preserve"> z folią od środka z przedłużeniem do kolan, zakończone gumką lub wiązane,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2200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8"/>
        <w:gridCol w:w="8156"/>
        <w:gridCol w:w="610"/>
        <w:gridCol w:w="747"/>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t>9</w:t>
            </w:r>
          </w:p>
        </w:tc>
        <w:tc>
          <w:tcPr>
            <w:tcW w:w="7740"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Materiały zużywalne 2</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138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Zestaw do ssania opłucnowego z wymienną komorą o pojemności 2000-2500ml, trzykomorowy – umożliwiający bierne lub czynne ssanie z regulacją siły ssania do 30cm H2O, z zastawką wodną odporną na wywrócenie zestawu, z zaworem bezpieczeństwa, z możliwością postawienia i zawieszenia, jałowy.</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Łączniki stożkowe do drenów opłucnowych</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A</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„Y” z przezroczystego tworzywa pakowane pojedynczo, jałowe</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B</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Prosty, z przezroczystego tworzywa, pakowany pojedynczo, jałowy, o średnicy wewnętrznej 8mm</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330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Zestaw do pobierania wydzieliny z dróg oddechowych, sterylny</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380</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Cewnik do żywienia dojelitowego </w:t>
            </w:r>
            <w:proofErr w:type="spellStart"/>
            <w:r w:rsidRPr="00BD6014">
              <w:rPr>
                <w:color w:val="000000"/>
              </w:rPr>
              <w:t>jejunostomia</w:t>
            </w:r>
            <w:proofErr w:type="spellEnd"/>
            <w:r w:rsidRPr="00BD6014">
              <w:rPr>
                <w:color w:val="000000"/>
              </w:rPr>
              <w:t xml:space="preserve"> typu ref 1180263004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15</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616"/>
        <w:gridCol w:w="6768"/>
        <w:gridCol w:w="1200"/>
        <w:gridCol w:w="1367"/>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t>10</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 xml:space="preserve">Zestaw do monitorowania ciśnienia </w:t>
            </w:r>
            <w:proofErr w:type="spellStart"/>
            <w:r w:rsidRPr="00BD6014">
              <w:rPr>
                <w:b/>
                <w:bCs/>
                <w:color w:val="000000"/>
              </w:rPr>
              <w:t>śródbrzusznego</w:t>
            </w:r>
            <w:proofErr w:type="spellEnd"/>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Zestaw do monitorowania ciśnienia </w:t>
            </w:r>
            <w:proofErr w:type="spellStart"/>
            <w:r w:rsidRPr="00BD6014">
              <w:rPr>
                <w:color w:val="000000"/>
              </w:rPr>
              <w:t>śródbrzusznego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zestaw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7</w:t>
            </w:r>
          </w:p>
        </w:tc>
      </w:tr>
    </w:tbl>
    <w:p w:rsidR="00BD6014" w:rsidRDefault="00BD6014" w:rsidP="00BD6014">
      <w:pPr>
        <w:rPr>
          <w:b/>
          <w:bCs/>
        </w:rPr>
      </w:pPr>
    </w:p>
    <w:p w:rsidR="00BC0290" w:rsidRDefault="00BC0290" w:rsidP="00BD6014">
      <w:pPr>
        <w:rPr>
          <w:b/>
          <w:bCs/>
        </w:rPr>
      </w:pPr>
    </w:p>
    <w:p w:rsidR="00BC0290" w:rsidRDefault="00BC0290" w:rsidP="00BD6014">
      <w:pPr>
        <w:rPr>
          <w:b/>
          <w:bCs/>
        </w:rPr>
      </w:pPr>
    </w:p>
    <w:p w:rsidR="00BC0290" w:rsidRPr="00905A56" w:rsidRDefault="00BC0290" w:rsidP="00BD6014">
      <w:pPr>
        <w:rPr>
          <w:b/>
          <w:bCs/>
        </w:rPr>
      </w:pPr>
    </w:p>
    <w:tbl>
      <w:tblPr>
        <w:tblW w:w="0" w:type="auto"/>
        <w:tblCellSpacing w:w="0" w:type="dxa"/>
        <w:tblCellMar>
          <w:top w:w="15" w:type="dxa"/>
          <w:left w:w="15" w:type="dxa"/>
          <w:bottom w:w="15" w:type="dxa"/>
          <w:right w:w="15" w:type="dxa"/>
        </w:tblCellMar>
        <w:tblLook w:val="04A0"/>
      </w:tblPr>
      <w:tblGrid>
        <w:gridCol w:w="443"/>
        <w:gridCol w:w="8147"/>
        <w:gridCol w:w="594"/>
        <w:gridCol w:w="767"/>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lastRenderedPageBreak/>
              <w:t>11</w:t>
            </w:r>
          </w:p>
        </w:tc>
        <w:tc>
          <w:tcPr>
            <w:tcW w:w="7740"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Zestaw do nadłonowego drenażu pęcherza moczowego</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1380"/>
          <w:tblCellSpacing w:w="0" w:type="dxa"/>
        </w:trPr>
        <w:tc>
          <w:tcPr>
            <w:tcW w:w="0" w:type="auto"/>
            <w:tcBorders>
              <w:left w:val="single" w:sz="6" w:space="0" w:color="000000"/>
              <w:bottom w:val="single" w:sz="6" w:space="0" w:color="000000"/>
            </w:tcBorders>
            <w:vAlign w:val="center"/>
            <w:hideMark/>
          </w:tcPr>
          <w:p w:rsidR="00BD6014" w:rsidRPr="00BD6014" w:rsidRDefault="00BC0290" w:rsidP="00BD6014">
            <w:pPr>
              <w:jc w:val="center"/>
              <w:rPr>
                <w:color w:val="000000"/>
              </w:rPr>
            </w:pPr>
            <w:r>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Zestaw do nadłonowego drenażu pęcherza moczowego z cewnikiem balonowym zawierający: 1.rozszerzadło z </w:t>
            </w:r>
            <w:proofErr w:type="spellStart"/>
            <w:r w:rsidRPr="00BD6014">
              <w:rPr>
                <w:color w:val="000000"/>
              </w:rPr>
              <w:t>rozrywalną</w:t>
            </w:r>
            <w:proofErr w:type="spellEnd"/>
            <w:r w:rsidRPr="00BD6014">
              <w:rPr>
                <w:color w:val="000000"/>
              </w:rPr>
              <w:t xml:space="preserve"> kaniulą plastikową 2.cewnik balonowy, ok.40cm, wykonany z silikonu (pojemność balonu 5ml, otwór centralny w cewniku, 2 otwory boczne) 3.zatyczkę do cewnika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
        </w:tc>
      </w:tr>
      <w:tr w:rsidR="00BD6014" w:rsidRPr="00BD6014" w:rsidTr="00BD6014">
        <w:trPr>
          <w:trHeight w:val="42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A</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cewnik w rozm.Ch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45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B</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cewnik w rozm.Ch 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0"/>
        <w:gridCol w:w="8257"/>
        <w:gridCol w:w="544"/>
        <w:gridCol w:w="720"/>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t>12</w:t>
            </w:r>
          </w:p>
        </w:tc>
        <w:tc>
          <w:tcPr>
            <w:tcW w:w="13410"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Akcesoria jednorazowe do AIRVO 2</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41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 xml:space="preserve">Układ oddechowy (rura </w:t>
            </w:r>
            <w:proofErr w:type="spellStart"/>
            <w:r w:rsidRPr="00BD6014">
              <w:rPr>
                <w:b/>
                <w:bCs/>
                <w:color w:val="000000"/>
              </w:rPr>
              <w:t>airspiral</w:t>
            </w:r>
            <w:proofErr w:type="spellEnd"/>
            <w:r w:rsidRPr="00BD6014">
              <w:rPr>
                <w:b/>
                <w:bCs/>
                <w:color w:val="000000"/>
              </w:rPr>
              <w:t>) do oddychania ogrzanym i nawilżonym powietrzem</w:t>
            </w:r>
            <w:r w:rsidRPr="00BD6014">
              <w:rPr>
                <w:bCs/>
                <w:color w:val="000000"/>
              </w:rPr>
              <w:t xml:space="preserve"> z </w:t>
            </w:r>
            <w:proofErr w:type="spellStart"/>
            <w:r w:rsidRPr="00BD6014">
              <w:rPr>
                <w:bCs/>
                <w:color w:val="000000"/>
              </w:rPr>
              <w:t>samonapełniającą</w:t>
            </w:r>
            <w:proofErr w:type="spellEnd"/>
            <w:r w:rsidRPr="00BD6014">
              <w:rPr>
                <w:bCs/>
                <w:color w:val="000000"/>
              </w:rPr>
              <w:t xml:space="preserve"> się komorą. Rurka do oddychania ogrzewanym powietrzem do dostarczania nawilżonych gazów oddechowych z wbudowaną w ściankach podwójną spiralą grzejną. Dodatkowe zastosowanie spirali izolacyjnej zawierającej ogrzane powietrze otaczającej gaz oddechowy zmniejsza ryzyko tworzenia się skroplin. Rurka z wbudowanym czujnikami temperatury i czujnikiem przepływu. </w:t>
            </w:r>
            <w:proofErr w:type="spellStart"/>
            <w:r w:rsidRPr="00BD6014">
              <w:rPr>
                <w:bCs/>
                <w:color w:val="000000"/>
              </w:rPr>
              <w:t>Kompatyblina</w:t>
            </w:r>
            <w:proofErr w:type="spellEnd"/>
            <w:r w:rsidRPr="00BD6014">
              <w:rPr>
                <w:bCs/>
                <w:color w:val="000000"/>
              </w:rPr>
              <w:t xml:space="preserve"> z </w:t>
            </w:r>
            <w:proofErr w:type="spellStart"/>
            <w:r w:rsidRPr="00BD6014">
              <w:rPr>
                <w:bCs/>
                <w:color w:val="000000"/>
              </w:rPr>
              <w:t>nawilżaczam</w:t>
            </w:r>
            <w:proofErr w:type="spellEnd"/>
            <w:r w:rsidRPr="00BD6014">
              <w:rPr>
                <w:bCs/>
                <w:color w:val="000000"/>
              </w:rPr>
              <w:t xml:space="preserve"> serii Airvo2. Do użycia przy przepływach od 2 do 60 l/min w zależności od zastosowanego interfejsu. Kompatybilne przyłącza pacjenta: kaniula donosowa, bezpośrednie połączenie z rurką </w:t>
            </w:r>
            <w:proofErr w:type="spellStart"/>
            <w:r w:rsidRPr="00BD6014">
              <w:rPr>
                <w:bCs/>
                <w:color w:val="000000"/>
              </w:rPr>
              <w:t>tracheostomijną</w:t>
            </w:r>
            <w:proofErr w:type="spellEnd"/>
            <w:r w:rsidRPr="00BD6014">
              <w:rPr>
                <w:bCs/>
                <w:color w:val="000000"/>
              </w:rPr>
              <w:t xml:space="preserve">. Połączenie z częścią kontaktującą się </w:t>
            </w:r>
            <w:r w:rsidRPr="00BD6014">
              <w:rPr>
                <w:bCs/>
                <w:color w:val="000000"/>
              </w:rPr>
              <w:br/>
              <w:t xml:space="preserve">z pacjentem poprzez </w:t>
            </w:r>
            <w:proofErr w:type="spellStart"/>
            <w:r w:rsidRPr="00BD6014">
              <w:rPr>
                <w:bCs/>
                <w:color w:val="000000"/>
              </w:rPr>
              <w:t>charakrerystyczne</w:t>
            </w:r>
            <w:proofErr w:type="spellEnd"/>
            <w:r w:rsidRPr="00BD6014">
              <w:rPr>
                <w:bCs/>
                <w:color w:val="000000"/>
              </w:rPr>
              <w:t xml:space="preserve"> kliknięcie. Stożkowe zakończenie rurki do oddychania kompatybilne zarówno z interfejsami dla dorosłych – kaniule </w:t>
            </w:r>
            <w:proofErr w:type="spellStart"/>
            <w:r w:rsidRPr="00BD6014">
              <w:rPr>
                <w:bCs/>
                <w:color w:val="000000"/>
              </w:rPr>
              <w:t>Opriflow</w:t>
            </w:r>
            <w:proofErr w:type="spellEnd"/>
            <w:r w:rsidRPr="00BD6014">
              <w:rPr>
                <w:bCs/>
                <w:color w:val="000000"/>
              </w:rPr>
              <w:t xml:space="preserve"> jak i z interfejsami dla niemowląt i dzieci – </w:t>
            </w:r>
            <w:proofErr w:type="spellStart"/>
            <w:r w:rsidRPr="00BD6014">
              <w:rPr>
                <w:bCs/>
                <w:color w:val="000000"/>
              </w:rPr>
              <w:t>Optiflow</w:t>
            </w:r>
            <w:proofErr w:type="spellEnd"/>
            <w:r w:rsidRPr="00BD6014">
              <w:rPr>
                <w:bCs/>
                <w:color w:val="000000"/>
              </w:rPr>
              <w:t xml:space="preserve"> Junior. Układ dodatkowo wyposażony w zacisk umożliwiający przymocowanie go do pościeli lub odzieży pacjenta. Długość układu 180 </w:t>
            </w:r>
            <w:proofErr w:type="spellStart"/>
            <w:r w:rsidRPr="00BD6014">
              <w:rPr>
                <w:bCs/>
                <w:color w:val="000000"/>
              </w:rPr>
              <w:t>cm</w:t>
            </w:r>
            <w:proofErr w:type="spellEnd"/>
            <w:r w:rsidRPr="00BD6014">
              <w:rPr>
                <w:bCs/>
                <w:color w:val="000000"/>
              </w:rPr>
              <w:t xml:space="preserve">. Komora nawilżacza stanowi element układu oddechowego. Komora z automatycznym poborem wody, wyposażona w system podwójnego pływaka (pierwotnego i wtórnego) zabezpieczającego przed przelaniem wody. Podłączenie komory do nawilżacza za po mocą adaptera będącego w komplecie układu. </w:t>
            </w:r>
            <w:r w:rsidRPr="00BD6014">
              <w:rPr>
                <w:bCs/>
                <w:color w:val="000000"/>
              </w:rPr>
              <w:br/>
              <w:t>Zestaw rurka i komora nawilżacza przeznaczone do stosowania przez 14 dni. Każdy komplet pakowany oddzielnie. Opakowanie zbiorcze 10 sztuk.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014" w:rsidRPr="00BD6014" w:rsidRDefault="00BD6014" w:rsidP="00BD6014">
            <w:pPr>
              <w:rPr>
                <w:color w:val="000000"/>
              </w:rPr>
            </w:pPr>
            <w:r w:rsidRPr="00BD6014">
              <w:rPr>
                <w:b/>
                <w:bCs/>
                <w:color w:val="000000"/>
              </w:rPr>
              <w:t>Filtr powietrza do Airvo2</w:t>
            </w:r>
            <w:r w:rsidRPr="00BD6014">
              <w:rPr>
                <w:bCs/>
                <w:color w:val="000000"/>
              </w:rPr>
              <w:t xml:space="preserve">, opakowanie zbiorcze 2 sztuki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552017">
        <w:trPr>
          <w:trHeight w:val="39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Złącze bezpośrednie pacjenta do tracheostomii do dostarczania nawilżonych gazów oddechowych.</w:t>
            </w:r>
            <w:r w:rsidRPr="00BD6014">
              <w:rPr>
                <w:bCs/>
                <w:color w:val="000000"/>
              </w:rPr>
              <w:t xml:space="preserve"> Przewód przyłączenia wykonany w technologii </w:t>
            </w:r>
            <w:proofErr w:type="spellStart"/>
            <w:r w:rsidRPr="00BD6014">
              <w:rPr>
                <w:bCs/>
                <w:color w:val="000000"/>
              </w:rPr>
              <w:t>Evaqua</w:t>
            </w:r>
            <w:proofErr w:type="spellEnd"/>
            <w:r w:rsidRPr="00BD6014">
              <w:rPr>
                <w:bCs/>
                <w:color w:val="000000"/>
              </w:rPr>
              <w:t xml:space="preserve">, ograniczającej tworzenie się mobilnego kondensatu. Możliwość podłączenia kołnierza </w:t>
            </w:r>
            <w:proofErr w:type="spellStart"/>
            <w:r w:rsidRPr="00BD6014">
              <w:rPr>
                <w:bCs/>
                <w:color w:val="000000"/>
              </w:rPr>
              <w:t>tracheostomijnego</w:t>
            </w:r>
            <w:proofErr w:type="spellEnd"/>
            <w:r w:rsidRPr="00BD6014">
              <w:rPr>
                <w:bCs/>
                <w:color w:val="000000"/>
              </w:rPr>
              <w:t xml:space="preserve"> bezpośrednio lub poprzez część kontaktującą się z pacjentem. Złącze przeznaczone do stosowania przez 14 dni. Każda złącze w oddzielnym opakowaniu. Opakowanie zbiorcze 20 szt. Zakres przepływu 20 – 60 </w:t>
            </w:r>
            <w:r w:rsidRPr="00BD6014">
              <w:rPr>
                <w:bCs/>
                <w:color w:val="000000"/>
              </w:rPr>
              <w:lastRenderedPageBreak/>
              <w:t>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lastRenderedPageBreak/>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3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Kaniula donosowa</w:t>
            </w:r>
            <w:r w:rsidRPr="00BD6014">
              <w:rPr>
                <w:bCs/>
                <w:color w:val="000000"/>
              </w:rPr>
              <w:t xml:space="preserve"> do nosowej wentylacji wysokoprzepływowej dla dorosłych kaniula donosowa interfejsu pacjenta przeznaczona do dostarczania nawilżonych gazów oddechowych. Zakres przepływu 10 - 60 l/min. w zależności od rozmiaru kaniuli. Przeznaczona do stosowania ze wszystkimi systemami firmy </w:t>
            </w:r>
            <w:proofErr w:type="spellStart"/>
            <w:r w:rsidRPr="00BD6014">
              <w:rPr>
                <w:bCs/>
                <w:color w:val="000000"/>
              </w:rPr>
              <w:t>F&amp;P</w:t>
            </w:r>
            <w:proofErr w:type="spellEnd"/>
            <w:r w:rsidRPr="00BD6014">
              <w:rPr>
                <w:bCs/>
                <w:color w:val="000000"/>
              </w:rPr>
              <w:t xml:space="preserve">, w tym </w:t>
            </w:r>
            <w:r w:rsidRPr="00BD6014">
              <w:rPr>
                <w:bCs/>
                <w:color w:val="000000"/>
              </w:rPr>
              <w:br/>
              <w:t xml:space="preserve">z systemem Airvo2. Unikatowa, wklęsła podstawa oraz wypustki o łagodnych krawędziach dla zapewnienia komfortu w okolicy przegrody i nozdrzy. Krawędzie dostosowane do kształtu górnej wargi nie blokują ust. Miękkie podkładki na policzki zapewniające stabilność przy jednoczesnym zminimalizowaniu nacisku na twarz. Podkładki oznaczone kolorami umożliwiające natychmiastowe rozpoznanie odpowiedniego rozmiaru. Zacisk na pasku na głowę podtrzymujący obwód </w:t>
            </w:r>
            <w:r w:rsidRPr="00BD6014">
              <w:rPr>
                <w:bCs/>
                <w:color w:val="000000"/>
              </w:rPr>
              <w:br/>
              <w:t xml:space="preserve">i zapobiegający wypadaniu kaniuli. Regulowany pasek wykonany z miękkiego, bezszwowego materiału. Przewód kaniuli wykonany w technologii </w:t>
            </w:r>
            <w:proofErr w:type="spellStart"/>
            <w:r w:rsidRPr="00BD6014">
              <w:rPr>
                <w:bCs/>
                <w:color w:val="000000"/>
              </w:rPr>
              <w:t>Evaqua</w:t>
            </w:r>
            <w:proofErr w:type="spellEnd"/>
            <w:r w:rsidRPr="00BD6014">
              <w:rPr>
                <w:bCs/>
                <w:color w:val="000000"/>
              </w:rPr>
              <w:t xml:space="preserve">, ograniczającej tworzenie się mobilnego kondensatu wykonany z materiału przepuszczalnego </w:t>
            </w:r>
            <w:proofErr w:type="spellStart"/>
            <w:r w:rsidRPr="00BD6014">
              <w:rPr>
                <w:bCs/>
                <w:color w:val="000000"/>
              </w:rPr>
              <w:t>umożliwające</w:t>
            </w:r>
            <w:proofErr w:type="spellEnd"/>
            <w:r w:rsidRPr="00BD6014">
              <w:rPr>
                <w:bCs/>
                <w:color w:val="000000"/>
              </w:rPr>
              <w:t xml:space="preserve"> swobodne przenikanie pary wodnej przez ściany przewodu. Kaniula przeznaczona do stosowania przez 14 dni. Każda kaniula w oddzielnym opakowaniu. Opakowanie zbiorcze 20 szt. Rozmiar S dla przepływu 10-50 l/min, podkładka w kolorze pomarańczowym; Rozmiar M dla przepływu 10-60 l/min, podkładka w kolorze niebieskim; Rozmiar L dla przepływu 10-60 l/min, podkładka w kolorze zielonym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3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 xml:space="preserve">Kaniula donosowa </w:t>
            </w:r>
            <w:proofErr w:type="spellStart"/>
            <w:r w:rsidRPr="00BD6014">
              <w:rPr>
                <w:b/>
                <w:bCs/>
                <w:color w:val="000000"/>
              </w:rPr>
              <w:t>Optiflow</w:t>
            </w:r>
            <w:proofErr w:type="spellEnd"/>
            <w:r w:rsidRPr="00BD6014">
              <w:rPr>
                <w:b/>
                <w:bCs/>
                <w:color w:val="000000"/>
              </w:rPr>
              <w:t xml:space="preserve"> Junior2</w:t>
            </w:r>
            <w:r w:rsidRPr="00BD6014">
              <w:rPr>
                <w:bCs/>
                <w:color w:val="000000"/>
              </w:rPr>
              <w:t xml:space="preserve"> do terapii wysokoprzepływowej, w rozmiarze L, nie zawiera PVC ani ftalanów. Przystosowana do współpracy z podgrzewanymi układami oddechowymi serii RT330, RT331, 900PT561 (Airvo2) produkcji </w:t>
            </w:r>
            <w:proofErr w:type="spellStart"/>
            <w:r w:rsidRPr="00BD6014">
              <w:rPr>
                <w:bCs/>
                <w:color w:val="000000"/>
              </w:rPr>
              <w:t>Fisher&amp;Paykel</w:t>
            </w:r>
            <w:proofErr w:type="spellEnd"/>
            <w:r w:rsidRPr="00BD6014">
              <w:rPr>
                <w:bCs/>
                <w:color w:val="000000"/>
              </w:rPr>
              <w:t xml:space="preserve"> Healthcare. Umożliwia dostarczenie przepływu gazów między 0,5 – 25 l/min. Rurka doprowadzająca gaz wykonana jest z materiału przepuszczalnego dla pary wodnej, aby zminimalizować kondensację, zawiera wewnątrz stalową spiralę , aby zapobiegać zatkaniu oraz zgniataniu. Konstrukcja kaniuli zapewnia dopływ dwóch niezależnych strumieni gazu. Kształt kaniuli w formie 3 D w postaci fali wspomaga utrzymywanie wypustek w nozdrzach. </w:t>
            </w:r>
            <w:r w:rsidRPr="00BD6014">
              <w:rPr>
                <w:bCs/>
                <w:color w:val="000000"/>
              </w:rPr>
              <w:br/>
              <w:t xml:space="preserve">Mocowanie kaniuli z układem oddechowym za pomocą złącza </w:t>
            </w:r>
            <w:proofErr w:type="spellStart"/>
            <w:r w:rsidRPr="00BD6014">
              <w:rPr>
                <w:bCs/>
                <w:color w:val="000000"/>
              </w:rPr>
              <w:t>EasyClik</w:t>
            </w:r>
            <w:proofErr w:type="spellEnd"/>
            <w:r w:rsidRPr="00BD6014">
              <w:rPr>
                <w:bCs/>
                <w:color w:val="000000"/>
              </w:rPr>
              <w:t xml:space="preserve"> zapewniające trwałe połączenie odporne na ruchy pacjenta czy manipulowanie układem oddechowym. Mocowanie kaniuli do twarzy dziecka za pomocą przylepca </w:t>
            </w:r>
            <w:proofErr w:type="spellStart"/>
            <w:r w:rsidRPr="00BD6014">
              <w:rPr>
                <w:bCs/>
                <w:color w:val="000000"/>
              </w:rPr>
              <w:t>hydrokoloidowego</w:t>
            </w:r>
            <w:proofErr w:type="spellEnd"/>
            <w:r w:rsidRPr="00BD6014">
              <w:rPr>
                <w:bCs/>
                <w:color w:val="000000"/>
              </w:rPr>
              <w:t xml:space="preserve"> dodatkowo wyposażonego w rzep-podkładkę </w:t>
            </w:r>
            <w:proofErr w:type="spellStart"/>
            <w:r w:rsidRPr="00BD6014">
              <w:rPr>
                <w:bCs/>
                <w:color w:val="000000"/>
              </w:rPr>
              <w:t>umożliwiajacą</w:t>
            </w:r>
            <w:proofErr w:type="spellEnd"/>
            <w:r w:rsidRPr="00BD6014">
              <w:rPr>
                <w:bCs/>
                <w:color w:val="000000"/>
              </w:rPr>
              <w:t xml:space="preserve"> wielokrotne zdejmowanie i regulację położenia kaniuli.</w:t>
            </w:r>
            <w:r w:rsidRPr="00BD6014">
              <w:rPr>
                <w:bCs/>
                <w:color w:val="000000"/>
              </w:rPr>
              <w:br/>
              <w:t>Czas użytkowania do 7 dni. Opakowanie zbiorcze 20 szt. Indywidualne opakowanie kaniuli kodowane kolorem i symbolem graficznym w celu szybkiego wyboru właściwego rozmiaru. W rozmiarze L dla przepływu gazów między 0,5 - 23 l/min; w rozmiarze XL dla przepływu gazów między 0,5 - 25 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5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Wymienne </w:t>
            </w:r>
            <w:r w:rsidRPr="00BD6014">
              <w:rPr>
                <w:b/>
                <w:color w:val="000000"/>
              </w:rPr>
              <w:t xml:space="preserve">przylepce </w:t>
            </w:r>
            <w:proofErr w:type="spellStart"/>
            <w:r w:rsidRPr="00BD6014">
              <w:rPr>
                <w:b/>
                <w:color w:val="000000"/>
              </w:rPr>
              <w:t>hydrokoloidowe</w:t>
            </w:r>
            <w:proofErr w:type="spellEnd"/>
            <w:r w:rsidRPr="00BD6014">
              <w:rPr>
                <w:color w:val="000000"/>
              </w:rPr>
              <w:t xml:space="preserve"> do systemu kaniul </w:t>
            </w:r>
            <w:proofErr w:type="spellStart"/>
            <w:r w:rsidRPr="00BD6014">
              <w:rPr>
                <w:color w:val="000000"/>
              </w:rPr>
              <w:t>Optiflow</w:t>
            </w:r>
            <w:proofErr w:type="spellEnd"/>
            <w:r w:rsidRPr="00BD6014">
              <w:rPr>
                <w:color w:val="000000"/>
              </w:rPr>
              <w:t xml:space="preserve"> Junior2 z rzepem, właściwy dla rozmiarów M, L i XL. Opakowanie zbiorcze 20 sztuk.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bl>
    <w:p w:rsidR="00BD6014" w:rsidRDefault="00BD6014" w:rsidP="00BD6014">
      <w:pPr>
        <w:rPr>
          <w:b/>
          <w:bCs/>
        </w:rPr>
      </w:pPr>
    </w:p>
    <w:p w:rsidR="00BD6014" w:rsidRDefault="00BD6014" w:rsidP="00BD6014">
      <w:pPr>
        <w:jc w:val="center"/>
        <w:rPr>
          <w:b/>
          <w:bCs/>
        </w:rPr>
      </w:pPr>
    </w:p>
    <w:p w:rsidR="00BD6014" w:rsidRDefault="00BD6014" w:rsidP="00BD6014">
      <w:pPr>
        <w:jc w:val="center"/>
        <w:rPr>
          <w:b/>
          <w:bCs/>
        </w:rPr>
      </w:pPr>
    </w:p>
    <w:p w:rsidR="00BD6014" w:rsidRDefault="00BD6014" w:rsidP="00BD6014">
      <w:pPr>
        <w:jc w:val="center"/>
        <w:rPr>
          <w:b/>
          <w:bCs/>
        </w:rPr>
      </w:pPr>
    </w:p>
    <w:p w:rsidR="00BD6014" w:rsidRDefault="00BD6014" w:rsidP="00BD6014">
      <w:pPr>
        <w:jc w:val="center"/>
        <w:rPr>
          <w:b/>
          <w:bCs/>
        </w:rPr>
      </w:pPr>
    </w:p>
    <w:p w:rsidR="00BD6014" w:rsidRDefault="00BD6014" w:rsidP="00BC0290">
      <w:pPr>
        <w:rPr>
          <w:b/>
          <w:bCs/>
        </w:rPr>
      </w:pPr>
    </w:p>
    <w:p w:rsidR="00BC0290" w:rsidRDefault="00BC0290" w:rsidP="00BC0290">
      <w:pPr>
        <w:rPr>
          <w:b/>
          <w:bCs/>
        </w:rPr>
      </w:pPr>
    </w:p>
    <w:p w:rsidR="00552017" w:rsidRDefault="00552017" w:rsidP="00804351">
      <w:pPr>
        <w:jc w:val="right"/>
        <w:rPr>
          <w:b/>
          <w:bCs/>
        </w:rPr>
      </w:pPr>
    </w:p>
    <w:p w:rsidR="00552017" w:rsidRDefault="00552017" w:rsidP="00804351">
      <w:pPr>
        <w:jc w:val="right"/>
        <w:rPr>
          <w:b/>
          <w:bCs/>
        </w:rPr>
      </w:pPr>
    </w:p>
    <w:p w:rsidR="00552017" w:rsidRDefault="0055201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SA-381-21/21</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Pr>
          <w:b/>
        </w:rPr>
        <w:t>wyrobów medycznych i niemedycznych – powtórka</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Pr="00677A1C" w:rsidRDefault="00804351" w:rsidP="00804351">
      <w:pPr>
        <w:jc w:val="right"/>
      </w:pPr>
      <w:r>
        <w:rPr>
          <w:b/>
          <w:bCs/>
        </w:rPr>
        <w:lastRenderedPageBreak/>
        <w:t>ZAŁĄCZNIK NR 5</w:t>
      </w:r>
      <w:r w:rsidRPr="00677A1C">
        <w:rPr>
          <w:b/>
          <w:bCs/>
        </w:rPr>
        <w:t xml:space="preserve"> DO SWZ</w:t>
      </w: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SA-381-21/21</w:t>
      </w:r>
    </w:p>
    <w:p w:rsidR="00BC0290" w:rsidRDefault="00BC0290" w:rsidP="00BC0290">
      <w:pPr>
        <w:spacing w:after="40"/>
        <w:rPr>
          <w:b/>
          <w:bCs/>
        </w:rPr>
      </w:pPr>
    </w:p>
    <w:p w:rsidR="00BC0290" w:rsidRDefault="00BC0290" w:rsidP="00BC0290">
      <w:pPr>
        <w:spacing w:after="40"/>
        <w:rPr>
          <w:b/>
          <w:bCs/>
        </w:rPr>
      </w:pPr>
    </w:p>
    <w:p w:rsidR="00804351" w:rsidRDefault="00804351" w:rsidP="00BC0290">
      <w:pPr>
        <w:spacing w:after="40"/>
        <w:ind w:firstLine="708"/>
        <w:jc w:val="center"/>
        <w:rPr>
          <w:b/>
        </w:rPr>
      </w:pPr>
      <w:r w:rsidRPr="0085107B">
        <w:rPr>
          <w:b/>
        </w:rPr>
        <w:t>OŚWIADCZENIE WYKONAWCY</w:t>
      </w:r>
    </w:p>
    <w:p w:rsidR="00804351" w:rsidRDefault="00804351" w:rsidP="00804351">
      <w:pPr>
        <w:spacing w:after="40"/>
        <w:jc w:val="center"/>
        <w:rPr>
          <w:b/>
        </w:rPr>
      </w:pPr>
    </w:p>
    <w:p w:rsidR="00BC0290" w:rsidRPr="0085107B" w:rsidRDefault="00BC0290" w:rsidP="00804351">
      <w:pPr>
        <w:spacing w:after="40"/>
        <w:jc w:val="center"/>
        <w:rPr>
          <w:b/>
        </w:rPr>
      </w:pPr>
    </w:p>
    <w:p w:rsidR="00804351" w:rsidRPr="0085107B" w:rsidRDefault="00804351" w:rsidP="00804351">
      <w:pPr>
        <w:spacing w:after="120"/>
        <w:ind w:firstLine="708"/>
      </w:pPr>
      <w:r w:rsidRPr="0085107B">
        <w:t xml:space="preserve">Nazwa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85107B" w:rsidRDefault="00804351" w:rsidP="00804351">
      <w:pPr>
        <w:spacing w:after="120"/>
      </w:pPr>
    </w:p>
    <w:p w:rsidR="00804351" w:rsidRPr="0085107B" w:rsidRDefault="00804351" w:rsidP="00804351">
      <w:pPr>
        <w:spacing w:after="120"/>
        <w:ind w:firstLine="708"/>
      </w:pPr>
      <w:r w:rsidRPr="0085107B">
        <w:t xml:space="preserve">Adres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jc w:val="both"/>
        <w:rPr>
          <w:rFonts w:ascii="Arial" w:hAnsi="Arial" w:cs="Arial"/>
          <w:b/>
          <w:sz w:val="20"/>
          <w:szCs w:val="20"/>
        </w:rPr>
      </w:pPr>
    </w:p>
    <w:p w:rsidR="00804351" w:rsidRPr="00194D7D" w:rsidRDefault="00804351" w:rsidP="00804351">
      <w:pPr>
        <w:pStyle w:val="Tekstpodstawowy"/>
        <w:spacing w:after="0"/>
        <w:ind w:left="708"/>
        <w:jc w:val="both"/>
      </w:pPr>
      <w:r w:rsidRPr="00194D7D">
        <w:t xml:space="preserve">Przystępując do postępowania w sprawie udzielenia zamówienia publicznego prowadzonego w trybie </w:t>
      </w:r>
      <w:r w:rsidR="003E6230">
        <w:t>podstawowym</w:t>
      </w:r>
      <w:r w:rsidRPr="00194D7D">
        <w:t xml:space="preserve"> na </w:t>
      </w:r>
      <w:r w:rsidRPr="00782528">
        <w:rPr>
          <w:b/>
        </w:rPr>
        <w:t xml:space="preserve">„Zakup i dostawę </w:t>
      </w:r>
      <w:r>
        <w:rPr>
          <w:b/>
        </w:rPr>
        <w:t>wyrobów medycznych i niemedycznych – powtórka”</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804351" w:rsidRPr="00194D7D" w:rsidRDefault="00804351" w:rsidP="00804351">
      <w:pPr>
        <w:pStyle w:val="Tekstpodstawowy"/>
        <w:spacing w:after="0"/>
        <w:rPr>
          <w:b/>
        </w:rPr>
      </w:pPr>
    </w:p>
    <w:p w:rsidR="00804351" w:rsidRPr="00194D7D" w:rsidRDefault="00804351" w:rsidP="00804351">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że oferowany w postępowaniu asortyment jest dopuszczony do obrotu na terenie RP i spełnia wymagania zasadnicze ustawy z dnia 20 maja 2010 r. o wyrobach medycznych</w:t>
      </w:r>
      <w:r w:rsidR="00DB6869">
        <w:rPr>
          <w:rFonts w:eastAsia="Times New Roman"/>
          <w:color w:val="auto"/>
          <w:kern w:val="2"/>
          <w:lang w:eastAsia="pl-PL"/>
        </w:rPr>
        <w:t xml:space="preserve"> </w:t>
      </w:r>
      <w:r w:rsidR="00DB6869">
        <w:t>(Dz. U. z 2021 r. poz. 1565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rPr>
          <w:rFonts w:ascii="Arial" w:hAnsi="Arial" w:cs="Arial"/>
          <w:sz w:val="20"/>
          <w:szCs w:val="20"/>
        </w:rPr>
      </w:pPr>
    </w:p>
    <w:p w:rsidR="00804351" w:rsidRDefault="00804351" w:rsidP="00804351">
      <w:pPr>
        <w:tabs>
          <w:tab w:val="left" w:pos="0"/>
          <w:tab w:val="left" w:pos="6390"/>
          <w:tab w:val="left" w:pos="6840"/>
          <w:tab w:val="left" w:pos="7380"/>
        </w:tabs>
        <w:rPr>
          <w:rFonts w:ascii="Arial" w:hAnsi="Arial" w:cs="Arial"/>
        </w:rPr>
      </w:pPr>
    </w:p>
    <w:p w:rsidR="00804351"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Default="00804351" w:rsidP="003E6230">
      <w:pPr>
        <w:rPr>
          <w:b/>
          <w:bCs/>
        </w:rPr>
      </w:pPr>
      <w:r w:rsidRPr="000719DC">
        <w:rPr>
          <w:i/>
          <w:vertAlign w:val="superscript"/>
        </w:rPr>
        <w:t xml:space="preserve">        </w:t>
      </w:r>
      <w:r w:rsidR="003E6230">
        <w:rPr>
          <w:i/>
          <w:vertAlign w:val="superscript"/>
        </w:rPr>
        <w:tab/>
        <w:t xml:space="preserve">        </w:t>
      </w:r>
      <w:r w:rsidRPr="000719DC">
        <w:rPr>
          <w:i/>
          <w:vertAlign w:val="superscript"/>
        </w:rPr>
        <w:t xml:space="preserve">  (miejscowość, data)         </w:t>
      </w:r>
      <w:r w:rsidRPr="005E622E">
        <w:rPr>
          <w:i/>
          <w:sz w:val="22"/>
          <w:szCs w:val="22"/>
        </w:rPr>
        <w:t xml:space="preserve">                          </w:t>
      </w:r>
      <w:r w:rsidR="003E6230">
        <w:rPr>
          <w:i/>
          <w:sz w:val="22"/>
          <w:szCs w:val="22"/>
        </w:rPr>
        <w:tab/>
        <w:t xml:space="preserve">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rPr>
          <w:b/>
          <w:bCs/>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rPr>
          <w:b/>
          <w:bCs/>
        </w:rPr>
      </w:pPr>
    </w:p>
    <w:p w:rsidR="00804351" w:rsidRPr="0085107B" w:rsidRDefault="00804351" w:rsidP="00804351">
      <w:pPr>
        <w:jc w:val="right"/>
      </w:pPr>
      <w:r>
        <w:rPr>
          <w:b/>
          <w:bCs/>
        </w:rPr>
        <w:lastRenderedPageBreak/>
        <w:t>ZAŁĄCZNIK NR 6</w:t>
      </w:r>
      <w:r w:rsidRPr="00677A1C">
        <w:rPr>
          <w:b/>
          <w:bCs/>
        </w:rPr>
        <w:t xml:space="preserve"> DO SWZ</w:t>
      </w:r>
    </w:p>
    <w:p w:rsidR="00804351" w:rsidRPr="009E6DF5" w:rsidRDefault="00804351" w:rsidP="00804351">
      <w:pPr>
        <w:spacing w:before="120"/>
        <w:jc w:val="center"/>
        <w:rPr>
          <w:b/>
        </w:rPr>
      </w:pPr>
      <w:r w:rsidRPr="009E6DF5">
        <w:rPr>
          <w:b/>
        </w:rPr>
        <w:t xml:space="preserve">                            </w:t>
      </w:r>
      <w:r>
        <w:rPr>
          <w:b/>
        </w:rPr>
        <w:t xml:space="preserve">                              </w:t>
      </w:r>
      <w:r w:rsidRPr="009E6DF5">
        <w:rPr>
          <w:b/>
        </w:rPr>
        <w:t xml:space="preserve">                                                      </w:t>
      </w:r>
      <w:r>
        <w:rPr>
          <w:b/>
        </w:rPr>
        <w:t xml:space="preserve">            </w:t>
      </w:r>
    </w:p>
    <w:p w:rsidR="00804351" w:rsidRPr="008F33A1" w:rsidRDefault="00804351" w:rsidP="00804351">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04351" w:rsidRPr="0013736A" w:rsidRDefault="00804351" w:rsidP="00804351">
      <w:pPr>
        <w:jc w:val="center"/>
      </w:pPr>
      <w:r w:rsidRPr="0013736A">
        <w:t>§ 1</w:t>
      </w:r>
    </w:p>
    <w:p w:rsidR="00804351" w:rsidRPr="0013736A" w:rsidRDefault="00804351" w:rsidP="00804351">
      <w:pPr>
        <w:spacing w:after="200"/>
        <w:ind w:left="708" w:firstLine="30"/>
        <w:jc w:val="both"/>
        <w:rPr>
          <w:b/>
        </w:rPr>
      </w:pPr>
      <w:r w:rsidRPr="0013736A">
        <w:t xml:space="preserve">Podstawą do zawarcia niniejszej umowy jest rezultat  postępowania w trybie </w:t>
      </w:r>
      <w:r>
        <w:t xml:space="preserve">podstawowym </w:t>
      </w:r>
      <w:r w:rsidRPr="0013736A">
        <w:t xml:space="preserve">na  </w:t>
      </w:r>
      <w:r w:rsidRPr="0013736A">
        <w:rPr>
          <w:b/>
        </w:rPr>
        <w:t xml:space="preserve">„Zakup i dostawę </w:t>
      </w:r>
      <w:r>
        <w:rPr>
          <w:b/>
        </w:rPr>
        <w:t>wyrobów medycznych i niemedycznych – powtórka</w:t>
      </w:r>
      <w:r w:rsidRPr="0013736A">
        <w:rPr>
          <w:b/>
        </w:rPr>
        <w:t>”.</w:t>
      </w:r>
    </w:p>
    <w:p w:rsidR="00804351" w:rsidRPr="0013736A" w:rsidRDefault="00804351" w:rsidP="00804351">
      <w:pPr>
        <w:jc w:val="center"/>
      </w:pPr>
      <w:r w:rsidRPr="0013736A">
        <w:t>§ 2</w:t>
      </w:r>
    </w:p>
    <w:p w:rsidR="00804351" w:rsidRPr="0013736A" w:rsidRDefault="00804351" w:rsidP="00804351">
      <w:pPr>
        <w:spacing w:after="160"/>
        <w:ind w:left="708"/>
      </w:pPr>
      <w:r w:rsidRPr="0013736A">
        <w:t>Przedmiotem niniejszej umowy jest  zakup i dostawa ……. w ilości oraz rodzaju określonym w załączniku nr 1 do niniejszej umowy.</w:t>
      </w:r>
    </w:p>
    <w:p w:rsidR="00804351" w:rsidRPr="0013736A" w:rsidRDefault="00804351" w:rsidP="00804351">
      <w:pPr>
        <w:jc w:val="center"/>
      </w:pPr>
      <w:r w:rsidRPr="0013736A">
        <w:t>§ 3</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Pr>
          <w:rFonts w:ascii="Times New Roman" w:hAnsi="Times New Roman"/>
          <w:sz w:val="24"/>
          <w:szCs w:val="24"/>
        </w:rPr>
        <w:t xml:space="preserve"> emailem, telefonicznie, bądź faksem.</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Pr="0013736A">
        <w:rPr>
          <w:rFonts w:ascii="Times New Roman" w:hAnsi="Times New Roman"/>
          <w:sz w:val="24"/>
          <w:szCs w:val="24"/>
        </w:rPr>
        <w:t xml:space="preserve"> do Apteki Szpitaln</w:t>
      </w:r>
      <w:r>
        <w:rPr>
          <w:rFonts w:ascii="Times New Roman" w:hAnsi="Times New Roman"/>
          <w:sz w:val="24"/>
          <w:szCs w:val="24"/>
        </w:rPr>
        <w:t>ej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04351" w:rsidRPr="00C2005C"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p>
    <w:p w:rsidR="00804351" w:rsidRPr="0013736A" w:rsidRDefault="00804351" w:rsidP="00804351">
      <w:pPr>
        <w:jc w:val="center"/>
      </w:pPr>
      <w:r w:rsidRPr="0013736A">
        <w:t>§ 4</w:t>
      </w:r>
    </w:p>
    <w:p w:rsidR="00804351" w:rsidRPr="0013736A" w:rsidRDefault="00804351" w:rsidP="00BA24EB">
      <w:pPr>
        <w:numPr>
          <w:ilvl w:val="0"/>
          <w:numId w:val="58"/>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04351" w:rsidRPr="0013736A" w:rsidRDefault="00804351" w:rsidP="00BA24EB">
      <w:pPr>
        <w:numPr>
          <w:ilvl w:val="0"/>
          <w:numId w:val="58"/>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 Sp. z o.o. w restrukturyzacji.</w:t>
      </w:r>
    </w:p>
    <w:p w:rsidR="00804351" w:rsidRPr="0013736A" w:rsidRDefault="00804351" w:rsidP="00BA24EB">
      <w:pPr>
        <w:numPr>
          <w:ilvl w:val="0"/>
          <w:numId w:val="58"/>
        </w:numPr>
        <w:tabs>
          <w:tab w:val="left" w:pos="0"/>
        </w:tabs>
        <w:suppressAutoHyphens/>
        <w:jc w:val="both"/>
      </w:pPr>
      <w:r w:rsidRPr="0013736A">
        <w:t>Wartość przedmiotu zamówienia nie</w:t>
      </w:r>
      <w:r>
        <w:t xml:space="preserve"> może łącznie przekroczyć …….</w:t>
      </w:r>
      <w:r w:rsidR="001B1C26">
        <w:t xml:space="preserve"> </w:t>
      </w:r>
      <w:r>
        <w:t>zł</w:t>
      </w:r>
      <w:r w:rsidRPr="0013736A">
        <w:t xml:space="preserve"> netto</w:t>
      </w:r>
      <w:r>
        <w:t>, ……… zł</w:t>
      </w:r>
      <w:r w:rsidRPr="0013736A">
        <w:t xml:space="preserve"> brutto.</w:t>
      </w:r>
    </w:p>
    <w:p w:rsidR="00804351" w:rsidRDefault="00804351" w:rsidP="00BA24EB">
      <w:pPr>
        <w:pStyle w:val="Akapitzlist"/>
        <w:numPr>
          <w:ilvl w:val="0"/>
          <w:numId w:val="58"/>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804351" w:rsidRPr="00C2005C" w:rsidRDefault="00804351" w:rsidP="00BA24EB">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804351" w:rsidRPr="0013736A" w:rsidRDefault="00804351" w:rsidP="00804351">
      <w:pPr>
        <w:jc w:val="center"/>
      </w:pPr>
      <w:r w:rsidRPr="0013736A">
        <w:t>§ 5</w:t>
      </w:r>
    </w:p>
    <w:p w:rsidR="00804351" w:rsidRPr="008C43FE" w:rsidRDefault="00804351" w:rsidP="00BA24EB">
      <w:pPr>
        <w:pStyle w:val="Akapitzlist"/>
        <w:numPr>
          <w:ilvl w:val="0"/>
          <w:numId w:val="59"/>
        </w:numPr>
        <w:spacing w:after="0"/>
        <w:jc w:val="both"/>
        <w:rPr>
          <w:rFonts w:ascii="Times New Roman" w:hAnsi="Times New Roman"/>
          <w:sz w:val="24"/>
          <w:szCs w:val="24"/>
        </w:rPr>
      </w:pPr>
      <w:r w:rsidRPr="008C43FE">
        <w:rPr>
          <w:rFonts w:ascii="Times New Roman" w:hAnsi="Times New Roman"/>
          <w:sz w:val="24"/>
          <w:szCs w:val="24"/>
        </w:rPr>
        <w:t>Zamawiającemu przysługuje prawo odmowy przyjęcia towaru w przypadku:</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 xml:space="preserve">dostarczenia towaru nieodpowiedniej jakości lub towaru uszkodzonego, w tym nie posiadającego określonego terminu przydatności do użycia, </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stwierdzenia, że dostarczony towar transportowany był w niewłaściwych warunkach,</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dostarczenia towaru niezgodnego z umową lub zamówieniem.</w:t>
      </w:r>
    </w:p>
    <w:p w:rsidR="00804351" w:rsidRDefault="00804351" w:rsidP="00804351">
      <w:pPr>
        <w:jc w:val="center"/>
      </w:pPr>
    </w:p>
    <w:p w:rsidR="00804351" w:rsidRPr="0013736A" w:rsidRDefault="00804351" w:rsidP="00804351">
      <w:pPr>
        <w:jc w:val="center"/>
      </w:pPr>
      <w:r w:rsidRPr="0013736A">
        <w:lastRenderedPageBreak/>
        <w:t>§ 6</w:t>
      </w:r>
    </w:p>
    <w:p w:rsidR="00804351" w:rsidRPr="0013736A" w:rsidRDefault="00804351" w:rsidP="00BA24EB">
      <w:pPr>
        <w:numPr>
          <w:ilvl w:val="0"/>
          <w:numId w:val="61"/>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w:t>
      </w:r>
      <w:r w:rsidR="003E6230">
        <w:rPr>
          <w:rFonts w:ascii="Times New Roman" w:hAnsi="Times New Roman"/>
          <w:sz w:val="24"/>
          <w:szCs w:val="24"/>
        </w:rPr>
        <w:t>0,</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za każdy dzień zwłoki, nie więcej jednak niż 10% kwoty</w:t>
      </w:r>
      <w:r>
        <w:rPr>
          <w:rFonts w:ascii="Times New Roman" w:hAnsi="Times New Roman"/>
          <w:sz w:val="24"/>
          <w:szCs w:val="24"/>
        </w:rPr>
        <w:t xml:space="preserve"> brutto określonej w § 4 ust. 3,</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w:t>
      </w:r>
      <w:r w:rsidR="00491381">
        <w:rPr>
          <w:rFonts w:ascii="Times New Roman" w:hAnsi="Times New Roman"/>
          <w:sz w:val="24"/>
          <w:szCs w:val="24"/>
        </w:rPr>
        <w:t xml:space="preserve">rzyczyn leżących po stronie </w:t>
      </w:r>
      <w:r w:rsidRPr="0013736A">
        <w:rPr>
          <w:rFonts w:ascii="Times New Roman" w:hAnsi="Times New Roman"/>
          <w:sz w:val="24"/>
          <w:szCs w:val="24"/>
        </w:rPr>
        <w:t>Zamawiającego w wysokości 10% kwoty  brutto wskazanej w § 4 ust. 3, poza przypadkami określonymi w art. 456  ustawy Prawo zamówień publicznych.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w:t>
      </w:r>
      <w:r>
        <w:rPr>
          <w:rFonts w:ascii="Times New Roman" w:hAnsi="Times New Roman"/>
          <w:sz w:val="24"/>
          <w:szCs w:val="24"/>
        </w:rPr>
        <w:t xml:space="preserve"> </w:t>
      </w:r>
      <w:r w:rsidRPr="0013736A">
        <w:rPr>
          <w:rFonts w:ascii="Times New Roman" w:hAnsi="Times New Roman"/>
          <w:sz w:val="24"/>
          <w:szCs w:val="24"/>
        </w:rPr>
        <w:t>r. o szczególnych rozwiązaniach związanych z  zapobieganiem, przeciwdziałaniem i zwalczaniem COVID-19, innych chorób zakaźnych oraz wywołanych nimi sytuacji kryzysowych (Dz. U. z 202</w:t>
      </w:r>
      <w:r>
        <w:rPr>
          <w:rFonts w:ascii="Times New Roman" w:hAnsi="Times New Roman"/>
          <w:sz w:val="24"/>
          <w:szCs w:val="24"/>
        </w:rPr>
        <w:t>1r. poz. 2095</w:t>
      </w:r>
      <w:r w:rsidRPr="0013736A">
        <w:rPr>
          <w:rFonts w:ascii="Times New Roman" w:hAnsi="Times New Roman"/>
          <w:sz w:val="24"/>
          <w:szCs w:val="24"/>
        </w:rPr>
        <w:t xml:space="preserve"> z późn. zm.).</w:t>
      </w:r>
    </w:p>
    <w:p w:rsidR="00804351" w:rsidRPr="0013736A" w:rsidRDefault="001B1C26" w:rsidP="00BA24EB">
      <w:pPr>
        <w:pStyle w:val="Akapitzlist"/>
        <w:numPr>
          <w:ilvl w:val="0"/>
          <w:numId w:val="61"/>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804351" w:rsidRPr="0013736A">
        <w:rPr>
          <w:rFonts w:ascii="Times New Roman" w:hAnsi="Times New Roman"/>
          <w:sz w:val="24"/>
          <w:szCs w:val="24"/>
        </w:rPr>
        <w:t>Wykonawca naliczy Zamawiającemu odsetki ustawowe w transakcjach handlowych.</w:t>
      </w:r>
    </w:p>
    <w:p w:rsidR="00804351" w:rsidRPr="0013736A" w:rsidRDefault="00804351" w:rsidP="00BA24EB">
      <w:pPr>
        <w:pStyle w:val="Akapitzlist"/>
        <w:numPr>
          <w:ilvl w:val="0"/>
          <w:numId w:val="61"/>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Łączna wysokość kar</w:t>
      </w:r>
      <w:r>
        <w:rPr>
          <w:rFonts w:ascii="Times New Roman" w:hAnsi="Times New Roman"/>
          <w:sz w:val="24"/>
          <w:szCs w:val="24"/>
        </w:rPr>
        <w:t xml:space="preserve"> umownych nie może przekroczyć 3</w:t>
      </w:r>
      <w:r w:rsidRPr="0013736A">
        <w:rPr>
          <w:rFonts w:ascii="Times New Roman" w:hAnsi="Times New Roman"/>
          <w:sz w:val="24"/>
          <w:szCs w:val="24"/>
        </w:rPr>
        <w:t>0% wartości wynagrodzenia brutto o którym mowa w § 4 ust. 3.</w:t>
      </w:r>
    </w:p>
    <w:p w:rsidR="00804351" w:rsidRPr="0013736A" w:rsidRDefault="00804351" w:rsidP="00804351">
      <w:pPr>
        <w:jc w:val="center"/>
      </w:pPr>
      <w:r w:rsidRPr="0013736A">
        <w:t>§ 7</w:t>
      </w:r>
    </w:p>
    <w:p w:rsidR="00804351" w:rsidRPr="0013736A" w:rsidRDefault="00804351" w:rsidP="00804351">
      <w:pPr>
        <w:ind w:left="708"/>
        <w:jc w:val="both"/>
      </w:pPr>
      <w:r w:rsidRPr="0013736A">
        <w:t>Jeżeli dostarczony towar jest wadliwy Wykonawca dostarcz</w:t>
      </w:r>
      <w:r w:rsidR="009A2B64">
        <w:t>y towar wolny od wad. Maksymalny</w:t>
      </w:r>
      <w:r w:rsidRPr="0013736A">
        <w:t xml:space="preserve"> termin  dostarczenie </w:t>
      </w:r>
      <w:r>
        <w:t xml:space="preserve">towaru wolnego od wad  wynosi </w:t>
      </w:r>
      <w:r w:rsidR="009A2B64" w:rsidRPr="009A2B64">
        <w:rPr>
          <w:color w:val="FF0000"/>
        </w:rPr>
        <w:t>4 dni robocze.</w:t>
      </w:r>
    </w:p>
    <w:p w:rsidR="00804351" w:rsidRPr="0013736A" w:rsidRDefault="00804351" w:rsidP="00804351"/>
    <w:p w:rsidR="00804351" w:rsidRPr="0013736A" w:rsidRDefault="00804351" w:rsidP="00804351">
      <w:pPr>
        <w:jc w:val="center"/>
      </w:pPr>
      <w:r w:rsidRPr="0013736A">
        <w:t>§ 8</w:t>
      </w:r>
    </w:p>
    <w:p w:rsidR="00804351" w:rsidRDefault="00804351" w:rsidP="00804351">
      <w:pPr>
        <w:ind w:left="708"/>
        <w:jc w:val="both"/>
      </w:pPr>
      <w:r>
        <w:t>Strony oświadczają</w:t>
      </w:r>
      <w:r w:rsidRPr="0013736A">
        <w:t>, iż wierzytelności wynikające z niniejszej umowy nie mogą być przeniesione na osoby trzecie, bez pisemnej zgody Zamawiającego.</w:t>
      </w:r>
    </w:p>
    <w:p w:rsidR="00804351" w:rsidRPr="0013736A" w:rsidRDefault="00804351" w:rsidP="00804351">
      <w:pPr>
        <w:ind w:left="708"/>
      </w:pPr>
    </w:p>
    <w:p w:rsidR="00804351" w:rsidRPr="0013736A" w:rsidRDefault="00804351" w:rsidP="00804351">
      <w:pPr>
        <w:jc w:val="center"/>
      </w:pPr>
      <w:r w:rsidRPr="0013736A">
        <w:t>§ 9</w:t>
      </w:r>
    </w:p>
    <w:p w:rsidR="00804351" w:rsidRPr="0013736A" w:rsidRDefault="00804351" w:rsidP="0080435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04351" w:rsidRPr="0013736A" w:rsidRDefault="00804351" w:rsidP="00804351"/>
    <w:p w:rsidR="00804351" w:rsidRPr="0013736A" w:rsidRDefault="00804351" w:rsidP="00804351">
      <w:pPr>
        <w:jc w:val="center"/>
      </w:pPr>
      <w:r w:rsidRPr="0013736A">
        <w:t>§ 10</w:t>
      </w:r>
    </w:p>
    <w:p w:rsidR="00804351" w:rsidRPr="0013736A" w:rsidRDefault="00491381" w:rsidP="00BA24EB">
      <w:pPr>
        <w:pStyle w:val="Akapitzlist"/>
        <w:numPr>
          <w:ilvl w:val="1"/>
          <w:numId w:val="64"/>
        </w:numPr>
        <w:tabs>
          <w:tab w:val="clear" w:pos="1440"/>
        </w:tabs>
        <w:spacing w:after="0"/>
        <w:ind w:left="1134" w:hanging="425"/>
        <w:jc w:val="both"/>
        <w:rPr>
          <w:rFonts w:ascii="Times New Roman" w:hAnsi="Times New Roman"/>
          <w:sz w:val="24"/>
          <w:szCs w:val="24"/>
        </w:rPr>
      </w:pPr>
      <w:r>
        <w:rPr>
          <w:rFonts w:ascii="Times New Roman" w:hAnsi="Times New Roman"/>
          <w:sz w:val="24"/>
          <w:szCs w:val="24"/>
        </w:rPr>
        <w:t>Umowa została zawarta na czas</w:t>
      </w:r>
      <w:r w:rsidR="00804351" w:rsidRPr="0013736A">
        <w:rPr>
          <w:rFonts w:ascii="Times New Roman" w:hAnsi="Times New Roman"/>
          <w:sz w:val="24"/>
          <w:szCs w:val="24"/>
        </w:rPr>
        <w:t xml:space="preserve"> od …….……..…… do ……………..…… lub do wyczerpania kwoty określonej w § 4 ust 3.</w:t>
      </w:r>
    </w:p>
    <w:p w:rsidR="00804351" w:rsidRPr="0013736A" w:rsidRDefault="00804351" w:rsidP="00804351">
      <w:pPr>
        <w:tabs>
          <w:tab w:val="left" w:pos="360"/>
        </w:tabs>
        <w:overflowPunct w:val="0"/>
        <w:autoSpaceDE w:val="0"/>
        <w:autoSpaceDN w:val="0"/>
        <w:adjustRightInd w:val="0"/>
        <w:ind w:firstLine="709"/>
        <w:jc w:val="both"/>
        <w:textAlignment w:val="baseline"/>
      </w:pPr>
      <w:r w:rsidRPr="0013736A">
        <w:t>2 .   Zamawiający może odstąpić od umowy:</w:t>
      </w:r>
    </w:p>
    <w:p w:rsidR="00804351" w:rsidRPr="0013736A" w:rsidRDefault="00804351" w:rsidP="00804351">
      <w:pPr>
        <w:tabs>
          <w:tab w:val="left" w:pos="360"/>
        </w:tabs>
        <w:overflowPunct w:val="0"/>
        <w:autoSpaceDE w:val="0"/>
        <w:autoSpaceDN w:val="0"/>
        <w:adjustRightInd w:val="0"/>
        <w:ind w:left="1418" w:hanging="284"/>
        <w:jc w:val="both"/>
        <w:textAlignment w:val="baseline"/>
      </w:pPr>
      <w:r w:rsidRPr="0013736A">
        <w:t xml:space="preserve">1) w terminie 30 dni od dnia powzięcia wiadomości o zaistnieniu istotnej zmiany okoliczności powodującej, że wykonanie umowy nie leży w interesie publicznym, czego nie można było przewidzieć w chwili zawarcia umowy, lub dalsze wykonywanie </w:t>
      </w:r>
      <w:r w:rsidRPr="0013736A">
        <w:lastRenderedPageBreak/>
        <w:t>umowy może zagrozić podstawowemu interesowi bezpieczeństwa państwa lub bezpieczeństwu publicznemu;</w:t>
      </w:r>
    </w:p>
    <w:p w:rsidR="00804351" w:rsidRPr="0013736A" w:rsidRDefault="00804351" w:rsidP="00804351">
      <w:pPr>
        <w:tabs>
          <w:tab w:val="left" w:pos="360"/>
        </w:tabs>
        <w:overflowPunct w:val="0"/>
        <w:autoSpaceDE w:val="0"/>
        <w:autoSpaceDN w:val="0"/>
        <w:adjustRightInd w:val="0"/>
        <w:ind w:firstLine="1134"/>
        <w:jc w:val="both"/>
        <w:textAlignment w:val="baseline"/>
      </w:pPr>
      <w:r w:rsidRPr="0013736A">
        <w:t>2) jeżeli zachodzi co najmniej jedna z następujących okoliczności:</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b) Wykonawca w chwili zawarcia umowy podlegał wykluczeniu na podstawie art. 108,</w:t>
      </w:r>
    </w:p>
    <w:p w:rsidR="00804351" w:rsidRPr="0013736A" w:rsidRDefault="00804351" w:rsidP="00804351">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04351" w:rsidRPr="0013736A" w:rsidRDefault="00804351" w:rsidP="00BA24EB">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przypadku, o którym mowa w ust. </w:t>
      </w:r>
      <w:r>
        <w:rPr>
          <w:rFonts w:ascii="Times New Roman" w:hAnsi="Times New Roman"/>
          <w:sz w:val="24"/>
          <w:szCs w:val="24"/>
        </w:rPr>
        <w:t>2</w:t>
      </w:r>
      <w:r w:rsidRPr="0013736A">
        <w:rPr>
          <w:rFonts w:ascii="Times New Roman" w:hAnsi="Times New Roman"/>
          <w:sz w:val="24"/>
          <w:szCs w:val="24"/>
        </w:rPr>
        <w:t xml:space="preserve"> pkt. 2 lit. a, Zamawiający odstępuje od umowy w części, której zmiana dotyczy.</w:t>
      </w:r>
    </w:p>
    <w:p w:rsidR="00804351" w:rsidRPr="0013736A" w:rsidRDefault="00804351" w:rsidP="00BA24EB">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przypadkach, o których mowa w ust. </w:t>
      </w:r>
      <w:r>
        <w:rPr>
          <w:rFonts w:ascii="Times New Roman" w:hAnsi="Times New Roman"/>
          <w:sz w:val="24"/>
          <w:szCs w:val="24"/>
        </w:rPr>
        <w:t>2</w:t>
      </w:r>
      <w:r w:rsidRPr="0013736A">
        <w:rPr>
          <w:rFonts w:ascii="Times New Roman" w:hAnsi="Times New Roman"/>
          <w:sz w:val="24"/>
          <w:szCs w:val="24"/>
        </w:rPr>
        <w:t>, Wykonawca może żądać wyłącznie wynagrodzenia należnego z tytułu wykonania części umowy.</w:t>
      </w:r>
    </w:p>
    <w:p w:rsidR="00804351" w:rsidRPr="0013736A" w:rsidRDefault="00804351" w:rsidP="00804351">
      <w:pPr>
        <w:jc w:val="center"/>
      </w:pPr>
      <w:r w:rsidRPr="0013736A">
        <w:t>§11</w:t>
      </w:r>
    </w:p>
    <w:p w:rsidR="00804351" w:rsidRDefault="00804351" w:rsidP="00804351">
      <w:pPr>
        <w:ind w:left="708"/>
        <w:jc w:val="both"/>
      </w:pPr>
      <w:r w:rsidRPr="0013736A">
        <w:t>W razie naruszenia przez Wykonawcę postanowień umowy, Zamawiający zastrzega sobie prawo jej rozwiązania ze skutkiem natychmiastowym .</w:t>
      </w:r>
    </w:p>
    <w:p w:rsidR="00804351" w:rsidRPr="0013736A" w:rsidRDefault="00804351" w:rsidP="00804351">
      <w:pPr>
        <w:ind w:left="708"/>
      </w:pPr>
    </w:p>
    <w:p w:rsidR="00804351" w:rsidRPr="0013736A" w:rsidRDefault="00804351" w:rsidP="00804351">
      <w:pPr>
        <w:jc w:val="center"/>
      </w:pPr>
      <w:r w:rsidRPr="0013736A">
        <w:t>§ 12</w:t>
      </w:r>
    </w:p>
    <w:p w:rsidR="00804351" w:rsidRPr="0013736A" w:rsidRDefault="00804351" w:rsidP="00804351">
      <w:pPr>
        <w:pStyle w:val="Akapitzlist"/>
        <w:numPr>
          <w:ilvl w:val="0"/>
          <w:numId w:val="46"/>
        </w:numPr>
        <w:suppressAutoHyphens/>
        <w:spacing w:after="0" w:line="21" w:lineRule="atLeast"/>
        <w:jc w:val="both"/>
        <w:rPr>
          <w:rFonts w:ascii="Times New Roman" w:hAnsi="Times New Roman"/>
          <w:sz w:val="24"/>
          <w:szCs w:val="24"/>
        </w:rPr>
      </w:pPr>
      <w:r w:rsidRPr="0013736A">
        <w:rPr>
          <w:rFonts w:ascii="Times New Roman" w:hAnsi="Times New Roman"/>
          <w:sz w:val="24"/>
          <w:szCs w:val="24"/>
        </w:rPr>
        <w:t>Dopuszczalne zmiany umowy:</w:t>
      </w:r>
    </w:p>
    <w:p w:rsidR="00804351" w:rsidRPr="00EB35CE" w:rsidRDefault="00804351" w:rsidP="00BA24EB">
      <w:pPr>
        <w:pStyle w:val="Bezodstpw"/>
        <w:numPr>
          <w:ilvl w:val="1"/>
          <w:numId w:val="66"/>
        </w:numPr>
        <w:tabs>
          <w:tab w:val="left" w:pos="0"/>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804351" w:rsidRPr="00EB35CE" w:rsidRDefault="00804351" w:rsidP="00BA24EB">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804351" w:rsidRPr="00EB35CE" w:rsidRDefault="00804351" w:rsidP="00BA24EB">
      <w:pPr>
        <w:pStyle w:val="Bezodstpw"/>
        <w:numPr>
          <w:ilvl w:val="0"/>
          <w:numId w:val="67"/>
        </w:numPr>
        <w:tabs>
          <w:tab w:val="left" w:pos="450"/>
          <w:tab w:val="left" w:pos="1134"/>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804351" w:rsidRPr="00EB35CE" w:rsidRDefault="00804351" w:rsidP="00BA24EB">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804351" w:rsidRPr="00EB35CE" w:rsidRDefault="00804351" w:rsidP="00BA24EB">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804351" w:rsidRPr="00EB35CE" w:rsidRDefault="00804351" w:rsidP="00804351">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804351" w:rsidRPr="00EB35CE" w:rsidRDefault="00804351" w:rsidP="00BA24EB">
      <w:pPr>
        <w:pStyle w:val="Bezodstpw"/>
        <w:numPr>
          <w:ilvl w:val="1"/>
          <w:numId w:val="66"/>
        </w:numPr>
        <w:tabs>
          <w:tab w:val="left" w:pos="420"/>
          <w:tab w:val="left" w:pos="851"/>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lastRenderedPageBreak/>
        <w:t>Dopuszczalne jest wydłużenie czasu trwania umowy w sytuacji niewykorzystania przez Zamawiającego przedmiotu umowy przy zachowaniu jej wartości.</w:t>
      </w:r>
    </w:p>
    <w:p w:rsidR="00804351" w:rsidRPr="00EB35CE" w:rsidRDefault="00804351" w:rsidP="00BA24EB">
      <w:pPr>
        <w:pStyle w:val="Bezodstpw"/>
        <w:numPr>
          <w:ilvl w:val="1"/>
          <w:numId w:val="66"/>
        </w:numPr>
        <w:tabs>
          <w:tab w:val="left" w:pos="426"/>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804351" w:rsidRPr="00EB35CE" w:rsidRDefault="00804351" w:rsidP="00BA24EB">
      <w:pPr>
        <w:pStyle w:val="Akapitzlist"/>
        <w:widowControl w:val="0"/>
        <w:numPr>
          <w:ilvl w:val="1"/>
          <w:numId w:val="66"/>
        </w:numPr>
        <w:tabs>
          <w:tab w:val="left" w:pos="360"/>
          <w:tab w:val="left" w:pos="720"/>
        </w:tabs>
        <w:overflowPunct w:val="0"/>
        <w:autoSpaceDE w:val="0"/>
        <w:autoSpaceDN w:val="0"/>
        <w:adjustRightInd w:val="0"/>
        <w:spacing w:after="0"/>
        <w:ind w:left="1418" w:hanging="284"/>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804351" w:rsidRDefault="00804351" w:rsidP="00BA24EB">
      <w:pPr>
        <w:pStyle w:val="Bezodstpw"/>
        <w:numPr>
          <w:ilvl w:val="1"/>
          <w:numId w:val="66"/>
        </w:numPr>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nie wcześniej niż po upływie 12 miesięcy obowiązywania umowy,</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nie częściej niż raz na 12 miesięcy,  po upływie terminu o którym mowa w lit</w:t>
      </w:r>
      <w:r>
        <w:rPr>
          <w:rFonts w:ascii="Times New Roman" w:eastAsia="Arial Unicode MS" w:hAnsi="Times New Roman"/>
          <w:sz w:val="24"/>
          <w:szCs w:val="24"/>
        </w:rPr>
        <w:t>.</w:t>
      </w:r>
      <w:r w:rsidRPr="00EB35CE">
        <w:rPr>
          <w:rFonts w:ascii="Times New Roman" w:eastAsia="Arial Unicode MS" w:hAnsi="Times New Roman"/>
          <w:sz w:val="24"/>
          <w:szCs w:val="24"/>
        </w:rPr>
        <w:t xml:space="preserve"> a,</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1 %  c</w:t>
      </w:r>
      <w:r w:rsidR="00491381">
        <w:rPr>
          <w:rFonts w:ascii="Times New Roman" w:eastAsia="Arial Unicode MS" w:hAnsi="Times New Roman"/>
          <w:sz w:val="24"/>
          <w:szCs w:val="24"/>
        </w:rPr>
        <w:t>en netto umowy określonych w § 4</w:t>
      </w:r>
      <w:r>
        <w:rPr>
          <w:rFonts w:ascii="Times New Roman" w:eastAsia="Arial Unicode MS" w:hAnsi="Times New Roman"/>
          <w:sz w:val="24"/>
          <w:szCs w:val="24"/>
        </w:rPr>
        <w:t xml:space="preserve"> ust. 3</w:t>
      </w:r>
      <w:r w:rsidRPr="00EB35CE">
        <w:rPr>
          <w:rFonts w:ascii="Times New Roman" w:eastAsia="Arial Unicode MS" w:hAnsi="Times New Roman"/>
          <w:sz w:val="24"/>
          <w:szCs w:val="24"/>
        </w:rPr>
        <w:t>,</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5 % warto</w:t>
      </w:r>
      <w:r w:rsidR="00C1265C">
        <w:rPr>
          <w:rFonts w:ascii="Times New Roman" w:eastAsia="Arial Unicode MS" w:hAnsi="Times New Roman"/>
          <w:sz w:val="24"/>
          <w:szCs w:val="24"/>
        </w:rPr>
        <w:t>ści netto umowy określonej w § 4</w:t>
      </w:r>
      <w:r>
        <w:rPr>
          <w:rFonts w:ascii="Times New Roman" w:eastAsia="Arial Unicode MS" w:hAnsi="Times New Roman"/>
          <w:sz w:val="24"/>
          <w:szCs w:val="24"/>
        </w:rPr>
        <w:t xml:space="preserve"> ust. 3 </w:t>
      </w:r>
      <w:r w:rsidRPr="00EB35CE">
        <w:rPr>
          <w:rFonts w:ascii="Times New Roman" w:eastAsia="Arial Unicode MS" w:hAnsi="Times New Roman"/>
          <w:sz w:val="24"/>
          <w:szCs w:val="24"/>
        </w:rPr>
        <w:t>– po jej umniejszeniu o wa</w:t>
      </w:r>
      <w:r>
        <w:rPr>
          <w:rFonts w:ascii="Times New Roman" w:eastAsia="Arial Unicode MS" w:hAnsi="Times New Roman"/>
          <w:sz w:val="24"/>
          <w:szCs w:val="24"/>
        </w:rPr>
        <w:t>rtość zrealizowanej części umow</w:t>
      </w:r>
      <w:r w:rsidRPr="00EB35CE">
        <w:rPr>
          <w:rFonts w:ascii="Times New Roman" w:eastAsia="Arial Unicode MS" w:hAnsi="Times New Roman"/>
          <w:sz w:val="24"/>
          <w:szCs w:val="24"/>
        </w:rPr>
        <w:t>y,</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tylko w przypadku</w:t>
      </w:r>
      <w:r w:rsidRPr="00EB35CE">
        <w:rPr>
          <w:rFonts w:ascii="Times New Roman" w:eastAsia="Arial Unicode MS" w:hAnsi="Times New Roman"/>
          <w:color w:val="FF0000"/>
          <w:sz w:val="24"/>
          <w:szCs w:val="24"/>
        </w:rPr>
        <w:t xml:space="preserve"> </w:t>
      </w:r>
      <w:r w:rsidRPr="00EB35CE">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804351" w:rsidRDefault="00804351" w:rsidP="00804351">
      <w:pPr>
        <w:pStyle w:val="Bezodstpw"/>
        <w:tabs>
          <w:tab w:val="left" w:pos="851"/>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sz w:val="24"/>
          <w:szCs w:val="24"/>
        </w:rPr>
        <w:t xml:space="preserve">nocześnie Zamawiającemu będzie </w:t>
      </w:r>
      <w:r w:rsidRPr="00EB35CE">
        <w:rPr>
          <w:rFonts w:ascii="Times New Roman" w:eastAsia="Arial Unicode MS" w:hAnsi="Times New Roman"/>
          <w:sz w:val="24"/>
          <w:szCs w:val="24"/>
        </w:rPr>
        <w:t>przysługiwało prawo żądania dalszych wyjaśnień wraz z przedstawienie</w:t>
      </w:r>
      <w:r>
        <w:rPr>
          <w:rFonts w:ascii="Times New Roman" w:eastAsia="Arial Unicode MS" w:hAnsi="Times New Roman"/>
          <w:sz w:val="24"/>
          <w:szCs w:val="24"/>
        </w:rPr>
        <w:t xml:space="preserve">m dokumentów celem stwierdzenia </w:t>
      </w:r>
      <w:r w:rsidRPr="00EB35CE">
        <w:rPr>
          <w:rFonts w:ascii="Times New Roman" w:eastAsia="Arial Unicode MS" w:hAnsi="Times New Roman"/>
          <w:sz w:val="24"/>
          <w:szCs w:val="24"/>
        </w:rPr>
        <w:t>dopuszczalności i adekwatności zmiany cen za usługi.</w:t>
      </w:r>
    </w:p>
    <w:p w:rsidR="00804351" w:rsidRPr="00387EB1" w:rsidRDefault="00804351" w:rsidP="00BA24EB">
      <w:pPr>
        <w:pStyle w:val="Bezodstpw"/>
        <w:numPr>
          <w:ilvl w:val="1"/>
          <w:numId w:val="66"/>
        </w:numPr>
        <w:ind w:left="1418" w:hanging="284"/>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sidR="0060681C">
        <w:rPr>
          <w:rFonts w:ascii="Times New Roman" w:eastAsia="Arial Unicode MS" w:hAnsi="Times New Roman"/>
          <w:sz w:val="24"/>
          <w:szCs w:val="24"/>
        </w:rPr>
        <w:t>szenia cen, o których mowa w § 4</w:t>
      </w:r>
      <w:r>
        <w:rPr>
          <w:rFonts w:ascii="Times New Roman" w:eastAsia="Arial Unicode MS" w:hAnsi="Times New Roman"/>
          <w:sz w:val="24"/>
          <w:szCs w:val="24"/>
        </w:rPr>
        <w:t xml:space="preserve"> ust. 3</w:t>
      </w:r>
      <w:r w:rsidRPr="00387EB1">
        <w:rPr>
          <w:rFonts w:ascii="Times New Roman" w:eastAsia="Arial Unicode MS" w:hAnsi="Times New Roman"/>
          <w:sz w:val="24"/>
          <w:szCs w:val="24"/>
        </w:rPr>
        <w:t xml:space="preserve"> stosownie </w:t>
      </w:r>
      <w:r>
        <w:rPr>
          <w:rFonts w:ascii="Times New Roman" w:eastAsia="Arial Unicode MS" w:hAnsi="Times New Roman"/>
          <w:sz w:val="24"/>
          <w:szCs w:val="24"/>
        </w:rPr>
        <w:t>i odpowiednio  do zapisów pkt. 5</w:t>
      </w:r>
      <w:r w:rsidRPr="00387EB1">
        <w:rPr>
          <w:rFonts w:ascii="Times New Roman" w:eastAsia="Arial Unicode MS" w:hAnsi="Times New Roman"/>
          <w:sz w:val="24"/>
          <w:szCs w:val="24"/>
        </w:rPr>
        <w:t xml:space="preserve"> lit. a</w:t>
      </w:r>
      <w:r>
        <w:rPr>
          <w:rFonts w:ascii="Times New Roman" w:eastAsia="Arial Unicode MS" w:hAnsi="Times New Roman"/>
          <w:sz w:val="24"/>
          <w:szCs w:val="24"/>
        </w:rPr>
        <w:t xml:space="preserve"> – </w:t>
      </w:r>
      <w:r w:rsidRPr="00387EB1">
        <w:rPr>
          <w:rFonts w:ascii="Times New Roman" w:eastAsia="Arial Unicode MS" w:hAnsi="Times New Roman"/>
          <w:sz w:val="24"/>
          <w:szCs w:val="24"/>
        </w:rPr>
        <w:t>f,. jeżeli średnioroczny wskaźnik, o którym mowa pkt</w:t>
      </w:r>
      <w:r>
        <w:rPr>
          <w:rFonts w:ascii="Times New Roman" w:eastAsia="Arial Unicode MS" w:hAnsi="Times New Roman"/>
          <w:sz w:val="24"/>
          <w:szCs w:val="24"/>
        </w:rPr>
        <w:t>. 5</w:t>
      </w:r>
      <w:r w:rsidRPr="00387EB1">
        <w:rPr>
          <w:rFonts w:ascii="Times New Roman" w:eastAsia="Arial Unicode MS" w:hAnsi="Times New Roman"/>
          <w:sz w:val="24"/>
          <w:szCs w:val="24"/>
        </w:rPr>
        <w:t xml:space="preserve"> w lit.</w:t>
      </w:r>
      <w:r>
        <w:rPr>
          <w:rFonts w:ascii="Times New Roman" w:eastAsia="Arial Unicode MS" w:hAnsi="Times New Roman"/>
          <w:sz w:val="24"/>
          <w:szCs w:val="24"/>
        </w:rPr>
        <w:t xml:space="preserve"> e</w:t>
      </w:r>
      <w:r w:rsidRPr="00387EB1">
        <w:rPr>
          <w:rFonts w:ascii="Times New Roman" w:eastAsia="Arial Unicode MS" w:hAnsi="Times New Roman"/>
          <w:sz w:val="24"/>
          <w:szCs w:val="24"/>
        </w:rPr>
        <w:t xml:space="preserve"> opublikowany w roku 2022 (za rok 2021 w stosunku do 2020 roku) ulegnie zmniejszeniu o  co najmniej  5 % w stosunku do publikowanego w roku 2021 (za rok 2020 w stosunku do 2019).</w:t>
      </w:r>
    </w:p>
    <w:p w:rsidR="00804351" w:rsidRPr="00387EB1" w:rsidRDefault="00804351" w:rsidP="00804351">
      <w:pPr>
        <w:pStyle w:val="Bezodstpw"/>
        <w:numPr>
          <w:ilvl w:val="0"/>
          <w:numId w:val="46"/>
        </w:numPr>
        <w:jc w:val="both"/>
        <w:rPr>
          <w:rFonts w:ascii="Times New Roman" w:eastAsia="Arial Unicode MS" w:hAnsi="Times New Roman"/>
          <w:sz w:val="24"/>
          <w:szCs w:val="24"/>
        </w:rPr>
      </w:pP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w:t>
      </w:r>
      <w:r w:rsidRPr="00387EB1">
        <w:rPr>
          <w:rFonts w:ascii="Times New Roman" w:eastAsia="Arial Unicode MS" w:hAnsi="Times New Roman"/>
          <w:sz w:val="24"/>
          <w:szCs w:val="24"/>
        </w:rPr>
        <w:t>2 lit. b, pkt. 3 i 4 i ust. 2 ustawy</w:t>
      </w:r>
      <w:r>
        <w:rPr>
          <w:rFonts w:ascii="Times New Roman" w:eastAsia="Arial Unicode MS" w:hAnsi="Times New Roman"/>
          <w:sz w:val="24"/>
          <w:szCs w:val="24"/>
        </w:rPr>
        <w:t xml:space="preserve"> Pzp, przy zastosowaniu zasad </w:t>
      </w:r>
      <w:r w:rsidRPr="00387EB1">
        <w:rPr>
          <w:rFonts w:ascii="Times New Roman" w:eastAsia="Arial Unicode MS" w:hAnsi="Times New Roman"/>
          <w:sz w:val="24"/>
          <w:szCs w:val="24"/>
        </w:rPr>
        <w:t>określonych w  tym artykule.</w:t>
      </w:r>
    </w:p>
    <w:p w:rsidR="00804351" w:rsidRPr="0013736A" w:rsidRDefault="00804351" w:rsidP="00804351">
      <w:pPr>
        <w:numPr>
          <w:ilvl w:val="0"/>
          <w:numId w:val="46"/>
        </w:numPr>
        <w:tabs>
          <w:tab w:val="left" w:pos="426"/>
        </w:tabs>
        <w:suppressAutoHyphens/>
        <w:spacing w:line="21" w:lineRule="atLeast"/>
        <w:jc w:val="both"/>
      </w:pPr>
      <w:r w:rsidRPr="0013736A">
        <w:t>Warunki dokonania zmian:</w:t>
      </w:r>
    </w:p>
    <w:p w:rsidR="00804351" w:rsidRPr="0013736A" w:rsidRDefault="00804351" w:rsidP="00BA24EB">
      <w:pPr>
        <w:numPr>
          <w:ilvl w:val="0"/>
          <w:numId w:val="47"/>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804351" w:rsidRPr="0013736A" w:rsidRDefault="00804351" w:rsidP="00BA24EB">
      <w:pPr>
        <w:numPr>
          <w:ilvl w:val="0"/>
          <w:numId w:val="47"/>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804351" w:rsidRPr="0013736A" w:rsidRDefault="00804351" w:rsidP="00804351">
      <w:pPr>
        <w:numPr>
          <w:ilvl w:val="0"/>
          <w:numId w:val="46"/>
        </w:numPr>
        <w:tabs>
          <w:tab w:val="left" w:pos="426"/>
        </w:tabs>
        <w:suppressAutoHyphens/>
        <w:spacing w:line="21" w:lineRule="atLeast"/>
        <w:jc w:val="both"/>
      </w:pPr>
      <w:r w:rsidRPr="0013736A">
        <w:t>Wniosek, o którym mowa w ust. 2 pkt. 2 musi zawierać:</w:t>
      </w:r>
    </w:p>
    <w:p w:rsidR="00804351" w:rsidRPr="0013736A" w:rsidRDefault="00804351" w:rsidP="00BA24EB">
      <w:pPr>
        <w:numPr>
          <w:ilvl w:val="0"/>
          <w:numId w:val="48"/>
        </w:numPr>
        <w:tabs>
          <w:tab w:val="left" w:pos="426"/>
        </w:tabs>
        <w:suppressAutoHyphens/>
        <w:spacing w:line="21" w:lineRule="atLeast"/>
        <w:jc w:val="both"/>
      </w:pPr>
      <w:r w:rsidRPr="0013736A">
        <w:t>opis propozycji zmiany;</w:t>
      </w:r>
    </w:p>
    <w:p w:rsidR="00804351" w:rsidRPr="0013736A" w:rsidRDefault="00804351" w:rsidP="00BA24EB">
      <w:pPr>
        <w:numPr>
          <w:ilvl w:val="0"/>
          <w:numId w:val="48"/>
        </w:numPr>
        <w:tabs>
          <w:tab w:val="left" w:pos="426"/>
        </w:tabs>
        <w:suppressAutoHyphens/>
        <w:spacing w:line="21" w:lineRule="atLeast"/>
        <w:jc w:val="both"/>
      </w:pPr>
      <w:r w:rsidRPr="0013736A">
        <w:t>uzasadnienie zmiany;</w:t>
      </w:r>
    </w:p>
    <w:p w:rsidR="00804351" w:rsidRDefault="00804351" w:rsidP="00BA24EB">
      <w:pPr>
        <w:numPr>
          <w:ilvl w:val="0"/>
          <w:numId w:val="48"/>
        </w:numPr>
        <w:tabs>
          <w:tab w:val="left" w:pos="426"/>
        </w:tabs>
        <w:suppressAutoHyphens/>
        <w:spacing w:line="21" w:lineRule="atLeast"/>
        <w:jc w:val="both"/>
      </w:pPr>
      <w:r w:rsidRPr="0013736A">
        <w:t>opis wpływu zmiany na warunki realizacji umowy.</w:t>
      </w:r>
    </w:p>
    <w:p w:rsidR="00491381" w:rsidRDefault="00491381" w:rsidP="00491381">
      <w:pPr>
        <w:tabs>
          <w:tab w:val="left" w:pos="426"/>
        </w:tabs>
        <w:suppressAutoHyphens/>
        <w:spacing w:line="21" w:lineRule="atLeast"/>
        <w:jc w:val="both"/>
      </w:pPr>
    </w:p>
    <w:p w:rsidR="00491381" w:rsidRDefault="00491381" w:rsidP="00491381">
      <w:pPr>
        <w:tabs>
          <w:tab w:val="left" w:pos="426"/>
        </w:tabs>
        <w:suppressAutoHyphens/>
        <w:spacing w:line="21" w:lineRule="atLeast"/>
        <w:jc w:val="both"/>
      </w:pPr>
    </w:p>
    <w:p w:rsidR="00491381" w:rsidRPr="0013736A" w:rsidRDefault="00491381" w:rsidP="00491381">
      <w:pPr>
        <w:tabs>
          <w:tab w:val="left" w:pos="426"/>
        </w:tabs>
        <w:suppressAutoHyphens/>
        <w:spacing w:line="21" w:lineRule="atLeast"/>
        <w:jc w:val="both"/>
      </w:pPr>
    </w:p>
    <w:p w:rsidR="00804351" w:rsidRPr="0013736A" w:rsidRDefault="00804351" w:rsidP="00804351">
      <w:pPr>
        <w:numPr>
          <w:ilvl w:val="0"/>
          <w:numId w:val="46"/>
        </w:numPr>
        <w:tabs>
          <w:tab w:val="left" w:pos="426"/>
        </w:tabs>
        <w:suppressAutoHyphens/>
        <w:spacing w:line="21" w:lineRule="atLeast"/>
        <w:jc w:val="both"/>
      </w:pPr>
      <w:r w:rsidRPr="0013736A">
        <w:lastRenderedPageBreak/>
        <w:t>Zmiany umowy nie mogą:</w:t>
      </w:r>
    </w:p>
    <w:p w:rsidR="00804351" w:rsidRPr="0013736A" w:rsidRDefault="00804351" w:rsidP="00804351">
      <w:pPr>
        <w:numPr>
          <w:ilvl w:val="0"/>
          <w:numId w:val="20"/>
        </w:numPr>
        <w:tabs>
          <w:tab w:val="left" w:pos="426"/>
        </w:tabs>
        <w:suppressAutoHyphens/>
        <w:spacing w:line="21" w:lineRule="atLeast"/>
        <w:jc w:val="both"/>
      </w:pPr>
      <w:r w:rsidRPr="0013736A">
        <w:t>wprowadzać warunków, które gdyby zostały zastosowane w postępowaniu o udzielenie zamówienia, to wzięliby w nim udział lub mogliby wziąć udział inni Wykonawcy lub przyjęte zostałyby oferty innej treści;</w:t>
      </w:r>
    </w:p>
    <w:p w:rsidR="00804351" w:rsidRPr="0013736A" w:rsidRDefault="00804351" w:rsidP="00804351">
      <w:pPr>
        <w:numPr>
          <w:ilvl w:val="0"/>
          <w:numId w:val="20"/>
        </w:numPr>
        <w:tabs>
          <w:tab w:val="left" w:pos="426"/>
        </w:tabs>
        <w:suppressAutoHyphens/>
        <w:spacing w:line="21" w:lineRule="atLeast"/>
        <w:jc w:val="both"/>
      </w:pPr>
      <w:r w:rsidRPr="0013736A">
        <w:t>naruszać równowagi ekonomicznej stron umowy na korzyść Wykonawcy, w sposób nieprzewidziany w pierwotnej umowie;</w:t>
      </w:r>
    </w:p>
    <w:p w:rsidR="00804351" w:rsidRPr="0013736A" w:rsidRDefault="00804351" w:rsidP="00804351">
      <w:pPr>
        <w:numPr>
          <w:ilvl w:val="0"/>
          <w:numId w:val="20"/>
        </w:numPr>
        <w:tabs>
          <w:tab w:val="left" w:pos="426"/>
        </w:tabs>
        <w:suppressAutoHyphens/>
        <w:spacing w:line="21" w:lineRule="atLeast"/>
        <w:jc w:val="both"/>
      </w:pPr>
      <w:r w:rsidRPr="0013736A">
        <w:t>w sposób znaczny rozszerzać albo zmniejszać zakresu świadczeń i zobowiązań wynikających z umowy;</w:t>
      </w:r>
    </w:p>
    <w:p w:rsidR="00804351" w:rsidRPr="0013736A" w:rsidRDefault="00804351" w:rsidP="00804351">
      <w:pPr>
        <w:numPr>
          <w:ilvl w:val="0"/>
          <w:numId w:val="20"/>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804351" w:rsidRPr="0013736A" w:rsidRDefault="00804351" w:rsidP="00804351">
      <w:pPr>
        <w:tabs>
          <w:tab w:val="left" w:pos="426"/>
        </w:tabs>
        <w:suppressAutoHyphens/>
        <w:spacing w:line="21" w:lineRule="atLeast"/>
        <w:ind w:left="1428"/>
        <w:jc w:val="both"/>
      </w:pPr>
    </w:p>
    <w:p w:rsidR="00804351" w:rsidRPr="0013736A" w:rsidRDefault="00804351" w:rsidP="00804351">
      <w:pPr>
        <w:jc w:val="center"/>
      </w:pPr>
      <w:r w:rsidRPr="0013736A">
        <w:t>§ 13</w:t>
      </w:r>
    </w:p>
    <w:p w:rsidR="00804351" w:rsidRPr="0013736A" w:rsidRDefault="00804351" w:rsidP="00804351">
      <w:pPr>
        <w:tabs>
          <w:tab w:val="left" w:pos="426"/>
        </w:tabs>
        <w:suppressAutoHyphens/>
        <w:spacing w:line="21" w:lineRule="atLeast"/>
        <w:jc w:val="both"/>
      </w:pPr>
      <w:r w:rsidRPr="0013736A">
        <w:tab/>
      </w:r>
      <w:r w:rsidRPr="0013736A">
        <w:tab/>
        <w:t>Wszelkie zmiany Umowy wymagają formy pisemnej pod rygorem nieważności.</w:t>
      </w:r>
    </w:p>
    <w:p w:rsidR="00804351" w:rsidRPr="0013736A" w:rsidRDefault="00804351" w:rsidP="00804351">
      <w:pPr>
        <w:jc w:val="center"/>
      </w:pPr>
    </w:p>
    <w:p w:rsidR="00804351" w:rsidRPr="0013736A" w:rsidRDefault="00804351" w:rsidP="00804351">
      <w:pPr>
        <w:jc w:val="center"/>
      </w:pPr>
      <w:r w:rsidRPr="0013736A">
        <w:t>§ 14</w:t>
      </w:r>
    </w:p>
    <w:p w:rsidR="00804351" w:rsidRPr="0013736A" w:rsidRDefault="00804351" w:rsidP="00804351">
      <w:pPr>
        <w:ind w:left="708"/>
        <w:jc w:val="both"/>
      </w:pPr>
      <w:r w:rsidRPr="0013736A">
        <w:t>Spory mogące powstać na tle stosowania niniejszej umowy strony poddają pod rozstrzygnięcie sądowi właściwemu miejscowo dla siedziby Zamawiającego.</w:t>
      </w:r>
    </w:p>
    <w:p w:rsidR="00804351" w:rsidRPr="0013736A" w:rsidRDefault="00804351" w:rsidP="00804351">
      <w:pPr>
        <w:jc w:val="center"/>
      </w:pPr>
    </w:p>
    <w:p w:rsidR="00804351" w:rsidRPr="0013736A" w:rsidRDefault="00804351" w:rsidP="00804351">
      <w:pPr>
        <w:jc w:val="center"/>
      </w:pPr>
      <w:r w:rsidRPr="0013736A">
        <w:t>§15</w:t>
      </w:r>
    </w:p>
    <w:p w:rsidR="00804351" w:rsidRDefault="00804351" w:rsidP="00301A5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301A59" w:rsidRPr="00301A59" w:rsidRDefault="00301A59" w:rsidP="00301A59">
      <w:pPr>
        <w:ind w:left="708"/>
        <w:jc w:val="both"/>
        <w:rPr>
          <w:color w:val="202124"/>
          <w:shd w:val="clear" w:color="auto" w:fill="FFFFFF"/>
        </w:rPr>
      </w:pPr>
    </w:p>
    <w:p w:rsidR="00804351" w:rsidRDefault="00804351" w:rsidP="00804351">
      <w:pPr>
        <w:jc w:val="center"/>
      </w:pPr>
      <w:r>
        <w:t>§16</w:t>
      </w:r>
    </w:p>
    <w:p w:rsidR="00804351" w:rsidRDefault="00804351" w:rsidP="00804351">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04351" w:rsidRPr="0013736A" w:rsidRDefault="00804351" w:rsidP="00804351">
      <w:pPr>
        <w:jc w:val="center"/>
      </w:pPr>
    </w:p>
    <w:p w:rsidR="00804351" w:rsidRPr="0013736A" w:rsidRDefault="00804351" w:rsidP="00804351">
      <w:pPr>
        <w:jc w:val="center"/>
      </w:pPr>
      <w:r>
        <w:t>§17</w:t>
      </w:r>
    </w:p>
    <w:p w:rsidR="00804351" w:rsidRDefault="00804351" w:rsidP="00804351">
      <w:pPr>
        <w:ind w:left="708"/>
        <w:jc w:val="both"/>
      </w:pPr>
      <w:r w:rsidRPr="0013736A">
        <w:t>Zamawiający oświadcza, że jest dużym przedsiębiorcą w rozumieniu art. 4 pkt. 6 ustawy z dnia 8 marca 2013 r. o przeciwdziałaniu nadmiernym opóźnieniom w transakcjach handlowych (Dz. U. z 2021 r. poz. 424).</w:t>
      </w:r>
    </w:p>
    <w:p w:rsidR="00804351" w:rsidRPr="0013736A" w:rsidRDefault="00804351" w:rsidP="00804351">
      <w:pPr>
        <w:ind w:left="708"/>
        <w:jc w:val="both"/>
      </w:pPr>
    </w:p>
    <w:p w:rsidR="00804351" w:rsidRPr="0013736A" w:rsidRDefault="00804351" w:rsidP="00804351">
      <w:pPr>
        <w:jc w:val="center"/>
      </w:pPr>
      <w:r>
        <w:t>§ 18</w:t>
      </w:r>
    </w:p>
    <w:p w:rsidR="00804351" w:rsidRPr="0013736A" w:rsidRDefault="00804351" w:rsidP="00804351">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804351" w:rsidRPr="0013736A" w:rsidRDefault="00804351" w:rsidP="00804351">
      <w:pPr>
        <w:jc w:val="both"/>
      </w:pPr>
    </w:p>
    <w:p w:rsidR="00804351" w:rsidRPr="0013736A" w:rsidRDefault="00804351" w:rsidP="00804351">
      <w:pPr>
        <w:ind w:firstLine="708"/>
        <w:jc w:val="both"/>
        <w:rPr>
          <w:b/>
        </w:rPr>
      </w:pPr>
      <w:r w:rsidRPr="0013736A">
        <w:rPr>
          <w:b/>
        </w:rPr>
        <w:t>Załączniki:</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804351" w:rsidRDefault="00804351" w:rsidP="00804351">
      <w:pPr>
        <w:widowControl w:val="0"/>
        <w:adjustRightInd w:val="0"/>
        <w:spacing w:after="120"/>
        <w:textAlignment w:val="baseline"/>
        <w:rPr>
          <w:rFonts w:ascii="Arial Narrow" w:eastAsia="Calibri" w:hAnsi="Arial Narrow"/>
          <w:sz w:val="22"/>
          <w:szCs w:val="22"/>
          <w:lang w:eastAsia="en-US"/>
        </w:rPr>
      </w:pPr>
    </w:p>
    <w:p w:rsidR="00804351" w:rsidRPr="00D932D9" w:rsidRDefault="00804351" w:rsidP="00804351">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D53998" w:rsidRPr="00804351" w:rsidRDefault="00D53998" w:rsidP="00804351">
      <w:pPr>
        <w:tabs>
          <w:tab w:val="left" w:pos="1605"/>
        </w:tabs>
        <w:rPr>
          <w:rFonts w:eastAsia="Calibri"/>
          <w:sz w:val="26"/>
          <w:szCs w:val="26"/>
          <w:lang w:eastAsia="en-US"/>
        </w:rPr>
      </w:pPr>
    </w:p>
    <w:sectPr w:rsidR="00D53998" w:rsidRPr="00804351" w:rsidSect="00D057A2">
      <w:footerReference w:type="default" r:id="rId3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28" w:rsidRDefault="00870828" w:rsidP="00BD3D5A">
      <w:r>
        <w:separator/>
      </w:r>
    </w:p>
  </w:endnote>
  <w:endnote w:type="continuationSeparator" w:id="0">
    <w:p w:rsidR="00870828" w:rsidRDefault="00870828"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8C77B9">
    <w:pPr>
      <w:pStyle w:val="Stopka"/>
      <w:rPr>
        <w:sz w:val="18"/>
        <w:szCs w:val="18"/>
      </w:rPr>
    </w:pPr>
    <w:r>
      <w:rPr>
        <w:noProof/>
        <w:sz w:val="18"/>
        <w:szCs w:val="18"/>
      </w:rPr>
      <w:pict>
        <v:line id="_x0000_s1025" style="position:absolute;z-index:251657216" from="0,5.05pt" to="459pt,5.05pt"/>
      </w:pict>
    </w:r>
  </w:p>
  <w:p w:rsidR="007814C5" w:rsidRDefault="007814C5">
    <w:pPr>
      <w:pStyle w:val="Stopka"/>
      <w:tabs>
        <w:tab w:val="clear" w:pos="4536"/>
        <w:tab w:val="right" w:pos="9000"/>
      </w:tabs>
      <w:rPr>
        <w:sz w:val="18"/>
        <w:szCs w:val="18"/>
      </w:rPr>
    </w:pPr>
    <w:r>
      <w:rPr>
        <w:sz w:val="18"/>
        <w:szCs w:val="18"/>
      </w:rPr>
      <w:tab/>
      <w:t xml:space="preserve">Strona: </w:t>
    </w:r>
    <w:r w:rsidR="008C77B9">
      <w:rPr>
        <w:rStyle w:val="Numerstrony"/>
        <w:sz w:val="18"/>
        <w:szCs w:val="18"/>
      </w:rPr>
      <w:fldChar w:fldCharType="begin"/>
    </w:r>
    <w:r>
      <w:rPr>
        <w:rStyle w:val="Numerstrony"/>
        <w:sz w:val="18"/>
        <w:szCs w:val="18"/>
      </w:rPr>
      <w:instrText xml:space="preserve"> PAGE </w:instrText>
    </w:r>
    <w:r w:rsidR="008C77B9">
      <w:rPr>
        <w:rStyle w:val="Numerstrony"/>
        <w:sz w:val="18"/>
        <w:szCs w:val="18"/>
      </w:rPr>
      <w:fldChar w:fldCharType="separate"/>
    </w:r>
    <w:r w:rsidR="004F346A">
      <w:rPr>
        <w:rStyle w:val="Numerstrony"/>
        <w:noProof/>
        <w:sz w:val="18"/>
        <w:szCs w:val="18"/>
      </w:rPr>
      <w:t>20</w:t>
    </w:r>
    <w:r w:rsidR="008C77B9">
      <w:rPr>
        <w:rStyle w:val="Numerstrony"/>
        <w:sz w:val="18"/>
        <w:szCs w:val="18"/>
      </w:rPr>
      <w:fldChar w:fldCharType="end"/>
    </w:r>
    <w:r>
      <w:rPr>
        <w:rStyle w:val="Numerstrony"/>
        <w:sz w:val="18"/>
        <w:szCs w:val="18"/>
      </w:rPr>
      <w:t>/</w:t>
    </w:r>
    <w:r w:rsidR="008C77B9">
      <w:rPr>
        <w:rStyle w:val="Numerstrony"/>
        <w:sz w:val="18"/>
        <w:szCs w:val="18"/>
      </w:rPr>
      <w:fldChar w:fldCharType="begin"/>
    </w:r>
    <w:r>
      <w:rPr>
        <w:rStyle w:val="Numerstrony"/>
        <w:sz w:val="18"/>
        <w:szCs w:val="18"/>
      </w:rPr>
      <w:instrText xml:space="preserve"> NUMPAGES </w:instrText>
    </w:r>
    <w:r w:rsidR="008C77B9">
      <w:rPr>
        <w:rStyle w:val="Numerstrony"/>
        <w:sz w:val="18"/>
        <w:szCs w:val="18"/>
      </w:rPr>
      <w:fldChar w:fldCharType="separate"/>
    </w:r>
    <w:r w:rsidR="004F346A">
      <w:rPr>
        <w:rStyle w:val="Numerstrony"/>
        <w:noProof/>
        <w:sz w:val="18"/>
        <w:szCs w:val="18"/>
      </w:rPr>
      <w:t>33</w:t>
    </w:r>
    <w:r w:rsidR="008C77B9">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7814C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8C77B9"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814C5" w:rsidRDefault="007814C5" w:rsidP="00331F2D">
    <w:pPr>
      <w:pStyle w:val="Stopka"/>
      <w:tabs>
        <w:tab w:val="clear" w:pos="4536"/>
        <w:tab w:val="right" w:pos="9000"/>
      </w:tabs>
      <w:rPr>
        <w:sz w:val="18"/>
        <w:szCs w:val="18"/>
      </w:rPr>
    </w:pPr>
    <w:r>
      <w:rPr>
        <w:sz w:val="18"/>
        <w:szCs w:val="18"/>
      </w:rPr>
      <w:tab/>
      <w:t xml:space="preserve">Strona: </w:t>
    </w:r>
    <w:r w:rsidR="008C77B9">
      <w:rPr>
        <w:rStyle w:val="Numerstrony"/>
        <w:sz w:val="18"/>
        <w:szCs w:val="18"/>
      </w:rPr>
      <w:fldChar w:fldCharType="begin"/>
    </w:r>
    <w:r>
      <w:rPr>
        <w:rStyle w:val="Numerstrony"/>
        <w:sz w:val="18"/>
        <w:szCs w:val="18"/>
      </w:rPr>
      <w:instrText xml:space="preserve"> PAGE </w:instrText>
    </w:r>
    <w:r w:rsidR="008C77B9">
      <w:rPr>
        <w:rStyle w:val="Numerstrony"/>
        <w:sz w:val="18"/>
        <w:szCs w:val="18"/>
      </w:rPr>
      <w:fldChar w:fldCharType="separate"/>
    </w:r>
    <w:r>
      <w:rPr>
        <w:rStyle w:val="Numerstrony"/>
        <w:noProof/>
        <w:sz w:val="18"/>
        <w:szCs w:val="18"/>
      </w:rPr>
      <w:t>49</w:t>
    </w:r>
    <w:r w:rsidR="008C77B9">
      <w:rPr>
        <w:rStyle w:val="Numerstrony"/>
        <w:sz w:val="18"/>
        <w:szCs w:val="18"/>
      </w:rPr>
      <w:fldChar w:fldCharType="end"/>
    </w:r>
    <w:r>
      <w:rPr>
        <w:rStyle w:val="Numerstrony"/>
        <w:sz w:val="18"/>
        <w:szCs w:val="18"/>
      </w:rPr>
      <w:t>/</w:t>
    </w:r>
    <w:r w:rsidR="008C77B9">
      <w:rPr>
        <w:rStyle w:val="Numerstrony"/>
        <w:sz w:val="18"/>
        <w:szCs w:val="18"/>
      </w:rPr>
      <w:fldChar w:fldCharType="begin"/>
    </w:r>
    <w:r>
      <w:rPr>
        <w:rStyle w:val="Numerstrony"/>
        <w:sz w:val="18"/>
        <w:szCs w:val="18"/>
      </w:rPr>
      <w:instrText xml:space="preserve"> NUMPAGES </w:instrText>
    </w:r>
    <w:r w:rsidR="008C77B9">
      <w:rPr>
        <w:rStyle w:val="Numerstrony"/>
        <w:sz w:val="18"/>
        <w:szCs w:val="18"/>
      </w:rPr>
      <w:fldChar w:fldCharType="separate"/>
    </w:r>
    <w:r w:rsidR="001E55FC">
      <w:rPr>
        <w:rStyle w:val="Numerstrony"/>
        <w:noProof/>
        <w:sz w:val="18"/>
        <w:szCs w:val="18"/>
      </w:rPr>
      <w:t>33</w:t>
    </w:r>
    <w:r w:rsidR="008C77B9">
      <w:rPr>
        <w:rStyle w:val="Numerstrony"/>
        <w:sz w:val="18"/>
        <w:szCs w:val="18"/>
      </w:rPr>
      <w:fldChar w:fldCharType="end"/>
    </w:r>
  </w:p>
  <w:p w:rsidR="007814C5" w:rsidRDefault="007814C5">
    <w:pPr>
      <w:pStyle w:val="Stopka"/>
      <w:jc w:val="center"/>
    </w:pPr>
  </w:p>
  <w:p w:rsidR="007814C5" w:rsidRDefault="007814C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8C77B9"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7814C5" w:rsidRPr="00DB3C21" w:rsidRDefault="007814C5"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28" w:rsidRDefault="00870828" w:rsidP="00BD3D5A">
      <w:r>
        <w:separator/>
      </w:r>
    </w:p>
  </w:footnote>
  <w:footnote w:type="continuationSeparator" w:id="0">
    <w:p w:rsidR="00870828" w:rsidRDefault="00870828" w:rsidP="00BD3D5A">
      <w:r>
        <w:continuationSeparator/>
      </w:r>
    </w:p>
  </w:footnote>
  <w:footnote w:id="1">
    <w:p w:rsidR="007814C5" w:rsidRPr="00C37CD2" w:rsidRDefault="007814C5"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8C77B9" w:rsidP="00331F2D">
    <w:pPr>
      <w:pStyle w:val="Nagwek"/>
      <w:framePr w:wrap="around" w:vAnchor="text" w:hAnchor="margin" w:xAlign="right" w:y="1"/>
      <w:rPr>
        <w:rStyle w:val="Numerstrony"/>
      </w:rPr>
    </w:pPr>
    <w:r>
      <w:rPr>
        <w:rStyle w:val="Numerstrony"/>
      </w:rPr>
      <w:fldChar w:fldCharType="begin"/>
    </w:r>
    <w:r w:rsidR="007814C5">
      <w:rPr>
        <w:rStyle w:val="Numerstrony"/>
      </w:rPr>
      <w:instrText xml:space="preserve">PAGE  </w:instrText>
    </w:r>
    <w:r>
      <w:rPr>
        <w:rStyle w:val="Numerstrony"/>
      </w:rPr>
      <w:fldChar w:fldCharType="end"/>
    </w:r>
  </w:p>
  <w:p w:rsidR="007814C5" w:rsidRDefault="007814C5"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7814C5" w:rsidP="00331F2D">
    <w:pPr>
      <w:pStyle w:val="Nagwek"/>
      <w:framePr w:wrap="around" w:vAnchor="text" w:hAnchor="margin" w:xAlign="right" w:y="1"/>
      <w:rPr>
        <w:rStyle w:val="Numerstrony"/>
      </w:rPr>
    </w:pPr>
  </w:p>
  <w:p w:rsidR="007814C5" w:rsidRDefault="007814C5"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7814C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1F51203D"/>
    <w:multiLevelType w:val="hybridMultilevel"/>
    <w:tmpl w:val="4778598A"/>
    <w:lvl w:ilvl="0" w:tplc="7EF60E7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0">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575054E3"/>
    <w:multiLevelType w:val="multilevel"/>
    <w:tmpl w:val="F4588DD4"/>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5">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6467218E"/>
    <w:multiLevelType w:val="hybridMultilevel"/>
    <w:tmpl w:val="F9583F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4">
    <w:nsid w:val="69B63177"/>
    <w:multiLevelType w:val="multilevel"/>
    <w:tmpl w:val="94785CA8"/>
    <w:lvl w:ilvl="0">
      <w:start w:val="1"/>
      <w:numFmt w:val="decimal"/>
      <w:lvlText w:val="%1."/>
      <w:lvlJc w:val="left"/>
      <w:pPr>
        <w:tabs>
          <w:tab w:val="num" w:pos="720"/>
        </w:tabs>
        <w:ind w:left="720" w:hanging="360"/>
      </w:pPr>
      <w:rPr>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nsid w:val="7D9B76C2"/>
    <w:multiLevelType w:val="hybridMultilevel"/>
    <w:tmpl w:val="CC6CDE70"/>
    <w:lvl w:ilvl="0" w:tplc="27229F62">
      <w:start w:val="1"/>
      <w:numFmt w:val="lowerLetter"/>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5">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4"/>
  </w:num>
  <w:num w:numId="2">
    <w:abstractNumId w:val="31"/>
  </w:num>
  <w:num w:numId="3">
    <w:abstractNumId w:val="29"/>
  </w:num>
  <w:num w:numId="4">
    <w:abstractNumId w:val="57"/>
  </w:num>
  <w:num w:numId="5">
    <w:abstractNumId w:val="21"/>
  </w:num>
  <w:num w:numId="6">
    <w:abstractNumId w:val="33"/>
  </w:num>
  <w:num w:numId="7">
    <w:abstractNumId w:val="40"/>
  </w:num>
  <w:num w:numId="8">
    <w:abstractNumId w:val="56"/>
  </w:num>
  <w:num w:numId="9">
    <w:abstractNumId w:val="68"/>
  </w:num>
  <w:num w:numId="10">
    <w:abstractNumId w:val="34"/>
  </w:num>
  <w:num w:numId="11">
    <w:abstractNumId w:val="35"/>
  </w:num>
  <w:num w:numId="12">
    <w:abstractNumId w:val="6"/>
  </w:num>
  <w:num w:numId="13">
    <w:abstractNumId w:val="23"/>
  </w:num>
  <w:num w:numId="14">
    <w:abstractNumId w:val="62"/>
  </w:num>
  <w:num w:numId="15">
    <w:abstractNumId w:val="63"/>
  </w:num>
  <w:num w:numId="16">
    <w:abstractNumId w:val="73"/>
  </w:num>
  <w:num w:numId="17">
    <w:abstractNumId w:val="36"/>
  </w:num>
  <w:num w:numId="18">
    <w:abstractNumId w:val="74"/>
  </w:num>
  <w:num w:numId="19">
    <w:abstractNumId w:val="75"/>
  </w:num>
  <w:num w:numId="20">
    <w:abstractNumId w:val="69"/>
  </w:num>
  <w:num w:numId="21">
    <w:abstractNumId w:val="62"/>
    <w:lvlOverride w:ilvl="0">
      <w:startOverride w:val="1"/>
    </w:lvlOverride>
  </w:num>
  <w:num w:numId="22">
    <w:abstractNumId w:val="30"/>
  </w:num>
  <w:num w:numId="23">
    <w:abstractNumId w:val="53"/>
  </w:num>
  <w:num w:numId="24">
    <w:abstractNumId w:val="17"/>
  </w:num>
  <w:num w:numId="25">
    <w:abstractNumId w:val="18"/>
  </w:num>
  <w:num w:numId="26">
    <w:abstractNumId w:val="70"/>
  </w:num>
  <w:num w:numId="27">
    <w:abstractNumId w:val="11"/>
  </w:num>
  <w:num w:numId="28">
    <w:abstractNumId w:val="47"/>
  </w:num>
  <w:num w:numId="29">
    <w:abstractNumId w:val="48"/>
  </w:num>
  <w:num w:numId="30">
    <w:abstractNumId w:val="58"/>
  </w:num>
  <w:num w:numId="31">
    <w:abstractNumId w:val="15"/>
  </w:num>
  <w:num w:numId="32">
    <w:abstractNumId w:val="10"/>
  </w:num>
  <w:num w:numId="33">
    <w:abstractNumId w:val="67"/>
  </w:num>
  <w:num w:numId="34">
    <w:abstractNumId w:val="45"/>
  </w:num>
  <w:num w:numId="35">
    <w:abstractNumId w:val="28"/>
  </w:num>
  <w:num w:numId="36">
    <w:abstractNumId w:val="44"/>
  </w:num>
  <w:num w:numId="37">
    <w:abstractNumId w:val="26"/>
  </w:num>
  <w:num w:numId="38">
    <w:abstractNumId w:val="49"/>
  </w:num>
  <w:num w:numId="39">
    <w:abstractNumId w:val="41"/>
  </w:num>
  <w:num w:numId="40">
    <w:abstractNumId w:val="14"/>
  </w:num>
  <w:num w:numId="41">
    <w:abstractNumId w:val="27"/>
  </w:num>
  <w:num w:numId="42">
    <w:abstractNumId w:val="43"/>
  </w:num>
  <w:num w:numId="43">
    <w:abstractNumId w:val="20"/>
  </w:num>
  <w:num w:numId="44">
    <w:abstractNumId w:val="54"/>
  </w:num>
  <w:num w:numId="45">
    <w:abstractNumId w:val="39"/>
  </w:num>
  <w:num w:numId="46">
    <w:abstractNumId w:val="55"/>
  </w:num>
  <w:num w:numId="47">
    <w:abstractNumId w:val="38"/>
  </w:num>
  <w:num w:numId="48">
    <w:abstractNumId w:val="71"/>
  </w:num>
  <w:num w:numId="49">
    <w:abstractNumId w:val="25"/>
  </w:num>
  <w:num w:numId="50">
    <w:abstractNumId w:val="32"/>
  </w:num>
  <w:num w:numId="51">
    <w:abstractNumId w:val="19"/>
  </w:num>
  <w:num w:numId="52">
    <w:abstractNumId w:val="22"/>
  </w:num>
  <w:num w:numId="53">
    <w:abstractNumId w:val="65"/>
  </w:num>
  <w:num w:numId="54">
    <w:abstractNumId w:val="12"/>
  </w:num>
  <w:num w:numId="55">
    <w:abstractNumId w:val="52"/>
  </w:num>
  <w:num w:numId="56">
    <w:abstractNumId w:val="46"/>
  </w:num>
  <w:num w:numId="57">
    <w:abstractNumId w:val="60"/>
  </w:num>
  <w:num w:numId="58">
    <w:abstractNumId w:val="61"/>
  </w:num>
  <w:num w:numId="59">
    <w:abstractNumId w:val="59"/>
  </w:num>
  <w:num w:numId="60">
    <w:abstractNumId w:val="13"/>
  </w:num>
  <w:num w:numId="61">
    <w:abstractNumId w:val="51"/>
  </w:num>
  <w:num w:numId="62">
    <w:abstractNumId w:val="16"/>
  </w:num>
  <w:num w:numId="63">
    <w:abstractNumId w:val="72"/>
  </w:num>
  <w:num w:numId="64">
    <w:abstractNumId w:val="64"/>
  </w:num>
  <w:num w:numId="65">
    <w:abstractNumId w:val="42"/>
  </w:num>
  <w:num w:numId="66">
    <w:abstractNumId w:val="66"/>
  </w:num>
  <w:num w:numId="67">
    <w:abstractNumId w:val="37"/>
  </w:num>
  <w:num w:numId="68">
    <w:abstractNumId w:val="5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23906"/>
    <o:shapelayout v:ext="edit">
      <o:idmap v:ext="edit" data="1"/>
    </o:shapelayout>
  </w:hdrShapeDefaults>
  <w:footnotePr>
    <w:footnote w:id="-1"/>
    <w:footnote w:id="0"/>
  </w:footnotePr>
  <w:endnotePr>
    <w:endnote w:id="-1"/>
    <w:endnote w:id="0"/>
  </w:endnotePr>
  <w:compat/>
  <w:rsids>
    <w:rsidRoot w:val="00BD3D5A"/>
    <w:rsid w:val="00000D6C"/>
    <w:rsid w:val="0000748B"/>
    <w:rsid w:val="00013816"/>
    <w:rsid w:val="00020B0D"/>
    <w:rsid w:val="0002316B"/>
    <w:rsid w:val="00036FAF"/>
    <w:rsid w:val="00041209"/>
    <w:rsid w:val="00052822"/>
    <w:rsid w:val="0005515A"/>
    <w:rsid w:val="000608BA"/>
    <w:rsid w:val="00066497"/>
    <w:rsid w:val="00083C5A"/>
    <w:rsid w:val="00085D51"/>
    <w:rsid w:val="0009028E"/>
    <w:rsid w:val="00091759"/>
    <w:rsid w:val="00093E9D"/>
    <w:rsid w:val="000A1E3D"/>
    <w:rsid w:val="000A4257"/>
    <w:rsid w:val="000A72DC"/>
    <w:rsid w:val="000B63FD"/>
    <w:rsid w:val="000B7FBA"/>
    <w:rsid w:val="000C0097"/>
    <w:rsid w:val="000F39D8"/>
    <w:rsid w:val="000F643F"/>
    <w:rsid w:val="00101892"/>
    <w:rsid w:val="00127ACA"/>
    <w:rsid w:val="00135397"/>
    <w:rsid w:val="001353DD"/>
    <w:rsid w:val="00143900"/>
    <w:rsid w:val="00143A11"/>
    <w:rsid w:val="00155484"/>
    <w:rsid w:val="0016197D"/>
    <w:rsid w:val="00165AAA"/>
    <w:rsid w:val="00166D57"/>
    <w:rsid w:val="00172364"/>
    <w:rsid w:val="00187901"/>
    <w:rsid w:val="00197ABB"/>
    <w:rsid w:val="001A19FA"/>
    <w:rsid w:val="001B1C26"/>
    <w:rsid w:val="001B5796"/>
    <w:rsid w:val="001B587B"/>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7872"/>
    <w:rsid w:val="00217A52"/>
    <w:rsid w:val="00221E25"/>
    <w:rsid w:val="002413D2"/>
    <w:rsid w:val="00242899"/>
    <w:rsid w:val="002439AA"/>
    <w:rsid w:val="00256414"/>
    <w:rsid w:val="00270FEA"/>
    <w:rsid w:val="00275AE2"/>
    <w:rsid w:val="00280C7D"/>
    <w:rsid w:val="00281A9F"/>
    <w:rsid w:val="00282ADA"/>
    <w:rsid w:val="00284751"/>
    <w:rsid w:val="00292330"/>
    <w:rsid w:val="002958C6"/>
    <w:rsid w:val="00295E64"/>
    <w:rsid w:val="00297869"/>
    <w:rsid w:val="002A59E5"/>
    <w:rsid w:val="002A65AA"/>
    <w:rsid w:val="002C21B3"/>
    <w:rsid w:val="002D0CE0"/>
    <w:rsid w:val="002D1932"/>
    <w:rsid w:val="002D2193"/>
    <w:rsid w:val="002D4630"/>
    <w:rsid w:val="002D5801"/>
    <w:rsid w:val="002D6BFD"/>
    <w:rsid w:val="002E05A6"/>
    <w:rsid w:val="002E0895"/>
    <w:rsid w:val="002E6E2A"/>
    <w:rsid w:val="002F1923"/>
    <w:rsid w:val="002F2EA5"/>
    <w:rsid w:val="002F36C7"/>
    <w:rsid w:val="002F5B0A"/>
    <w:rsid w:val="00301A59"/>
    <w:rsid w:val="00303662"/>
    <w:rsid w:val="003063A4"/>
    <w:rsid w:val="003071CB"/>
    <w:rsid w:val="00316841"/>
    <w:rsid w:val="003227C8"/>
    <w:rsid w:val="00325AE9"/>
    <w:rsid w:val="00325C67"/>
    <w:rsid w:val="0032680F"/>
    <w:rsid w:val="00327CFD"/>
    <w:rsid w:val="00331F2D"/>
    <w:rsid w:val="00332910"/>
    <w:rsid w:val="00333CBF"/>
    <w:rsid w:val="00344080"/>
    <w:rsid w:val="00344B7E"/>
    <w:rsid w:val="0034549A"/>
    <w:rsid w:val="00346F2B"/>
    <w:rsid w:val="0035279B"/>
    <w:rsid w:val="00356BF2"/>
    <w:rsid w:val="00361F40"/>
    <w:rsid w:val="00363CEA"/>
    <w:rsid w:val="0036544D"/>
    <w:rsid w:val="003712F2"/>
    <w:rsid w:val="003738AE"/>
    <w:rsid w:val="00375967"/>
    <w:rsid w:val="0038589B"/>
    <w:rsid w:val="00387A58"/>
    <w:rsid w:val="00387EB1"/>
    <w:rsid w:val="0039146C"/>
    <w:rsid w:val="0039385A"/>
    <w:rsid w:val="003A68A1"/>
    <w:rsid w:val="003D4F61"/>
    <w:rsid w:val="003E16DF"/>
    <w:rsid w:val="003E2334"/>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44D4C"/>
    <w:rsid w:val="004542C0"/>
    <w:rsid w:val="00461929"/>
    <w:rsid w:val="0047485A"/>
    <w:rsid w:val="004752B2"/>
    <w:rsid w:val="00476DC2"/>
    <w:rsid w:val="00476FF7"/>
    <w:rsid w:val="0047732C"/>
    <w:rsid w:val="00480638"/>
    <w:rsid w:val="0048264B"/>
    <w:rsid w:val="00490CAC"/>
    <w:rsid w:val="00491175"/>
    <w:rsid w:val="00491381"/>
    <w:rsid w:val="00492500"/>
    <w:rsid w:val="00492F10"/>
    <w:rsid w:val="00497948"/>
    <w:rsid w:val="00497E19"/>
    <w:rsid w:val="004A15E1"/>
    <w:rsid w:val="004A3C76"/>
    <w:rsid w:val="004B0574"/>
    <w:rsid w:val="004B1992"/>
    <w:rsid w:val="004B3EB9"/>
    <w:rsid w:val="004C7F19"/>
    <w:rsid w:val="004E25BC"/>
    <w:rsid w:val="004E2769"/>
    <w:rsid w:val="004F0DC5"/>
    <w:rsid w:val="004F221E"/>
    <w:rsid w:val="004F346A"/>
    <w:rsid w:val="004F3D31"/>
    <w:rsid w:val="0051029C"/>
    <w:rsid w:val="00511704"/>
    <w:rsid w:val="005157EE"/>
    <w:rsid w:val="00516204"/>
    <w:rsid w:val="00526EB7"/>
    <w:rsid w:val="00531284"/>
    <w:rsid w:val="00536A61"/>
    <w:rsid w:val="00541066"/>
    <w:rsid w:val="0054396D"/>
    <w:rsid w:val="00552017"/>
    <w:rsid w:val="00560797"/>
    <w:rsid w:val="0056170D"/>
    <w:rsid w:val="00564362"/>
    <w:rsid w:val="00571546"/>
    <w:rsid w:val="00572607"/>
    <w:rsid w:val="00597AA7"/>
    <w:rsid w:val="005A6E9B"/>
    <w:rsid w:val="005B457A"/>
    <w:rsid w:val="005B5F45"/>
    <w:rsid w:val="005B658C"/>
    <w:rsid w:val="005B69C7"/>
    <w:rsid w:val="005C133B"/>
    <w:rsid w:val="005C6A9C"/>
    <w:rsid w:val="005D50C8"/>
    <w:rsid w:val="005D6A0F"/>
    <w:rsid w:val="005E5D81"/>
    <w:rsid w:val="005E6066"/>
    <w:rsid w:val="005F2685"/>
    <w:rsid w:val="00601F1A"/>
    <w:rsid w:val="00602075"/>
    <w:rsid w:val="0060681C"/>
    <w:rsid w:val="00607265"/>
    <w:rsid w:val="006167A3"/>
    <w:rsid w:val="00620BCF"/>
    <w:rsid w:val="00635986"/>
    <w:rsid w:val="006360BE"/>
    <w:rsid w:val="006426F8"/>
    <w:rsid w:val="00643CA4"/>
    <w:rsid w:val="00646699"/>
    <w:rsid w:val="00651998"/>
    <w:rsid w:val="00655E6F"/>
    <w:rsid w:val="00656695"/>
    <w:rsid w:val="006615E1"/>
    <w:rsid w:val="00662354"/>
    <w:rsid w:val="00686989"/>
    <w:rsid w:val="006905AE"/>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36D43"/>
    <w:rsid w:val="007433B1"/>
    <w:rsid w:val="00751E37"/>
    <w:rsid w:val="00753633"/>
    <w:rsid w:val="00756F02"/>
    <w:rsid w:val="00757586"/>
    <w:rsid w:val="007636F2"/>
    <w:rsid w:val="007656FF"/>
    <w:rsid w:val="00765B0E"/>
    <w:rsid w:val="00767E19"/>
    <w:rsid w:val="007719E5"/>
    <w:rsid w:val="00775DB4"/>
    <w:rsid w:val="007814C5"/>
    <w:rsid w:val="007936E5"/>
    <w:rsid w:val="007B315D"/>
    <w:rsid w:val="007B3A46"/>
    <w:rsid w:val="007B4373"/>
    <w:rsid w:val="007B5ACA"/>
    <w:rsid w:val="007C2852"/>
    <w:rsid w:val="007C3BFA"/>
    <w:rsid w:val="007D2DD0"/>
    <w:rsid w:val="007D32E9"/>
    <w:rsid w:val="007E2BFA"/>
    <w:rsid w:val="007E5571"/>
    <w:rsid w:val="007F4031"/>
    <w:rsid w:val="007F6B5B"/>
    <w:rsid w:val="007F6EC1"/>
    <w:rsid w:val="008008E6"/>
    <w:rsid w:val="00802437"/>
    <w:rsid w:val="00803280"/>
    <w:rsid w:val="00804351"/>
    <w:rsid w:val="00805D4C"/>
    <w:rsid w:val="0081497C"/>
    <w:rsid w:val="00823D4C"/>
    <w:rsid w:val="0082794E"/>
    <w:rsid w:val="00834E1B"/>
    <w:rsid w:val="00837172"/>
    <w:rsid w:val="0085074E"/>
    <w:rsid w:val="0085107B"/>
    <w:rsid w:val="00851A50"/>
    <w:rsid w:val="008633BC"/>
    <w:rsid w:val="00863660"/>
    <w:rsid w:val="00870828"/>
    <w:rsid w:val="008807E3"/>
    <w:rsid w:val="00882652"/>
    <w:rsid w:val="00882EBB"/>
    <w:rsid w:val="00892015"/>
    <w:rsid w:val="008954F0"/>
    <w:rsid w:val="008958AA"/>
    <w:rsid w:val="008A2E92"/>
    <w:rsid w:val="008A3547"/>
    <w:rsid w:val="008A5692"/>
    <w:rsid w:val="008A7941"/>
    <w:rsid w:val="008B5ED1"/>
    <w:rsid w:val="008C0C10"/>
    <w:rsid w:val="008C54D1"/>
    <w:rsid w:val="008C77B9"/>
    <w:rsid w:val="008D2B90"/>
    <w:rsid w:val="008D3D56"/>
    <w:rsid w:val="008D545F"/>
    <w:rsid w:val="008D6786"/>
    <w:rsid w:val="008E5923"/>
    <w:rsid w:val="008E73EC"/>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172"/>
    <w:rsid w:val="00943325"/>
    <w:rsid w:val="009609B4"/>
    <w:rsid w:val="009614D4"/>
    <w:rsid w:val="00963C91"/>
    <w:rsid w:val="009669E5"/>
    <w:rsid w:val="0096726A"/>
    <w:rsid w:val="0097042E"/>
    <w:rsid w:val="00975773"/>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6DF5"/>
    <w:rsid w:val="009E7F54"/>
    <w:rsid w:val="009F1BE2"/>
    <w:rsid w:val="009F6500"/>
    <w:rsid w:val="009F6B34"/>
    <w:rsid w:val="00A037D3"/>
    <w:rsid w:val="00A04661"/>
    <w:rsid w:val="00A06A81"/>
    <w:rsid w:val="00A07743"/>
    <w:rsid w:val="00A11545"/>
    <w:rsid w:val="00A128C0"/>
    <w:rsid w:val="00A12C88"/>
    <w:rsid w:val="00A27E80"/>
    <w:rsid w:val="00A31539"/>
    <w:rsid w:val="00A31E19"/>
    <w:rsid w:val="00A37BD4"/>
    <w:rsid w:val="00A50211"/>
    <w:rsid w:val="00A5197E"/>
    <w:rsid w:val="00A52693"/>
    <w:rsid w:val="00A529AF"/>
    <w:rsid w:val="00A55F01"/>
    <w:rsid w:val="00A6578F"/>
    <w:rsid w:val="00A7526B"/>
    <w:rsid w:val="00A7668C"/>
    <w:rsid w:val="00A77FE3"/>
    <w:rsid w:val="00A86C81"/>
    <w:rsid w:val="00A94850"/>
    <w:rsid w:val="00AA2398"/>
    <w:rsid w:val="00AA327A"/>
    <w:rsid w:val="00AA50A5"/>
    <w:rsid w:val="00AB20DE"/>
    <w:rsid w:val="00AB5541"/>
    <w:rsid w:val="00AB5D49"/>
    <w:rsid w:val="00AB5F70"/>
    <w:rsid w:val="00AB6CCB"/>
    <w:rsid w:val="00AC00E9"/>
    <w:rsid w:val="00AD47B2"/>
    <w:rsid w:val="00AD6023"/>
    <w:rsid w:val="00AE0DD4"/>
    <w:rsid w:val="00AE250A"/>
    <w:rsid w:val="00AE4552"/>
    <w:rsid w:val="00B01D02"/>
    <w:rsid w:val="00B0559C"/>
    <w:rsid w:val="00B07B7A"/>
    <w:rsid w:val="00B12445"/>
    <w:rsid w:val="00B15A08"/>
    <w:rsid w:val="00B15F9A"/>
    <w:rsid w:val="00B16641"/>
    <w:rsid w:val="00B2086E"/>
    <w:rsid w:val="00B31C62"/>
    <w:rsid w:val="00B40A07"/>
    <w:rsid w:val="00B436DF"/>
    <w:rsid w:val="00B43EEB"/>
    <w:rsid w:val="00B52056"/>
    <w:rsid w:val="00B54BDF"/>
    <w:rsid w:val="00B5558D"/>
    <w:rsid w:val="00B577E2"/>
    <w:rsid w:val="00B62803"/>
    <w:rsid w:val="00B647F9"/>
    <w:rsid w:val="00B660EC"/>
    <w:rsid w:val="00B66504"/>
    <w:rsid w:val="00B706BC"/>
    <w:rsid w:val="00B71A9A"/>
    <w:rsid w:val="00B757C7"/>
    <w:rsid w:val="00B76330"/>
    <w:rsid w:val="00B8004F"/>
    <w:rsid w:val="00B8275B"/>
    <w:rsid w:val="00B912A3"/>
    <w:rsid w:val="00B93D4A"/>
    <w:rsid w:val="00B940DB"/>
    <w:rsid w:val="00B95131"/>
    <w:rsid w:val="00BA24EB"/>
    <w:rsid w:val="00BA4959"/>
    <w:rsid w:val="00BA58C6"/>
    <w:rsid w:val="00BB1D6F"/>
    <w:rsid w:val="00BC0290"/>
    <w:rsid w:val="00BC1513"/>
    <w:rsid w:val="00BC726D"/>
    <w:rsid w:val="00BD3D5A"/>
    <w:rsid w:val="00BD6014"/>
    <w:rsid w:val="00BE0C83"/>
    <w:rsid w:val="00BE0E6B"/>
    <w:rsid w:val="00BE1889"/>
    <w:rsid w:val="00BE47B8"/>
    <w:rsid w:val="00BF0BD0"/>
    <w:rsid w:val="00BF6CA4"/>
    <w:rsid w:val="00C05004"/>
    <w:rsid w:val="00C05B91"/>
    <w:rsid w:val="00C10CF4"/>
    <w:rsid w:val="00C1265C"/>
    <w:rsid w:val="00C22045"/>
    <w:rsid w:val="00C2620C"/>
    <w:rsid w:val="00C307F5"/>
    <w:rsid w:val="00C36513"/>
    <w:rsid w:val="00C3712B"/>
    <w:rsid w:val="00C40184"/>
    <w:rsid w:val="00C44A21"/>
    <w:rsid w:val="00C45DEE"/>
    <w:rsid w:val="00C51389"/>
    <w:rsid w:val="00C632D1"/>
    <w:rsid w:val="00C70DFD"/>
    <w:rsid w:val="00C75635"/>
    <w:rsid w:val="00C832F6"/>
    <w:rsid w:val="00C87E70"/>
    <w:rsid w:val="00CA2028"/>
    <w:rsid w:val="00CA618E"/>
    <w:rsid w:val="00CB1FBA"/>
    <w:rsid w:val="00CB2BAC"/>
    <w:rsid w:val="00CB401B"/>
    <w:rsid w:val="00CC0E13"/>
    <w:rsid w:val="00CC2B85"/>
    <w:rsid w:val="00CC375F"/>
    <w:rsid w:val="00CD0E77"/>
    <w:rsid w:val="00CD13BC"/>
    <w:rsid w:val="00CD5408"/>
    <w:rsid w:val="00CD57D8"/>
    <w:rsid w:val="00CD5CFF"/>
    <w:rsid w:val="00CE0FC9"/>
    <w:rsid w:val="00CE16AE"/>
    <w:rsid w:val="00CE29BA"/>
    <w:rsid w:val="00CE5617"/>
    <w:rsid w:val="00CE5C16"/>
    <w:rsid w:val="00CE7E1F"/>
    <w:rsid w:val="00CF064C"/>
    <w:rsid w:val="00CF09A8"/>
    <w:rsid w:val="00D00FF0"/>
    <w:rsid w:val="00D0230F"/>
    <w:rsid w:val="00D057A2"/>
    <w:rsid w:val="00D06485"/>
    <w:rsid w:val="00D11C00"/>
    <w:rsid w:val="00D135E5"/>
    <w:rsid w:val="00D228A6"/>
    <w:rsid w:val="00D35F58"/>
    <w:rsid w:val="00D419C2"/>
    <w:rsid w:val="00D44C7B"/>
    <w:rsid w:val="00D460ED"/>
    <w:rsid w:val="00D5395F"/>
    <w:rsid w:val="00D53998"/>
    <w:rsid w:val="00D53E30"/>
    <w:rsid w:val="00D604AE"/>
    <w:rsid w:val="00D6058A"/>
    <w:rsid w:val="00D6146F"/>
    <w:rsid w:val="00D63C00"/>
    <w:rsid w:val="00D656AE"/>
    <w:rsid w:val="00D71234"/>
    <w:rsid w:val="00D72BD2"/>
    <w:rsid w:val="00D72CDA"/>
    <w:rsid w:val="00D848D9"/>
    <w:rsid w:val="00D8542D"/>
    <w:rsid w:val="00D90E7A"/>
    <w:rsid w:val="00D9127B"/>
    <w:rsid w:val="00D919D5"/>
    <w:rsid w:val="00D932D9"/>
    <w:rsid w:val="00D95C23"/>
    <w:rsid w:val="00DA00EC"/>
    <w:rsid w:val="00DA1219"/>
    <w:rsid w:val="00DA3F40"/>
    <w:rsid w:val="00DA57E2"/>
    <w:rsid w:val="00DA663A"/>
    <w:rsid w:val="00DA7F18"/>
    <w:rsid w:val="00DB4759"/>
    <w:rsid w:val="00DB6869"/>
    <w:rsid w:val="00DB6F1A"/>
    <w:rsid w:val="00DC2802"/>
    <w:rsid w:val="00DC5A94"/>
    <w:rsid w:val="00DD409F"/>
    <w:rsid w:val="00DD46D0"/>
    <w:rsid w:val="00DD5AA7"/>
    <w:rsid w:val="00DD681E"/>
    <w:rsid w:val="00DD763E"/>
    <w:rsid w:val="00DD7E91"/>
    <w:rsid w:val="00DF208A"/>
    <w:rsid w:val="00DF3CE5"/>
    <w:rsid w:val="00DF6A94"/>
    <w:rsid w:val="00DF7066"/>
    <w:rsid w:val="00DF7399"/>
    <w:rsid w:val="00E00E5E"/>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5085"/>
    <w:rsid w:val="00E65ADE"/>
    <w:rsid w:val="00E718E0"/>
    <w:rsid w:val="00E71E6C"/>
    <w:rsid w:val="00E735E9"/>
    <w:rsid w:val="00E73C75"/>
    <w:rsid w:val="00E74ED3"/>
    <w:rsid w:val="00E7557E"/>
    <w:rsid w:val="00E863A3"/>
    <w:rsid w:val="00EA1784"/>
    <w:rsid w:val="00EA1B2E"/>
    <w:rsid w:val="00EB12F4"/>
    <w:rsid w:val="00EB35CE"/>
    <w:rsid w:val="00EC3730"/>
    <w:rsid w:val="00EC67DF"/>
    <w:rsid w:val="00ED04F7"/>
    <w:rsid w:val="00ED362C"/>
    <w:rsid w:val="00EE4EB3"/>
    <w:rsid w:val="00EE75DA"/>
    <w:rsid w:val="00EF48A3"/>
    <w:rsid w:val="00EF7F86"/>
    <w:rsid w:val="00F101F5"/>
    <w:rsid w:val="00F109CB"/>
    <w:rsid w:val="00F11881"/>
    <w:rsid w:val="00F1375A"/>
    <w:rsid w:val="00F14193"/>
    <w:rsid w:val="00F22247"/>
    <w:rsid w:val="00F228FA"/>
    <w:rsid w:val="00F2721D"/>
    <w:rsid w:val="00F3026C"/>
    <w:rsid w:val="00F33A8E"/>
    <w:rsid w:val="00F355B2"/>
    <w:rsid w:val="00F43F91"/>
    <w:rsid w:val="00F44744"/>
    <w:rsid w:val="00F53760"/>
    <w:rsid w:val="00F61603"/>
    <w:rsid w:val="00F62122"/>
    <w:rsid w:val="00F67E50"/>
    <w:rsid w:val="00F82E26"/>
    <w:rsid w:val="00F83A1E"/>
    <w:rsid w:val="00F947D2"/>
    <w:rsid w:val="00F971FB"/>
    <w:rsid w:val="00FA6ED8"/>
    <w:rsid w:val="00FB5158"/>
    <w:rsid w:val="00FC0CFF"/>
    <w:rsid w:val="00FC3E59"/>
    <w:rsid w:val="00FD288E"/>
    <w:rsid w:val="00FD427A"/>
    <w:rsid w:val="00FD56D3"/>
    <w:rsid w:val="00FD5985"/>
    <w:rsid w:val="00FE00A9"/>
    <w:rsid w:val="00FE205C"/>
    <w:rsid w:val="00FE5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6"/>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495D1-D56C-451C-9388-92BD55D0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10547</Words>
  <Characters>63286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73686</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cp:revision>
  <cp:lastPrinted>2021-12-29T08:20:00Z</cp:lastPrinted>
  <dcterms:created xsi:type="dcterms:W3CDTF">2022-01-11T12:36:00Z</dcterms:created>
  <dcterms:modified xsi:type="dcterms:W3CDTF">2022-01-11T12:38:00Z</dcterms:modified>
</cp:coreProperties>
</file>