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BF5D97D" w:rsidR="00480AD1" w:rsidRDefault="00480AD1"/>
    <w:p w14:paraId="71A553C5" w14:textId="4B93ABF4" w:rsidR="00302CA1" w:rsidRDefault="00302CA1">
      <w:r>
        <w:t xml:space="preserve">                                        </w:t>
      </w:r>
    </w:p>
    <w:p w14:paraId="7B388EF2" w14:textId="7C1F8059" w:rsidR="00302CA1" w:rsidRDefault="00302CA1" w:rsidP="00302CA1">
      <w:pPr>
        <w:jc w:val="right"/>
      </w:pPr>
      <w:r>
        <w:t>Załącznik Nr 1.2</w:t>
      </w:r>
    </w:p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9"/>
      </w:tblGrid>
      <w:tr w:rsidR="00302CA1" w14:paraId="27817093" w14:textId="77777777" w:rsidTr="00302CA1">
        <w:trPr>
          <w:trHeight w:val="8076"/>
          <w:jc w:val="center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5611" w14:textId="77777777" w:rsidR="00302CA1" w:rsidRDefault="00302CA1" w:rsidP="005C3B57">
            <w:pPr>
              <w:pStyle w:val="Nagwek1"/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sprzętowe Zamawiającego</w:t>
            </w:r>
          </w:p>
          <w:p w14:paraId="01A2A61E" w14:textId="77777777" w:rsidR="00302CA1" w:rsidRDefault="00302CA1" w:rsidP="005C3B5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B7B81" w14:textId="77777777" w:rsidR="00302CA1" w:rsidRDefault="00302CA1" w:rsidP="005C3B5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8233"/>
            </w:tblGrid>
            <w:tr w:rsidR="00302CA1" w14:paraId="03E92C83" w14:textId="77777777" w:rsidTr="005C3B57">
              <w:trPr>
                <w:trHeight w:val="284"/>
              </w:trPr>
              <w:tc>
                <w:tcPr>
                  <w:tcW w:w="1757" w:type="dxa"/>
                  <w:tcBorders>
                    <w:bottom w:val="dashSmallGap" w:sz="8" w:space="0" w:color="00000A"/>
                    <w:right w:val="dashSmallGap" w:sz="8" w:space="0" w:color="00000A"/>
                  </w:tcBorders>
                  <w:shd w:val="clear" w:color="auto" w:fill="auto"/>
                </w:tcPr>
                <w:p w14:paraId="344DDCF5" w14:textId="4780EB2E" w:rsidR="00302CA1" w:rsidRDefault="00094102" w:rsidP="005C3B57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 xml:space="preserve">   </w:t>
                  </w:r>
                  <w:r w:rsidR="00302CA1"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>Typ</w:t>
                  </w:r>
                </w:p>
              </w:tc>
              <w:tc>
                <w:tcPr>
                  <w:tcW w:w="8233" w:type="dxa"/>
                  <w:tcBorders>
                    <w:left w:val="dashSmallGap" w:sz="8" w:space="0" w:color="00000A"/>
                    <w:bottom w:val="dashSmallGap" w:sz="8" w:space="0" w:color="00000A"/>
                  </w:tcBorders>
                  <w:shd w:val="clear" w:color="auto" w:fill="auto"/>
                </w:tcPr>
                <w:p w14:paraId="2A2260D2" w14:textId="77777777" w:rsidR="00302CA1" w:rsidRDefault="00302CA1" w:rsidP="005C3B57">
                  <w:pPr>
                    <w:widowControl w:val="0"/>
                  </w:pPr>
                  <w:r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>Monitor LCD – 14 sztuk</w:t>
                  </w:r>
                </w:p>
              </w:tc>
            </w:tr>
            <w:tr w:rsidR="00302CA1" w14:paraId="7EBC7F09" w14:textId="77777777" w:rsidTr="005C3B57">
              <w:trPr>
                <w:trHeight w:val="284"/>
              </w:trPr>
              <w:tc>
                <w:tcPr>
                  <w:tcW w:w="1757" w:type="dxa"/>
                  <w:tcBorders>
                    <w:top w:val="dashSmallGap" w:sz="8" w:space="0" w:color="00000A"/>
                    <w:bottom w:val="dashSmallGap" w:sz="8" w:space="0" w:color="00000A"/>
                    <w:right w:val="dashSmallGap" w:sz="8" w:space="0" w:color="00000A"/>
                  </w:tcBorders>
                  <w:shd w:val="clear" w:color="auto" w:fill="auto"/>
                </w:tcPr>
                <w:p w14:paraId="235D575D" w14:textId="03E396CC" w:rsidR="00302CA1" w:rsidRDefault="00094102" w:rsidP="005C3B57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 xml:space="preserve">  </w:t>
                  </w:r>
                  <w:r w:rsidR="00302CA1"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>Zastosowania</w:t>
                  </w:r>
                </w:p>
              </w:tc>
              <w:tc>
                <w:tcPr>
                  <w:tcW w:w="8233" w:type="dxa"/>
                  <w:tcBorders>
                    <w:top w:val="dashSmallGap" w:sz="8" w:space="0" w:color="00000A"/>
                    <w:left w:val="dashSmallGap" w:sz="8" w:space="0" w:color="00000A"/>
                    <w:bottom w:val="dashSmallGap" w:sz="8" w:space="0" w:color="00000A"/>
                  </w:tcBorders>
                  <w:shd w:val="clear" w:color="auto" w:fill="auto"/>
                </w:tcPr>
                <w:p w14:paraId="4EED3FFC" w14:textId="77777777" w:rsidR="00302CA1" w:rsidRDefault="00302CA1" w:rsidP="005C3B57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>Monitor będzie wykorzystywany dla potrzeb aplikacji biurowych, aplikacji edukacyjnych, aplikacji obliczeniowych, aplikacji graficznych, CAD, dostępu do Internetu oraz poczty elektronicznej, jako element stacji programistycznej, stacji obliczeniowej.</w:t>
                  </w:r>
                </w:p>
              </w:tc>
            </w:tr>
            <w:tr w:rsidR="00302CA1" w14:paraId="534EEEE1" w14:textId="77777777" w:rsidTr="005C3B57">
              <w:trPr>
                <w:trHeight w:val="284"/>
              </w:trPr>
              <w:tc>
                <w:tcPr>
                  <w:tcW w:w="1757" w:type="dxa"/>
                  <w:tcBorders>
                    <w:top w:val="dashSmallGap" w:sz="8" w:space="0" w:color="00000A"/>
                    <w:right w:val="dashSmallGap" w:sz="8" w:space="0" w:color="00000A"/>
                  </w:tcBorders>
                  <w:shd w:val="clear" w:color="auto" w:fill="auto"/>
                </w:tcPr>
                <w:p w14:paraId="206269F8" w14:textId="463C5CE7" w:rsidR="00302CA1" w:rsidRDefault="00094102" w:rsidP="005C3B57">
                  <w:pPr>
                    <w:widowControl w:val="0"/>
                  </w:pP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  </w:t>
                  </w:r>
                  <w:r w:rsidR="00302CA1"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Wyposażenie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br/>
                  </w:r>
                  <w:r w:rsidR="00302CA1"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 </w:t>
                  </w:r>
                  <w:r w:rsidR="00302CA1"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dodatkowe</w:t>
                  </w:r>
                </w:p>
                <w:p w14:paraId="7A87FF92" w14:textId="57F4FE49" w:rsidR="00302CA1" w:rsidRDefault="00094102" w:rsidP="005C3B57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 xml:space="preserve">  </w:t>
                  </w:r>
                  <w:r w:rsidR="00302CA1">
                    <w:rPr>
                      <w:rFonts w:ascii="Arial" w:hAnsi="Arial" w:cs="Arial"/>
                      <w:bCs/>
                      <w:color w:val="111111"/>
                      <w:sz w:val="20"/>
                      <w:szCs w:val="20"/>
                    </w:rPr>
                    <w:t>Monitor LCD</w:t>
                  </w:r>
                </w:p>
              </w:tc>
              <w:tc>
                <w:tcPr>
                  <w:tcW w:w="8233" w:type="dxa"/>
                  <w:tcBorders>
                    <w:top w:val="dashSmallGap" w:sz="8" w:space="0" w:color="00000A"/>
                    <w:left w:val="dashSmallGap" w:sz="8" w:space="0" w:color="00000A"/>
                  </w:tcBorders>
                  <w:shd w:val="clear" w:color="auto" w:fill="auto"/>
                </w:tcPr>
                <w:p w14:paraId="4E6471E2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Konsumpcja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energii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(w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trybie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ON):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35-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130 W, w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spoczynku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do 0,3 W</w:t>
                  </w:r>
                </w:p>
                <w:p w14:paraId="7E71D007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Wielkość przekątnej: 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27"</w:t>
                  </w:r>
                </w:p>
                <w:p w14:paraId="6F469014" w14:textId="77777777" w:rsidR="00302CA1" w:rsidRPr="00C1759E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Typ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panela: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IPS</w:t>
                  </w:r>
                </w:p>
                <w:p w14:paraId="01125312" w14:textId="51346FDD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 w:rsidRPr="00C1759E"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Współczynnik kształtu: </w:t>
                  </w:r>
                  <w:r w:rsidRPr="00C1759E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16:9</w:t>
                  </w:r>
                  <w:r w:rsidR="00B628F7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</w:t>
                  </w:r>
                  <w:bookmarkStart w:id="0" w:name="_GoBack"/>
                  <w:bookmarkEnd w:id="0"/>
                </w:p>
                <w:p w14:paraId="37097A22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Rozdzielczość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: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ab/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2560 x 1440 </w:t>
                  </w:r>
                </w:p>
                <w:p w14:paraId="019F44B8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Wielkość plamki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: max.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0.2331 mm</w:t>
                  </w:r>
                </w:p>
                <w:p w14:paraId="561C0808" w14:textId="77777777" w:rsidR="00302CA1" w:rsidRPr="004B4D03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 w:rsidRPr="004B4D03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PPI: 109 dpi</w:t>
                  </w:r>
                </w:p>
                <w:p w14:paraId="0C6CF5CD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Jasność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400 cd/m²</w:t>
                  </w:r>
                </w:p>
                <w:p w14:paraId="4B1E5EB6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Współczynnik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kontrastu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1000:1, 8000000:1 (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dynamiczny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)</w:t>
                  </w:r>
                </w:p>
                <w:p w14:paraId="67245085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Czas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reakcji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max. 8 ms (normalny), max. 5 ms Fast </w:t>
                  </w:r>
                  <w:proofErr w:type="spellStart"/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Mode</w:t>
                  </w:r>
                  <w:proofErr w:type="spellEnd"/>
                </w:p>
                <w:p w14:paraId="7731E770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Odwzorowanie przestrzeni barw: min. 99% </w:t>
                  </w:r>
                  <w:proofErr w:type="spellStart"/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sRGB</w:t>
                  </w:r>
                  <w:proofErr w:type="spellEnd"/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>, min. 90% DCI-P3</w:t>
                  </w:r>
                </w:p>
                <w:p w14:paraId="5088ADD2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Poziomy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kąt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widzenia: 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178</w:t>
                  </w:r>
                </w:p>
                <w:p w14:paraId="26812E21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 w:cs="Arial"/>
                      <w:color w:val="111111"/>
                      <w:sz w:val="20"/>
                      <w:szCs w:val="20"/>
                    </w:rPr>
                    <w:t xml:space="preserve">Pionowy kąt widzenia: min.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178</w:t>
                  </w:r>
                </w:p>
                <w:p w14:paraId="44D35D7D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Powłoka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ekranu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Anti-glare z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twardością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3H</w:t>
                  </w:r>
                </w:p>
                <w:p w14:paraId="7BB65268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Interfejsy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1x USB-C z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obsługą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interfejsu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DisplayPort 1.2, 1x USB 3.0 do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odbioru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danych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z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funkcją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ładowania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baterii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, 1x USB 3.0, 1x HDMI 2.0, 1x 3.5 mm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minijack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, 1x RJ-45</w:t>
                  </w:r>
                </w:p>
                <w:p w14:paraId="1C84635C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Dołączony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przewód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wideo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USB-C do USB-C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długość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min. 1,8 m</w:t>
                  </w:r>
                </w:p>
                <w:p w14:paraId="1DE47267" w14:textId="77777777" w:rsidR="00302CA1" w:rsidRPr="0096347D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Certyfikaty</w:t>
                  </w:r>
                  <w:proofErr w:type="spellEnd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: Energy STAR, </w:t>
                  </w: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TCO Certified Displays, RoHS</w:t>
                  </w:r>
                </w:p>
                <w:p w14:paraId="600592D0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Wysokość</w:t>
                  </w:r>
                  <w:proofErr w:type="spellEnd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x </w:t>
                  </w:r>
                  <w:proofErr w:type="spellStart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Szerokość</w:t>
                  </w:r>
                  <w:proofErr w:type="spellEnd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x </w:t>
                  </w:r>
                  <w:proofErr w:type="spellStart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Głębokość</w:t>
                  </w:r>
                  <w:proofErr w:type="spellEnd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Maks</w:t>
                  </w:r>
                  <w:proofErr w:type="spellEnd"/>
                  <w:r w:rsidRPr="0096347D"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.) – 580 mm x 615 mm x 210 mm</w:t>
                  </w:r>
                </w:p>
                <w:p w14:paraId="50DE14A5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Masa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nie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przekraczająca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5,2 kg</w:t>
                  </w:r>
                </w:p>
                <w:p w14:paraId="72CAEB09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Możliwość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zabezpieczenia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linką</w:t>
                  </w:r>
                  <w:proofErr w:type="spellEnd"/>
                </w:p>
                <w:p w14:paraId="6DA7A417" w14:textId="77777777" w:rsidR="00302CA1" w:rsidRDefault="00302CA1" w:rsidP="005C3B57">
                  <w:pPr>
                    <w:widowControl w:val="0"/>
                    <w:numPr>
                      <w:ilvl w:val="0"/>
                      <w:numId w:val="1"/>
                    </w:numPr>
                  </w:pP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Gwarancja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– 36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miesięcy</w:t>
                  </w:r>
                  <w:proofErr w:type="spellEnd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111111"/>
                      <w:sz w:val="20"/>
                      <w:szCs w:val="20"/>
                      <w:lang w:val="en-US" w:eastAsia="en-US"/>
                    </w:rPr>
                    <w:t>producenta</w:t>
                  </w:r>
                  <w:proofErr w:type="spellEnd"/>
                </w:p>
              </w:tc>
            </w:tr>
          </w:tbl>
          <w:p w14:paraId="162F1691" w14:textId="77777777" w:rsidR="00302CA1" w:rsidRDefault="00302CA1" w:rsidP="005C3B5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22212" w14:textId="77777777" w:rsidR="00302CA1" w:rsidRDefault="00302CA1"/>
    <w:sectPr w:rsidR="00302CA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94102"/>
    <w:rsid w:val="00142B88"/>
    <w:rsid w:val="001539C7"/>
    <w:rsid w:val="001E2C3F"/>
    <w:rsid w:val="0027003C"/>
    <w:rsid w:val="002F0BF0"/>
    <w:rsid w:val="00302CA1"/>
    <w:rsid w:val="0036549D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C6B69"/>
    <w:rsid w:val="00B628F7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2CA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302C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1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E204-E5A3-47DF-9FE8-62A0728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15</cp:revision>
  <cp:lastPrinted>2021-07-15T06:58:00Z</cp:lastPrinted>
  <dcterms:created xsi:type="dcterms:W3CDTF">2020-06-23T09:06:00Z</dcterms:created>
  <dcterms:modified xsi:type="dcterms:W3CDTF">2021-07-15T07:00:00Z</dcterms:modified>
</cp:coreProperties>
</file>