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716" w:leader="none"/>
          <w:tab w:val="left" w:pos="7371" w:leader="none"/>
        </w:tabs>
        <w:jc w:val="right"/>
        <w:rPr>
          <w:rFonts w:ascii="Arial" w:hAnsi="Arial" w:cs="Arial"/>
          <w:b/>
          <w:bCs/>
          <w:color w:val="000000"/>
        </w:rPr>
      </w:pPr>
      <w:r>
        <w:rPr>
          <w:rFonts w:cs="Arial" w:ascii="Arial" w:hAnsi="Arial"/>
          <w:b/>
          <w:bCs/>
          <w:color w:val="000000"/>
        </w:rPr>
        <w:t>Kz-II.2380.1</w:t>
      </w:r>
      <w:r>
        <w:rPr>
          <w:rFonts w:cs="Arial" w:ascii="Arial" w:hAnsi="Arial"/>
          <w:b/>
          <w:bCs/>
          <w:color w:val="000000"/>
        </w:rPr>
        <w:t>58.</w:t>
      </w:r>
      <w:r>
        <w:rPr>
          <w:rFonts w:cs="Arial" w:ascii="Arial" w:hAnsi="Arial"/>
          <w:b/>
          <w:bCs/>
          <w:color w:val="000000"/>
        </w:rPr>
        <w:t>2024</w:t>
      </w:r>
      <w:r>
        <w:rPr>
          <w:rFonts w:cs="Arial" w:ascii="Arial" w:hAnsi="Arial"/>
          <w:color w:val="000000"/>
        </w:rPr>
        <w:t xml:space="preserve">        </w:t>
      </w:r>
    </w:p>
    <w:p>
      <w:pPr>
        <w:pStyle w:val="ListParagraph"/>
        <w:spacing w:lineRule="auto" w:line="240" w:before="0" w:after="0"/>
        <w:ind w:left="0"/>
        <w:jc w:val="center"/>
        <w:rPr>
          <w:rFonts w:ascii="Arial" w:hAnsi="Arial" w:cs="Arial"/>
          <w:b/>
          <w:sz w:val="20"/>
          <w:szCs w:val="20"/>
        </w:rPr>
      </w:pPr>
      <w:r>
        <w:rPr>
          <w:rFonts w:cs="Arial" w:ascii="Arial" w:hAnsi="Arial"/>
          <w:b/>
          <w:sz w:val="20"/>
          <w:szCs w:val="20"/>
        </w:rPr>
      </w:r>
    </w:p>
    <w:p>
      <w:pPr>
        <w:pStyle w:val="Normal"/>
        <w:jc w:val="center"/>
        <w:rPr>
          <w:rFonts w:ascii="Arial" w:hAnsi="Arial" w:cs="Arial"/>
          <w:b/>
        </w:rPr>
      </w:pPr>
      <w:r>
        <w:rPr>
          <w:rFonts w:cs="Arial" w:ascii="Arial" w:hAnsi="Arial"/>
          <w:b/>
        </w:rPr>
        <w:t>SZCZEGÓŁOWY OPIS PRZEDMIOTU ZAMÓWIENIA</w:t>
      </w:r>
    </w:p>
    <w:p>
      <w:pPr>
        <w:pStyle w:val="Normal"/>
        <w:jc w:val="center"/>
        <w:rPr>
          <w:rFonts w:ascii="Arial" w:hAnsi="Arial" w:cs="Arial"/>
          <w:b/>
        </w:rPr>
      </w:pPr>
      <w:r>
        <w:rPr>
          <w:rFonts w:cs="Arial" w:ascii="Arial" w:hAnsi="Arial"/>
          <w:b/>
        </w:rPr>
      </w:r>
    </w:p>
    <w:p>
      <w:pPr>
        <w:pStyle w:val="ListParagraph"/>
        <w:numPr>
          <w:ilvl w:val="0"/>
          <w:numId w:val="7"/>
        </w:numPr>
        <w:ind w:hanging="513" w:left="851"/>
        <w:rPr>
          <w:rFonts w:ascii="Arial" w:hAnsi="Arial" w:cs="Arial"/>
          <w:b/>
          <w:sz w:val="20"/>
          <w:szCs w:val="20"/>
        </w:rPr>
      </w:pPr>
      <w:r>
        <w:rPr>
          <w:rFonts w:cs="Arial" w:ascii="Arial" w:hAnsi="Arial"/>
          <w:b/>
          <w:sz w:val="20"/>
          <w:szCs w:val="20"/>
        </w:rPr>
        <w:t>WARUNKI OGÓLNE</w:t>
      </w:r>
    </w:p>
    <w:p>
      <w:pPr>
        <w:pStyle w:val="Default"/>
        <w:numPr>
          <w:ilvl w:val="0"/>
          <w:numId w:val="4"/>
        </w:numPr>
        <w:jc w:val="both"/>
        <w:rPr>
          <w:color w:val="auto"/>
          <w:sz w:val="20"/>
          <w:szCs w:val="20"/>
        </w:rPr>
      </w:pPr>
      <w:r>
        <w:rPr>
          <w:color w:val="auto"/>
          <w:sz w:val="20"/>
          <w:szCs w:val="20"/>
        </w:rPr>
        <w:t xml:space="preserve">Wykonawca będzie realizował zamówienie po cenach jednostkowych zawartych w ofercie. </w:t>
      </w:r>
    </w:p>
    <w:p>
      <w:pPr>
        <w:pStyle w:val="Normal"/>
        <w:ind w:left="426"/>
        <w:rPr>
          <w:rFonts w:ascii="Arial" w:hAnsi="Arial" w:cs="Arial"/>
        </w:rPr>
      </w:pPr>
      <w:r>
        <w:rPr>
          <w:rFonts w:cs="Arial" w:ascii="Arial" w:hAnsi="Arial"/>
        </w:rPr>
        <w:t>2</w:t>
      </w:r>
      <w:r>
        <w:rPr>
          <w:rFonts w:cs="Arial" w:ascii="Arial" w:hAnsi="Arial"/>
        </w:rPr>
        <w:t>.</w:t>
      </w:r>
      <w:r>
        <w:rPr>
          <w:rFonts w:cs="Arial" w:ascii="Arial" w:hAnsi="Arial"/>
          <w:b/>
        </w:rPr>
        <w:t xml:space="preserve">    </w:t>
      </w:r>
      <w:r>
        <w:rPr>
          <w:rFonts w:cs="Arial" w:ascii="Arial" w:hAnsi="Arial"/>
        </w:rPr>
        <w:t>Materiały eksploatacyjne muszą być:</w:t>
      </w:r>
    </w:p>
    <w:p>
      <w:pPr>
        <w:pStyle w:val="Normal"/>
        <w:ind w:hanging="284" w:left="993"/>
        <w:jc w:val="both"/>
        <w:rPr>
          <w:rFonts w:ascii="Arial" w:hAnsi="Arial" w:cs="Arial"/>
        </w:rPr>
      </w:pPr>
      <w:r>
        <w:rPr>
          <w:rFonts w:cs="Arial" w:ascii="Arial" w:hAnsi="Arial"/>
        </w:rPr>
        <w:t xml:space="preserve"> </w:t>
      </w:r>
      <w:r>
        <w:rPr>
          <w:rFonts w:cs="Arial" w:ascii="Arial" w:hAnsi="Arial"/>
        </w:rPr>
        <w:t xml:space="preserve">a/. fabrycznie nowe - za towar „fabrycznie nowy” Zamawiający uznaje produkty: pochodzące z legalnych źródeł dystrybucji, bez jakichkolwiek śladów używania lub uszkodzenia, nieregenerowane, pod pojęciem których Zamawiający rozumie zużyte materiały eksploatacyjne, które ponownie zostały napełnione środkiem drukującym bez wymiany części zużywających się takich jak: bębny, wałki, proszki, chipy, plomby, gwarantujące jakość wydruku polegającą na równomiernym zaczernieniu / barwieniu drukowanego tekstu lub grafiki, jednakowe nasycenie barw na całym wydruku, brak szarych / kolorowych smug na nośniku w miejscach nie przeznaczonych do zadrukowania tj. 100% bieli </w:t>
        <w:tab/>
        <w:t>w miejscach niezadrukowanych</w:t>
      </w:r>
    </w:p>
    <w:p>
      <w:pPr>
        <w:pStyle w:val="Normal"/>
        <w:ind w:hanging="284" w:left="993"/>
        <w:rPr>
          <w:rFonts w:ascii="Arial" w:hAnsi="Arial" w:cs="Arial"/>
        </w:rPr>
      </w:pPr>
      <w:r>
        <w:rPr>
          <w:rFonts w:cs="Arial" w:ascii="Arial" w:hAnsi="Arial"/>
        </w:rPr>
        <w:t xml:space="preserve">b/. oryginalne, tzn. wyprodukowane przez producenta urządzeń lub równoważne o nie gorszych parametrach niż oryginalne – </w:t>
      </w:r>
      <w:r>
        <w:rPr>
          <w:rFonts w:cs="Arial" w:ascii="Arial" w:hAnsi="Arial"/>
        </w:rPr>
        <w:t>w przypadku braku dostępności oryginału</w:t>
      </w:r>
      <w:r>
        <w:rPr>
          <w:rFonts w:cs="Arial" w:ascii="Arial" w:hAnsi="Arial"/>
        </w:rPr>
        <w:t xml:space="preserve">. </w:t>
      </w:r>
    </w:p>
    <w:p>
      <w:pPr>
        <w:pStyle w:val="Normal"/>
        <w:ind w:hanging="284" w:left="993"/>
        <w:rPr>
          <w:rFonts w:ascii="Arial" w:hAnsi="Arial" w:cs="Arial"/>
        </w:rPr>
      </w:pPr>
      <w:r>
        <w:rPr>
          <w:rFonts w:cs="Arial" w:ascii="Arial" w:hAnsi="Arial"/>
        </w:rPr>
        <w:tab/>
        <w:t>Za równoważny produkt Zamawiający uzna produkt:</w:t>
      </w:r>
    </w:p>
    <w:p>
      <w:pPr>
        <w:pStyle w:val="Normal"/>
        <w:ind w:left="993"/>
        <w:rPr>
          <w:rFonts w:ascii="Arial" w:hAnsi="Arial" w:cs="Arial"/>
        </w:rPr>
      </w:pPr>
      <w:r>
        <w:rPr>
          <w:rFonts w:cs="Arial" w:ascii="Arial" w:hAnsi="Arial"/>
        </w:rPr>
        <w:t>- kompatybilny z urządzeniami, w których będzie wykorzystywany (rozpoznawalny przez urządzenie i nie wywołujący pojawiania się negatywnych komunikatów na wyświetlaczu urządzenia ani stronach testowych )</w:t>
      </w:r>
    </w:p>
    <w:p>
      <w:pPr>
        <w:pStyle w:val="Normal"/>
        <w:ind w:left="993"/>
        <w:rPr>
          <w:rFonts w:ascii="Arial" w:hAnsi="Arial" w:cs="Arial"/>
          <w:color w:val="FF0000"/>
        </w:rPr>
      </w:pPr>
      <w:r>
        <w:rPr>
          <w:rFonts w:cs="Arial" w:ascii="Arial" w:hAnsi="Arial"/>
        </w:rPr>
        <w:t xml:space="preserve">- nie powodujący ograniczeń funkcji i możliwości sprzętu, do którego jest dedykowany oraz zapewniający pełną kompatybilność z oprogramowaniem urządzenia </w:t>
      </w:r>
      <w:r>
        <w:rPr>
          <w:rFonts w:cs="Arial" w:ascii="Arial" w:hAnsi="Arial"/>
          <w:color w:val="000000"/>
        </w:rPr>
        <w:t>aktualnym na dzień składania ofert</w:t>
      </w:r>
    </w:p>
    <w:p>
      <w:pPr>
        <w:pStyle w:val="Normal"/>
        <w:ind w:left="993"/>
        <w:rPr>
          <w:rFonts w:ascii="Arial" w:hAnsi="Arial" w:cs="Arial"/>
        </w:rPr>
      </w:pPr>
      <w:r>
        <w:rPr>
          <w:rFonts w:cs="Arial" w:ascii="Arial" w:hAnsi="Arial"/>
        </w:rPr>
        <w:t>- posiadający co najmniej takie same lub wyższe parametry i wydajnościowe, co materiały zalecane przez producentów urządzeń ( m.in. równomierność pokrycia, rozdzielczość druku, wydajność, niezawodność, kolor i nasycenie barw)</w:t>
      </w:r>
    </w:p>
    <w:p>
      <w:pPr>
        <w:pStyle w:val="Normal"/>
        <w:ind w:left="993"/>
        <w:rPr>
          <w:rFonts w:ascii="Arial" w:hAnsi="Arial" w:cs="Arial"/>
        </w:rPr>
      </w:pPr>
      <w:r>
        <w:rPr>
          <w:rFonts w:cs="Arial" w:ascii="Arial" w:hAnsi="Arial"/>
        </w:rPr>
        <w:t>- nie naruszające praw własności intelektualnej i patentów</w:t>
      </w:r>
    </w:p>
    <w:p>
      <w:pPr>
        <w:pStyle w:val="ListParagraph"/>
        <w:spacing w:lineRule="auto" w:line="240" w:before="0" w:after="0"/>
        <w:ind w:hanging="294" w:left="720"/>
        <w:contextualSpacing/>
        <w:jc w:val="both"/>
        <w:rPr>
          <w:rFonts w:ascii="Arial" w:hAnsi="Arial" w:cs="Arial"/>
          <w:sz w:val="20"/>
          <w:szCs w:val="20"/>
        </w:rPr>
      </w:pPr>
      <w:r>
        <w:rPr>
          <w:rFonts w:cs="Arial" w:ascii="Arial" w:hAnsi="Arial"/>
          <w:sz w:val="20"/>
          <w:szCs w:val="20"/>
        </w:rPr>
      </w:r>
    </w:p>
    <w:p>
      <w:pPr>
        <w:pStyle w:val="ListParagraph"/>
        <w:numPr>
          <w:ilvl w:val="0"/>
          <w:numId w:val="5"/>
        </w:numPr>
        <w:spacing w:lineRule="auto" w:line="240" w:before="0" w:after="0"/>
        <w:contextualSpacing/>
        <w:jc w:val="both"/>
        <w:rPr>
          <w:rFonts w:ascii="Arial" w:hAnsi="Arial" w:cs="Arial"/>
          <w:b/>
          <w:sz w:val="20"/>
          <w:szCs w:val="20"/>
        </w:rPr>
      </w:pPr>
      <w:r>
        <w:rPr>
          <w:rFonts w:cs="Arial" w:ascii="Arial" w:hAnsi="Arial"/>
          <w:sz w:val="20"/>
          <w:szCs w:val="20"/>
          <w:u w:val="single"/>
        </w:rPr>
        <w:t>W przypadku braku dostępności oryginałów</w:t>
      </w:r>
      <w:r>
        <w:rPr>
          <w:rFonts w:cs="Arial" w:ascii="Arial" w:hAnsi="Arial"/>
          <w:sz w:val="20"/>
          <w:szCs w:val="20"/>
        </w:rPr>
        <w:t xml:space="preserve"> - </w:t>
      </w:r>
      <w:r>
        <w:rPr>
          <w:rFonts w:cs="Arial" w:ascii="Arial" w:hAnsi="Arial"/>
          <w:sz w:val="20"/>
          <w:szCs w:val="20"/>
        </w:rPr>
        <w:t xml:space="preserve">Zamawiający dopuszcza aby przedmiotem zamówienia były materiały refabrykowane / reprodukowane, pod pojęciem których Zamawiający rozumie materiały eksploatacyjne wyprodukowane z wykorzystaniem zużytych zasobników oryginalnych OEM ( z wyłączeniem elementów ruchomych ), z których zostały wyselekcjonowane materiały pełnowartościowe wzbogacone o elementy fabrycznie nowe takie jak: bębny światłoczułe, wałki, proszki, chipy plomby. </w:t>
      </w:r>
    </w:p>
    <w:p>
      <w:pPr>
        <w:pStyle w:val="ListParagraph"/>
        <w:numPr>
          <w:ilvl w:val="0"/>
          <w:numId w:val="0"/>
        </w:numPr>
        <w:spacing w:lineRule="auto" w:line="240" w:before="0" w:after="0"/>
        <w:ind w:hanging="0" w:left="780"/>
        <w:contextualSpacing/>
        <w:jc w:val="both"/>
        <w:rPr>
          <w:rFonts w:ascii="Arial" w:hAnsi="Arial" w:cs="Arial"/>
          <w:b/>
          <w:sz w:val="20"/>
          <w:szCs w:val="20"/>
        </w:rPr>
      </w:pPr>
      <w:r>
        <w:rPr>
          <w:rFonts w:cs="Arial" w:ascii="Arial" w:hAnsi="Arial"/>
          <w:b/>
          <w:sz w:val="20"/>
          <w:szCs w:val="20"/>
        </w:rPr>
        <w:t>Do materiałów refabrykowanych / reprodukowanych musi być załączone oświadczenie Producenta materiału, które z elementów zostały wymienione.</w:t>
      </w:r>
    </w:p>
    <w:p>
      <w:pPr>
        <w:pStyle w:val="ListParagraph"/>
        <w:numPr>
          <w:ilvl w:val="0"/>
          <w:numId w:val="5"/>
        </w:numPr>
        <w:spacing w:lineRule="auto" w:line="240" w:before="0" w:after="0"/>
        <w:contextualSpacing/>
        <w:jc w:val="both"/>
        <w:rPr>
          <w:rFonts w:ascii="Arial" w:hAnsi="Arial" w:cs="Arial"/>
          <w:sz w:val="20"/>
          <w:szCs w:val="20"/>
        </w:rPr>
      </w:pPr>
      <w:r>
        <w:rPr>
          <w:rFonts w:cs="Arial" w:ascii="Arial" w:hAnsi="Arial"/>
          <w:sz w:val="20"/>
          <w:szCs w:val="20"/>
        </w:rPr>
        <w:t xml:space="preserve">Towar musi być dostarczony </w:t>
      </w:r>
      <w:r>
        <w:rPr>
          <w:rFonts w:cs="Arial" w:ascii="Arial" w:hAnsi="Arial"/>
          <w:sz w:val="20"/>
          <w:szCs w:val="20"/>
          <w:u w:val="single"/>
        </w:rPr>
        <w:t>w formie pojedynczych tonerów</w:t>
      </w:r>
      <w:r>
        <w:rPr>
          <w:rFonts w:cs="Arial" w:ascii="Arial" w:hAnsi="Arial"/>
          <w:sz w:val="20"/>
          <w:szCs w:val="20"/>
        </w:rPr>
        <w:t>. Zamawiający nie akceptuje  w dostawie stosowania dwupaków, pakietów łączonych (czarny plus kolor), pakietów zbiorczych i innych form rozbieżnych z opisem przedmiotu zamówienia o ile nie jest to zaznaczone w zamówieniu. Zamawiający nie dopuszcza stosowania opakowań zastępczych przy dostawie produktów oryginalnych.</w:t>
      </w:r>
    </w:p>
    <w:p>
      <w:pPr>
        <w:pStyle w:val="ListParagraph"/>
        <w:numPr>
          <w:ilvl w:val="0"/>
          <w:numId w:val="5"/>
        </w:numPr>
        <w:spacing w:lineRule="auto" w:line="240" w:before="0" w:after="0"/>
        <w:contextualSpacing/>
        <w:jc w:val="both"/>
        <w:rPr>
          <w:rFonts w:ascii="Arial" w:hAnsi="Arial" w:cs="Arial"/>
          <w:sz w:val="20"/>
          <w:szCs w:val="20"/>
        </w:rPr>
      </w:pPr>
      <w:r>
        <w:rPr>
          <w:rFonts w:cs="Arial" w:ascii="Arial" w:hAnsi="Arial"/>
          <w:sz w:val="20"/>
          <w:szCs w:val="20"/>
        </w:rPr>
        <w:t>Sposób pakowania produktów równoważnych:</w:t>
      </w:r>
    </w:p>
    <w:p>
      <w:pPr>
        <w:pStyle w:val="ListParagraph"/>
        <w:numPr>
          <w:ilvl w:val="0"/>
          <w:numId w:val="6"/>
        </w:numPr>
        <w:spacing w:before="0" w:after="200"/>
        <w:ind w:hanging="0" w:left="709"/>
        <w:contextualSpacing/>
        <w:jc w:val="both"/>
        <w:rPr>
          <w:rFonts w:ascii="Arial" w:hAnsi="Arial" w:cs="Arial"/>
          <w:sz w:val="20"/>
          <w:szCs w:val="20"/>
        </w:rPr>
      </w:pPr>
      <w:r>
        <w:rPr>
          <w:rFonts w:cs="Arial" w:ascii="Arial" w:hAnsi="Arial"/>
          <w:sz w:val="20"/>
          <w:szCs w:val="20"/>
        </w:rPr>
        <w:t xml:space="preserve">OPAKOWANIE ZAWIERAJĄCE KASETĘ Z TONEREM </w:t>
      </w:r>
    </w:p>
    <w:p>
      <w:pPr>
        <w:pStyle w:val="ListParagraph"/>
        <w:spacing w:lineRule="auto" w:line="240" w:before="0" w:after="0"/>
        <w:ind w:hanging="273" w:left="993"/>
        <w:jc w:val="both"/>
        <w:rPr>
          <w:rFonts w:ascii="Arial" w:hAnsi="Arial" w:cs="Arial"/>
          <w:sz w:val="20"/>
          <w:szCs w:val="20"/>
        </w:rPr>
      </w:pPr>
      <w:r>
        <w:rPr>
          <w:rFonts w:cs="Arial" w:ascii="Arial" w:hAnsi="Arial"/>
          <w:sz w:val="20"/>
          <w:szCs w:val="20"/>
        </w:rPr>
        <w:t xml:space="preserve">a/. lista urządzeń i/lub </w:t>
      </w:r>
      <w:r>
        <w:rPr>
          <w:rFonts w:cs="Arial" w:ascii="Arial" w:hAnsi="Arial"/>
          <w:b/>
          <w:sz w:val="20"/>
          <w:szCs w:val="20"/>
        </w:rPr>
        <w:t>w tym urządzenie z formularza asortymentowo-cenowego</w:t>
      </w:r>
      <w:r>
        <w:rPr>
          <w:rFonts w:cs="Arial" w:ascii="Arial" w:hAnsi="Arial"/>
          <w:sz w:val="20"/>
          <w:szCs w:val="20"/>
        </w:rPr>
        <w:t xml:space="preserve"> stanowiącego załącznik do umowy</w:t>
      </w:r>
    </w:p>
    <w:p>
      <w:pPr>
        <w:pStyle w:val="ListParagraph"/>
        <w:spacing w:lineRule="auto" w:line="240" w:before="0" w:after="0"/>
        <w:ind w:hanging="273" w:left="993"/>
        <w:jc w:val="both"/>
        <w:rPr>
          <w:rFonts w:ascii="Arial" w:hAnsi="Arial" w:cs="Arial"/>
          <w:sz w:val="20"/>
          <w:szCs w:val="20"/>
        </w:rPr>
      </w:pPr>
      <w:r>
        <w:rPr>
          <w:rFonts w:cs="Arial" w:ascii="Arial" w:hAnsi="Arial"/>
          <w:sz w:val="20"/>
          <w:szCs w:val="20"/>
        </w:rPr>
        <w:t>b/. wyraźne oznakowanie zgodności symbolu tonera z oryginałem, np.: „ Toner zgodny z Brother TN-2320” ( tożsame z zamówieniem i złożoną ofertą )</w:t>
      </w:r>
    </w:p>
    <w:p>
      <w:pPr>
        <w:pStyle w:val="ListParagraph"/>
        <w:spacing w:lineRule="auto" w:line="240" w:before="0" w:after="0"/>
        <w:ind w:hanging="273" w:left="993"/>
        <w:jc w:val="both"/>
        <w:rPr>
          <w:rFonts w:ascii="Arial" w:hAnsi="Arial" w:cs="Arial"/>
          <w:sz w:val="20"/>
          <w:szCs w:val="20"/>
        </w:rPr>
      </w:pPr>
      <w:r>
        <w:rPr>
          <w:rFonts w:cs="Arial" w:ascii="Arial" w:hAnsi="Arial"/>
          <w:sz w:val="20"/>
          <w:szCs w:val="20"/>
        </w:rPr>
        <w:t>c/. nazwa producenta</w:t>
      </w:r>
    </w:p>
    <w:p>
      <w:pPr>
        <w:pStyle w:val="ListParagraph"/>
        <w:spacing w:lineRule="auto" w:line="240" w:before="0" w:after="0"/>
        <w:ind w:hanging="273" w:left="993"/>
        <w:jc w:val="both"/>
        <w:rPr>
          <w:rFonts w:ascii="Arial" w:hAnsi="Arial" w:cs="Arial"/>
          <w:sz w:val="20"/>
          <w:szCs w:val="20"/>
        </w:rPr>
      </w:pPr>
      <w:r>
        <w:rPr>
          <w:rFonts w:cs="Arial" w:ascii="Arial" w:hAnsi="Arial"/>
          <w:sz w:val="20"/>
          <w:szCs w:val="20"/>
        </w:rPr>
        <w:t>d/. nazwa i adres Wykonawcy przedmiotu umowy</w:t>
      </w:r>
    </w:p>
    <w:p>
      <w:pPr>
        <w:pStyle w:val="ListParagraph"/>
        <w:spacing w:lineRule="auto" w:line="240" w:before="0" w:after="0"/>
        <w:ind w:hanging="273" w:left="993"/>
        <w:jc w:val="both"/>
        <w:rPr>
          <w:rFonts w:ascii="Arial" w:hAnsi="Arial" w:cs="Arial"/>
          <w:sz w:val="20"/>
          <w:szCs w:val="20"/>
        </w:rPr>
      </w:pPr>
      <w:r>
        <w:rPr>
          <w:rFonts w:cs="Arial" w:ascii="Arial" w:hAnsi="Arial"/>
          <w:sz w:val="20"/>
          <w:szCs w:val="20"/>
        </w:rPr>
        <w:t xml:space="preserve">e/. opakowanie </w:t>
      </w:r>
      <w:r>
        <w:rPr>
          <w:rFonts w:cs="Arial" w:ascii="Arial" w:hAnsi="Arial"/>
          <w:b/>
          <w:sz w:val="20"/>
          <w:szCs w:val="20"/>
        </w:rPr>
        <w:t>musi</w:t>
      </w:r>
      <w:r>
        <w:rPr>
          <w:rFonts w:cs="Arial" w:ascii="Arial" w:hAnsi="Arial"/>
          <w:sz w:val="20"/>
          <w:szCs w:val="20"/>
        </w:rPr>
        <w:t xml:space="preserve"> być zabezpieczone w sposób trwały przed niepożądanym otwarciem                     w taki sposób aby nie było można w sposób niezauważalny opakowania ponownie zamknąć</w:t>
      </w:r>
    </w:p>
    <w:p>
      <w:pPr>
        <w:pStyle w:val="ListParagraph"/>
        <w:spacing w:lineRule="auto" w:line="240" w:before="0" w:after="0"/>
        <w:ind w:hanging="273" w:left="993"/>
        <w:jc w:val="both"/>
        <w:rPr>
          <w:rFonts w:ascii="Arial" w:hAnsi="Arial" w:cs="Arial"/>
          <w:sz w:val="20"/>
          <w:szCs w:val="20"/>
        </w:rPr>
      </w:pPr>
      <w:r>
        <w:rPr>
          <w:rFonts w:cs="Arial" w:ascii="Arial" w:hAnsi="Arial"/>
          <w:sz w:val="20"/>
          <w:szCs w:val="20"/>
        </w:rPr>
        <w:t xml:space="preserve">f/. na opakowaniu </w:t>
      </w:r>
      <w:r>
        <w:rPr>
          <w:rFonts w:cs="Arial" w:ascii="Arial" w:hAnsi="Arial"/>
          <w:b/>
          <w:sz w:val="20"/>
          <w:szCs w:val="20"/>
        </w:rPr>
        <w:t>musi</w:t>
      </w:r>
      <w:r>
        <w:rPr>
          <w:rFonts w:cs="Arial" w:ascii="Arial" w:hAnsi="Arial"/>
          <w:sz w:val="20"/>
          <w:szCs w:val="20"/>
        </w:rPr>
        <w:t xml:space="preserve"> znajdować się oznaczenie zamówienia na podstawie, którego powyższy produkt został dostarczony</w:t>
      </w:r>
    </w:p>
    <w:p>
      <w:pPr>
        <w:pStyle w:val="ListParagraph"/>
        <w:spacing w:lineRule="auto" w:line="240" w:before="0" w:after="0"/>
        <w:jc w:val="both"/>
        <w:rPr>
          <w:rFonts w:ascii="Arial" w:hAnsi="Arial" w:cs="Arial"/>
          <w:sz w:val="20"/>
          <w:szCs w:val="20"/>
        </w:rPr>
      </w:pPr>
      <w:r>
        <w:rPr>
          <w:rFonts w:cs="Arial" w:ascii="Arial" w:hAnsi="Arial"/>
          <w:sz w:val="20"/>
          <w:szCs w:val="20"/>
        </w:rPr>
        <w:t xml:space="preserve">g/. termin przydatności ( gwarancji ) produktu do użycia </w:t>
      </w:r>
    </w:p>
    <w:p>
      <w:pPr>
        <w:pStyle w:val="ListParagraph"/>
        <w:spacing w:lineRule="auto" w:line="240" w:before="0" w:after="0"/>
        <w:jc w:val="both"/>
        <w:rPr>
          <w:rFonts w:ascii="Arial" w:hAnsi="Arial" w:cs="Arial"/>
          <w:sz w:val="20"/>
          <w:szCs w:val="20"/>
        </w:rPr>
      </w:pPr>
      <w:r>
        <w:rPr>
          <w:rFonts w:cs="Arial" w:ascii="Arial" w:hAnsi="Arial"/>
          <w:sz w:val="20"/>
          <w:szCs w:val="20"/>
        </w:rPr>
        <w:t>Powyższe oznakowania muszą być naniesione w sposób trwały, nie dające się usunąć bez uszkodzenia.</w:t>
      </w:r>
    </w:p>
    <w:p>
      <w:pPr>
        <w:pStyle w:val="ListParagraph"/>
        <w:spacing w:lineRule="auto" w:line="240" w:before="0" w:after="0"/>
        <w:ind w:left="426"/>
        <w:rPr>
          <w:rFonts w:ascii="Arial" w:hAnsi="Arial" w:cs="Arial"/>
          <w:sz w:val="20"/>
          <w:szCs w:val="20"/>
        </w:rPr>
      </w:pPr>
      <w:r>
        <w:rPr>
          <w:rFonts w:cs="Arial" w:ascii="Arial" w:hAnsi="Arial"/>
          <w:sz w:val="20"/>
          <w:szCs w:val="20"/>
        </w:rPr>
      </w:r>
    </w:p>
    <w:p>
      <w:pPr>
        <w:pStyle w:val="ListParagraph"/>
        <w:numPr>
          <w:ilvl w:val="0"/>
          <w:numId w:val="6"/>
        </w:numPr>
        <w:spacing w:lineRule="auto" w:line="240" w:before="0" w:after="0"/>
        <w:rPr>
          <w:rFonts w:ascii="Arial" w:hAnsi="Arial" w:cs="Arial"/>
          <w:sz w:val="20"/>
          <w:szCs w:val="20"/>
        </w:rPr>
      </w:pPr>
      <w:r>
        <w:rPr>
          <w:rFonts w:cs="Arial" w:ascii="Arial" w:hAnsi="Arial"/>
          <w:sz w:val="20"/>
          <w:szCs w:val="20"/>
        </w:rPr>
        <w:t>ZAWARTOŚĆ OPAKOWANIA</w:t>
      </w:r>
    </w:p>
    <w:p>
      <w:pPr>
        <w:pStyle w:val="ListParagraph"/>
        <w:spacing w:lineRule="auto" w:line="240" w:before="0" w:after="0"/>
        <w:ind w:hanging="283" w:left="1276"/>
        <w:jc w:val="both"/>
        <w:rPr>
          <w:rFonts w:ascii="Arial" w:hAnsi="Arial" w:cs="Arial"/>
          <w:sz w:val="20"/>
          <w:szCs w:val="20"/>
        </w:rPr>
      </w:pPr>
      <w:r>
        <w:rPr>
          <w:rFonts w:cs="Arial" w:ascii="Arial" w:hAnsi="Arial"/>
          <w:sz w:val="20"/>
          <w:szCs w:val="20"/>
        </w:rPr>
        <w:t>a/. element ochronny zabezpieczający kasetę z tonerem przed uszkodzeniami mechanicznymi</w:t>
      </w:r>
    </w:p>
    <w:p>
      <w:pPr>
        <w:pStyle w:val="ListParagraph"/>
        <w:spacing w:lineRule="auto" w:line="240" w:before="0" w:after="0"/>
        <w:ind w:hanging="283" w:left="1276"/>
        <w:jc w:val="both"/>
        <w:rPr>
          <w:rFonts w:ascii="Arial" w:hAnsi="Arial" w:cs="Arial"/>
          <w:sz w:val="20"/>
          <w:szCs w:val="20"/>
        </w:rPr>
      </w:pPr>
      <w:r>
        <w:rPr>
          <w:rFonts w:cs="Arial" w:ascii="Arial" w:hAnsi="Arial"/>
          <w:sz w:val="20"/>
          <w:szCs w:val="20"/>
        </w:rPr>
        <w:t>b/. szczelnie zamknięta folia z kasetą tonera</w:t>
      </w:r>
    </w:p>
    <w:p>
      <w:pPr>
        <w:pStyle w:val="ListParagraph"/>
        <w:spacing w:lineRule="auto" w:line="240" w:before="0" w:after="0"/>
        <w:ind w:left="426"/>
        <w:contextualSpacing/>
        <w:rPr>
          <w:rFonts w:ascii="Arial" w:hAnsi="Arial" w:cs="Arial"/>
          <w:sz w:val="20"/>
          <w:szCs w:val="20"/>
        </w:rPr>
      </w:pPr>
      <w:r>
        <w:rPr>
          <w:rFonts w:cs="Arial" w:ascii="Arial" w:hAnsi="Arial"/>
          <w:sz w:val="20"/>
          <w:szCs w:val="20"/>
        </w:rPr>
      </w:r>
    </w:p>
    <w:p>
      <w:pPr>
        <w:pStyle w:val="ListParagraph"/>
        <w:numPr>
          <w:ilvl w:val="0"/>
          <w:numId w:val="6"/>
        </w:numPr>
        <w:spacing w:lineRule="auto" w:line="240" w:before="0" w:after="0"/>
        <w:contextualSpacing/>
        <w:rPr>
          <w:rFonts w:ascii="Arial" w:hAnsi="Arial" w:cs="Arial"/>
          <w:sz w:val="20"/>
          <w:szCs w:val="20"/>
        </w:rPr>
      </w:pPr>
      <w:r>
        <w:rPr>
          <w:rFonts w:cs="Arial" w:ascii="Arial" w:hAnsi="Arial"/>
          <w:sz w:val="20"/>
          <w:szCs w:val="20"/>
        </w:rPr>
        <w:t>KASETA Z TONEREM</w:t>
      </w:r>
    </w:p>
    <w:p>
      <w:pPr>
        <w:pStyle w:val="ListParagraph"/>
        <w:spacing w:lineRule="auto" w:line="240" w:before="0" w:after="0"/>
        <w:ind w:hanging="283" w:left="1276"/>
        <w:jc w:val="both"/>
        <w:rPr>
          <w:rFonts w:ascii="Arial" w:hAnsi="Arial" w:cs="Arial"/>
          <w:sz w:val="20"/>
          <w:szCs w:val="20"/>
        </w:rPr>
      </w:pPr>
      <w:r>
        <w:rPr>
          <w:rFonts w:cs="Arial" w:ascii="Arial" w:hAnsi="Arial"/>
          <w:sz w:val="20"/>
          <w:szCs w:val="20"/>
        </w:rPr>
        <w:t>a/. wyraźne oznakowanie zgodności symbolu tonera z oryginałem, np.: „Toner zgodny                       z  Brother TN-2320” – oznakowanie mysi być jednakowe z oznakowaniem na opakowaniu</w:t>
      </w:r>
    </w:p>
    <w:p>
      <w:pPr>
        <w:pStyle w:val="ListParagraph"/>
        <w:spacing w:lineRule="auto" w:line="240" w:before="0" w:after="0"/>
        <w:ind w:hanging="283" w:left="1276"/>
        <w:jc w:val="both"/>
        <w:rPr>
          <w:rFonts w:ascii="Arial" w:hAnsi="Arial" w:cs="Arial"/>
          <w:sz w:val="20"/>
          <w:szCs w:val="20"/>
        </w:rPr>
      </w:pPr>
      <w:r>
        <w:rPr>
          <w:rFonts w:cs="Arial" w:ascii="Arial" w:hAnsi="Arial"/>
          <w:sz w:val="20"/>
          <w:szCs w:val="20"/>
        </w:rPr>
        <w:t>b/. nazwa producenta</w:t>
      </w:r>
    </w:p>
    <w:p>
      <w:pPr>
        <w:pStyle w:val="ListParagraph"/>
        <w:spacing w:lineRule="auto" w:line="240" w:before="0" w:after="0"/>
        <w:ind w:hanging="283" w:left="1276"/>
        <w:jc w:val="both"/>
        <w:rPr>
          <w:rFonts w:ascii="Arial" w:hAnsi="Arial" w:cs="Arial"/>
          <w:sz w:val="20"/>
          <w:szCs w:val="20"/>
        </w:rPr>
      </w:pPr>
      <w:r>
        <w:rPr>
          <w:rFonts w:cs="Arial" w:ascii="Arial" w:hAnsi="Arial"/>
          <w:sz w:val="20"/>
          <w:szCs w:val="20"/>
        </w:rPr>
        <w:t>c/. termin przydatności ( gwarancji ) produktu do użycia tożsamy z danymi z opakowania</w:t>
      </w:r>
    </w:p>
    <w:p>
      <w:pPr>
        <w:pStyle w:val="Normal"/>
        <w:ind w:hanging="1" w:left="709"/>
        <w:jc w:val="both"/>
        <w:rPr>
          <w:rFonts w:ascii="Arial" w:hAnsi="Arial" w:cs="Arial"/>
        </w:rPr>
      </w:pPr>
      <w:r>
        <w:rPr>
          <w:rFonts w:cs="Arial" w:ascii="Arial" w:hAnsi="Arial"/>
        </w:rPr>
        <w:t>Powyższe oznakowania muszą być naniesione w sposób trwały, nie dające się usunąć bez uszkodzenia.</w:t>
      </w:r>
    </w:p>
    <w:p>
      <w:pPr>
        <w:pStyle w:val="ListParagraph"/>
        <w:spacing w:lineRule="auto" w:line="240" w:before="0" w:after="0"/>
        <w:rPr>
          <w:rFonts w:ascii="Arial" w:hAnsi="Arial" w:cs="Arial"/>
          <w:sz w:val="20"/>
          <w:szCs w:val="20"/>
        </w:rPr>
      </w:pPr>
      <w:r>
        <w:rPr>
          <w:rFonts w:cs="Arial" w:ascii="Arial" w:hAnsi="Arial"/>
          <w:sz w:val="20"/>
          <w:szCs w:val="20"/>
        </w:rPr>
      </w:r>
    </w:p>
    <w:p>
      <w:pPr>
        <w:pStyle w:val="Normal"/>
        <w:spacing w:before="0" w:after="0"/>
        <w:contextualSpacing/>
        <w:jc w:val="both"/>
        <w:rPr>
          <w:rFonts w:ascii="Arial" w:hAnsi="Arial" w:cs="Arial"/>
          <w:b/>
        </w:rPr>
      </w:pPr>
      <w:r>
        <w:rPr>
          <w:rFonts w:cs="Arial" w:ascii="Arial" w:hAnsi="Arial"/>
          <w:b/>
        </w:rPr>
        <w:t xml:space="preserve">II. GWARANCJA </w:t>
      </w:r>
    </w:p>
    <w:p>
      <w:pPr>
        <w:pStyle w:val="ListParagraph"/>
        <w:spacing w:lineRule="auto" w:line="240" w:before="0" w:after="0"/>
        <w:ind w:hanging="283" w:left="567"/>
        <w:rPr>
          <w:rFonts w:ascii="Arial" w:hAnsi="Arial" w:cs="Arial"/>
          <w:sz w:val="20"/>
          <w:szCs w:val="20"/>
        </w:rPr>
      </w:pPr>
      <w:r>
        <w:rPr>
          <w:rFonts w:cs="Arial" w:ascii="Arial" w:hAnsi="Arial"/>
          <w:sz w:val="20"/>
          <w:szCs w:val="20"/>
        </w:rPr>
        <w:t>1. Zamawiający zastrzega sobie prawo do reklamowania wadliwych tonerów/ tuszy bez opakowania w jakim zostały dostarczone</w:t>
      </w:r>
    </w:p>
    <w:p>
      <w:pPr>
        <w:pStyle w:val="Normal"/>
        <w:ind w:hanging="283" w:left="567"/>
        <w:jc w:val="both"/>
        <w:rPr>
          <w:rFonts w:ascii="Arial" w:hAnsi="Arial" w:cs="Arial"/>
        </w:rPr>
      </w:pPr>
      <w:r>
        <w:rPr>
          <w:rFonts w:cs="Arial" w:ascii="Arial" w:hAnsi="Arial"/>
        </w:rPr>
        <w:t>2. Udzielona przez Wykonawcę gwarancja jest pełna, bez żadnych wyłączeń i obejmuje:</w:t>
      </w:r>
    </w:p>
    <w:p>
      <w:pPr>
        <w:pStyle w:val="ListParagraph"/>
        <w:numPr>
          <w:ilvl w:val="0"/>
          <w:numId w:val="1"/>
        </w:numPr>
        <w:spacing w:lineRule="auto" w:line="240" w:before="0" w:after="0"/>
        <w:ind w:hanging="284" w:left="851"/>
        <w:jc w:val="both"/>
        <w:rPr>
          <w:rFonts w:ascii="Arial" w:hAnsi="Arial" w:cs="Arial"/>
          <w:sz w:val="20"/>
          <w:szCs w:val="20"/>
        </w:rPr>
      </w:pPr>
      <w:r>
        <w:rPr>
          <w:rFonts w:cs="Arial" w:ascii="Arial" w:hAnsi="Arial"/>
          <w:sz w:val="20"/>
          <w:szCs w:val="20"/>
        </w:rPr>
        <w:t>Uszkodzenia powstałe podczas transportu do siedziby Zamawiającego,</w:t>
      </w:r>
    </w:p>
    <w:p>
      <w:pPr>
        <w:pStyle w:val="ListParagraph"/>
        <w:numPr>
          <w:ilvl w:val="0"/>
          <w:numId w:val="1"/>
        </w:numPr>
        <w:spacing w:lineRule="auto" w:line="240" w:before="0" w:after="0"/>
        <w:ind w:hanging="284" w:left="851"/>
        <w:jc w:val="both"/>
        <w:rPr>
          <w:rFonts w:ascii="Arial" w:hAnsi="Arial" w:cs="Arial"/>
          <w:sz w:val="20"/>
          <w:szCs w:val="20"/>
        </w:rPr>
      </w:pPr>
      <w:r>
        <w:rPr>
          <w:rFonts w:cs="Arial" w:ascii="Arial" w:hAnsi="Arial"/>
          <w:sz w:val="20"/>
          <w:szCs w:val="20"/>
        </w:rPr>
        <w:t>Wady jakościowe, w tym wady ukryte, stwierdzone podczas użytkowania materiałów</w:t>
      </w:r>
    </w:p>
    <w:p>
      <w:pPr>
        <w:pStyle w:val="ListParagraph"/>
        <w:numPr>
          <w:ilvl w:val="0"/>
          <w:numId w:val="2"/>
        </w:numPr>
        <w:tabs>
          <w:tab w:val="clear" w:pos="708"/>
          <w:tab w:val="left" w:pos="284" w:leader="none"/>
        </w:tabs>
        <w:spacing w:lineRule="auto" w:line="240" w:before="0" w:after="0"/>
        <w:ind w:hanging="283" w:left="567"/>
        <w:jc w:val="both"/>
        <w:rPr>
          <w:rFonts w:ascii="Arial" w:hAnsi="Arial" w:cs="Arial"/>
          <w:sz w:val="20"/>
          <w:szCs w:val="20"/>
        </w:rPr>
      </w:pPr>
      <w:r>
        <w:rPr>
          <w:rFonts w:cs="Arial" w:ascii="Arial" w:hAnsi="Arial"/>
          <w:sz w:val="20"/>
          <w:szCs w:val="20"/>
        </w:rPr>
        <w:t>Ujawnione w okresie gwarancji wady przedmiotu zamówienia będą usunięte bezpłatnie przez Wykonawcę lub wskazany przez niego autoryzowany serwis producenta, w terminie nie dłuższym niż 5 dni roboczych  od daty zgłoszenia reklamacji telefonicznie i na adres email.</w:t>
      </w:r>
    </w:p>
    <w:p>
      <w:pPr>
        <w:pStyle w:val="Normal"/>
        <w:numPr>
          <w:ilvl w:val="0"/>
          <w:numId w:val="2"/>
        </w:numPr>
        <w:ind w:hanging="283" w:left="567"/>
        <w:jc w:val="both"/>
        <w:rPr>
          <w:rFonts w:ascii="Arial" w:hAnsi="Arial" w:cs="Arial"/>
        </w:rPr>
      </w:pPr>
      <w:r>
        <w:rPr>
          <w:rFonts w:cs="Arial" w:ascii="Arial" w:hAnsi="Arial"/>
        </w:rPr>
        <w:t xml:space="preserve">Wszelkie koszty związane ze świadczeniem zobowiązań gwarancyjnych, w tym dojazdów                           i transportu w okresie gwarancji ponosi Wykonawca. </w:t>
      </w:r>
    </w:p>
    <w:p>
      <w:pPr>
        <w:pStyle w:val="Normal"/>
        <w:numPr>
          <w:ilvl w:val="0"/>
          <w:numId w:val="2"/>
        </w:numPr>
        <w:ind w:hanging="283" w:left="567"/>
        <w:jc w:val="both"/>
        <w:rPr>
          <w:rFonts w:ascii="Arial" w:hAnsi="Arial" w:cs="Arial"/>
        </w:rPr>
      </w:pPr>
      <w:r>
        <w:rPr>
          <w:rFonts w:cs="Arial" w:ascii="Arial" w:hAnsi="Arial"/>
        </w:rPr>
        <w:t xml:space="preserve">Zamawiający ma prawo do żądania wymiany wadliwego asortymentu na nowe, wolne od wad, o parametrach nie gorszych od będącego przedmiotem umowy. Termin gwarancji biegnie na nowo od chwili dostawy nowego asortymentu w przypadku jego wymiany. </w:t>
      </w:r>
    </w:p>
    <w:p>
      <w:pPr>
        <w:pStyle w:val="Normal"/>
        <w:numPr>
          <w:ilvl w:val="0"/>
          <w:numId w:val="2"/>
        </w:numPr>
        <w:ind w:hanging="283" w:left="567"/>
        <w:jc w:val="both"/>
        <w:rPr>
          <w:rFonts w:ascii="Arial" w:hAnsi="Arial" w:cs="Arial"/>
        </w:rPr>
      </w:pPr>
      <w:r>
        <w:rPr>
          <w:rFonts w:cs="Arial" w:ascii="Arial" w:hAnsi="Arial"/>
        </w:rPr>
        <w:t>W przypadku wymiany o której mowa w ust. 5, Zamawiający po wcześniejszej pisemnej akceptacji dopuszcza zaoferowanie urządzenia odmiennego niż podlegające wymianie gdy:</w:t>
      </w:r>
    </w:p>
    <w:p>
      <w:pPr>
        <w:pStyle w:val="ListParagraph"/>
        <w:numPr>
          <w:ilvl w:val="0"/>
          <w:numId w:val="3"/>
        </w:numPr>
        <w:spacing w:lineRule="auto" w:line="240" w:before="0" w:after="0"/>
        <w:ind w:hanging="283" w:left="851"/>
        <w:jc w:val="both"/>
        <w:rPr>
          <w:rFonts w:ascii="Arial" w:hAnsi="Arial" w:cs="Arial"/>
          <w:sz w:val="20"/>
          <w:szCs w:val="20"/>
        </w:rPr>
      </w:pPr>
      <w:r>
        <w:rPr>
          <w:rFonts w:cs="Arial" w:ascii="Arial" w:hAnsi="Arial"/>
          <w:sz w:val="20"/>
          <w:szCs w:val="20"/>
        </w:rPr>
        <w:t xml:space="preserve">Parametry techniczne i funkcjonalne są lepsze lub korzystniejsze dla Zamawiającego; </w:t>
      </w:r>
    </w:p>
    <w:p>
      <w:pPr>
        <w:pStyle w:val="ListParagraph"/>
        <w:numPr>
          <w:ilvl w:val="0"/>
          <w:numId w:val="3"/>
        </w:numPr>
        <w:spacing w:lineRule="auto" w:line="240" w:before="0" w:after="0"/>
        <w:ind w:hanging="283" w:left="851"/>
        <w:jc w:val="both"/>
        <w:rPr>
          <w:rFonts w:ascii="Arial" w:hAnsi="Arial" w:cs="Arial"/>
          <w:sz w:val="20"/>
          <w:szCs w:val="20"/>
        </w:rPr>
      </w:pPr>
      <w:r>
        <w:rPr>
          <w:rFonts w:cs="Arial" w:ascii="Arial" w:hAnsi="Arial"/>
          <w:sz w:val="20"/>
          <w:szCs w:val="20"/>
        </w:rPr>
        <w:t>Zmianie uległo nazewnictwo lub oznaczenie urządzenia, nie mające wpływu na jego cechy, jakość i parametry, pod warunkiem, że urządzenie jest produkowane przez tego samego producenta.</w:t>
      </w:r>
    </w:p>
    <w:p>
      <w:pPr>
        <w:pStyle w:val="Normal"/>
        <w:numPr>
          <w:ilvl w:val="0"/>
          <w:numId w:val="2"/>
        </w:numPr>
        <w:ind w:hanging="283" w:left="567"/>
        <w:jc w:val="both"/>
        <w:rPr>
          <w:rFonts w:ascii="Arial" w:hAnsi="Arial" w:cs="Arial"/>
        </w:rPr>
      </w:pPr>
      <w:r>
        <w:rPr>
          <w:rFonts w:cs="Arial" w:ascii="Arial" w:hAnsi="Arial"/>
        </w:rPr>
        <w:t>Zmiany, o których mowa w ust. 5 są dopuszczalne wyłącznie przy jednoczesnym zachowaniu pozostałych warunków umowy, w tym ceny.</w:t>
      </w:r>
    </w:p>
    <w:p>
      <w:pPr>
        <w:pStyle w:val="Normal"/>
        <w:numPr>
          <w:ilvl w:val="0"/>
          <w:numId w:val="2"/>
        </w:numPr>
        <w:tabs>
          <w:tab w:val="clear" w:pos="708"/>
          <w:tab w:val="left" w:pos="284" w:leader="none"/>
        </w:tabs>
        <w:ind w:hanging="283" w:left="567"/>
        <w:jc w:val="both"/>
        <w:rPr>
          <w:rFonts w:ascii="Arial" w:hAnsi="Arial" w:cs="Arial"/>
          <w:b/>
        </w:rPr>
      </w:pPr>
      <w:r>
        <w:rPr>
          <w:rFonts w:cs="Arial" w:ascii="Arial" w:hAnsi="Arial"/>
          <w:b/>
        </w:rPr>
        <w:t xml:space="preserve">Reklamacje dotyczące przedmiotu umowy będą składane każdorazowo w formie pisemnej w dni robocze w godzinach 8.30 – 15.00 na adres email: ……………………………………… </w:t>
      </w:r>
    </w:p>
    <w:p>
      <w:pPr>
        <w:pStyle w:val="ListParagraph"/>
        <w:spacing w:lineRule="auto" w:line="240" w:before="0" w:after="0"/>
        <w:ind w:left="0"/>
        <w:rPr>
          <w:rFonts w:ascii="Arial" w:hAnsi="Arial" w:cs="Arial"/>
          <w:b/>
          <w:sz w:val="20"/>
          <w:szCs w:val="20"/>
        </w:rPr>
      </w:pPr>
      <w:r>
        <w:rPr>
          <w:rFonts w:cs="Arial" w:ascii="Arial" w:hAnsi="Arial"/>
          <w:b/>
          <w:sz w:val="20"/>
          <w:szCs w:val="20"/>
        </w:rPr>
      </w:r>
    </w:p>
    <w:p>
      <w:pPr>
        <w:pStyle w:val="ListParagraph"/>
        <w:spacing w:lineRule="auto" w:line="240" w:before="0" w:after="0"/>
        <w:ind w:left="0"/>
        <w:rPr>
          <w:rFonts w:ascii="Arial" w:hAnsi="Arial" w:cs="Arial"/>
          <w:b/>
          <w:sz w:val="20"/>
          <w:szCs w:val="20"/>
        </w:rPr>
      </w:pPr>
      <w:r>
        <w:rPr>
          <w:rFonts w:cs="Arial" w:ascii="Arial" w:hAnsi="Arial"/>
          <w:b/>
          <w:sz w:val="20"/>
          <w:szCs w:val="20"/>
        </w:rPr>
        <w:t>III.  SERWIS GWARANCYJNY</w:t>
      </w:r>
    </w:p>
    <w:p>
      <w:pPr>
        <w:pStyle w:val="ListParagraph"/>
        <w:spacing w:lineRule="auto" w:line="240" w:before="0" w:after="0"/>
        <w:ind w:hanging="283" w:left="567"/>
        <w:rPr>
          <w:rFonts w:ascii="Arial" w:hAnsi="Arial" w:cs="Arial"/>
          <w:sz w:val="20"/>
          <w:szCs w:val="20"/>
        </w:rPr>
      </w:pPr>
      <w:r>
        <w:rPr>
          <w:rFonts w:cs="Arial" w:ascii="Arial" w:hAnsi="Arial"/>
          <w:sz w:val="20"/>
          <w:szCs w:val="20"/>
        </w:rPr>
        <w:t>1. Awarie urządzeń powstałe z winy dostarczonego materiału eksploatacyjnego będą zgłaszane telefonicznie i potwierdzone drogą elektroniczną.</w:t>
      </w:r>
    </w:p>
    <w:p>
      <w:pPr>
        <w:pStyle w:val="ListParagraph"/>
        <w:spacing w:lineRule="auto" w:line="240" w:before="0" w:after="0"/>
        <w:ind w:hanging="283" w:left="567"/>
        <w:jc w:val="both"/>
        <w:rPr>
          <w:rFonts w:ascii="Arial" w:hAnsi="Arial" w:cs="Arial"/>
          <w:sz w:val="20"/>
          <w:szCs w:val="20"/>
        </w:rPr>
      </w:pPr>
      <w:r>
        <w:rPr>
          <w:rFonts w:cs="Arial" w:ascii="Arial" w:hAnsi="Arial"/>
          <w:sz w:val="20"/>
          <w:szCs w:val="20"/>
        </w:rPr>
        <w:t>2. Zamawiający wymaga podjęcia reakcji maksymalnie do godziny 12:00 dnia następnego (roboczego po zgłoszeniu awarii w miejscu wskazanym w zgłoszeniu /teren województwa łódzkiego – jednostki Miejskie/Powiatowe Policji/</w:t>
      </w:r>
    </w:p>
    <w:p>
      <w:pPr>
        <w:pStyle w:val="ListParagraph"/>
        <w:spacing w:lineRule="auto" w:line="240" w:before="0" w:after="0"/>
        <w:ind w:hanging="284" w:left="284"/>
        <w:jc w:val="both"/>
        <w:rPr>
          <w:rFonts w:ascii="Arial" w:hAnsi="Arial" w:cs="Arial"/>
          <w:sz w:val="20"/>
          <w:szCs w:val="20"/>
        </w:rPr>
      </w:pPr>
      <w:r>
        <w:rPr>
          <w:rFonts w:cs="Arial" w:ascii="Arial" w:hAnsi="Arial"/>
          <w:sz w:val="20"/>
          <w:szCs w:val="20"/>
        </w:rPr>
        <w:t xml:space="preserve">3. Za reakcję Zamawiający rozumie odbiór przez Wykonawcę sprzętu do naprawy z siedziby Zamawiającego. </w:t>
      </w:r>
    </w:p>
    <w:p>
      <w:pPr>
        <w:pStyle w:val="ListParagraph"/>
        <w:spacing w:lineRule="auto" w:line="240" w:before="0" w:after="0"/>
        <w:ind w:hanging="284" w:left="284"/>
        <w:jc w:val="both"/>
        <w:rPr>
          <w:rFonts w:ascii="Arial" w:hAnsi="Arial" w:cs="Arial"/>
          <w:sz w:val="20"/>
          <w:szCs w:val="20"/>
        </w:rPr>
      </w:pPr>
      <w:r>
        <w:rPr>
          <w:rFonts w:cs="Arial" w:ascii="Arial" w:hAnsi="Arial"/>
          <w:sz w:val="20"/>
          <w:szCs w:val="20"/>
        </w:rPr>
        <w:t xml:space="preserve">4. Jeżeli Wykonawca podejmie współpracę serwisową z podmiotem trzecim wówczas każdorazowo zobowiązany jest przedstawić dane osoby, która będzie dokonywała naprawy. Bez powyższego sprzęt nie zostanie wydany a czas reakcji nadal naliczany. </w:t>
      </w:r>
    </w:p>
    <w:p>
      <w:pPr>
        <w:pStyle w:val="ListParagraph"/>
        <w:spacing w:lineRule="auto" w:line="240" w:before="0" w:after="0"/>
        <w:ind w:hanging="284" w:left="284"/>
        <w:jc w:val="both"/>
        <w:rPr>
          <w:rFonts w:ascii="Arial" w:hAnsi="Arial" w:cs="Arial"/>
          <w:sz w:val="20"/>
          <w:szCs w:val="20"/>
        </w:rPr>
      </w:pPr>
      <w:r>
        <w:rPr>
          <w:rFonts w:cs="Arial" w:ascii="Arial" w:hAnsi="Arial"/>
          <w:sz w:val="20"/>
          <w:szCs w:val="20"/>
        </w:rPr>
        <w:t xml:space="preserve">5. Wszelkie koszty związane  z przywróceniem urządzenia do stanu używalności w tym : transportu, opinii autoryzowanego serwisu, naprawy urządzenia ponosi Wykonawca. </w:t>
      </w:r>
    </w:p>
    <w:p>
      <w:pPr>
        <w:pStyle w:val="ListParagraph"/>
        <w:spacing w:lineRule="auto" w:line="240" w:before="0" w:after="0"/>
        <w:ind w:hanging="284" w:left="284"/>
        <w:jc w:val="both"/>
        <w:rPr>
          <w:rFonts w:ascii="Arial" w:hAnsi="Arial" w:cs="Arial"/>
          <w:sz w:val="20"/>
          <w:szCs w:val="20"/>
        </w:rPr>
      </w:pPr>
      <w:r>
        <w:rPr>
          <w:rFonts w:cs="Arial" w:ascii="Arial" w:hAnsi="Arial"/>
          <w:sz w:val="20"/>
          <w:szCs w:val="20"/>
        </w:rPr>
        <w:t xml:space="preserve">6. Wykonawca zobowiązany jest do przeprowadzania napraw jedynie w autoryzowanych serwisach. Do  każdej naprawy sprzętu musi być załączona notatka autoryzowanego serwisu             </w:t>
      </w:r>
      <w:bookmarkStart w:id="0" w:name="_GoBack"/>
      <w:bookmarkEnd w:id="0"/>
      <w:r>
        <w:rPr>
          <w:rFonts w:cs="Arial" w:ascii="Arial" w:hAnsi="Arial"/>
          <w:sz w:val="20"/>
          <w:szCs w:val="20"/>
        </w:rPr>
        <w:t xml:space="preserve">z informacją jakie czynności zostały wykonane w celu doprowadzenia do funkcjonalności sprzętu. Czynności te muszą przywrócić funkcjonalność urządzenia. </w:t>
      </w:r>
    </w:p>
    <w:p>
      <w:pPr>
        <w:pStyle w:val="ListParagraph"/>
        <w:spacing w:lineRule="auto" w:line="240" w:before="0" w:after="0"/>
        <w:ind w:hanging="284" w:left="284"/>
        <w:jc w:val="both"/>
        <w:rPr>
          <w:rFonts w:ascii="Arial" w:hAnsi="Arial" w:cs="Arial"/>
          <w:sz w:val="20"/>
          <w:szCs w:val="20"/>
        </w:rPr>
      </w:pPr>
      <w:r>
        <w:rPr>
          <w:rFonts w:cs="Arial" w:ascii="Arial" w:hAnsi="Arial"/>
          <w:sz w:val="20"/>
          <w:szCs w:val="20"/>
        </w:rPr>
        <w:t xml:space="preserve">8. Potwierdzeniem wykonania czynności jest wydrukowanie pełnego prawidłowego wydruku testowego i przedłożenie go Zamawiającemu. </w:t>
      </w:r>
    </w:p>
    <w:p>
      <w:pPr>
        <w:pStyle w:val="ListParagraph"/>
        <w:spacing w:lineRule="auto" w:line="240" w:before="0" w:after="0"/>
        <w:ind w:hanging="284" w:left="284"/>
        <w:jc w:val="both"/>
        <w:rPr>
          <w:rFonts w:ascii="Arial" w:hAnsi="Arial" w:cs="Arial"/>
          <w:sz w:val="20"/>
          <w:szCs w:val="20"/>
        </w:rPr>
      </w:pPr>
      <w:r>
        <w:rPr>
          <w:rFonts w:cs="Arial" w:ascii="Arial" w:hAnsi="Arial"/>
          <w:sz w:val="20"/>
          <w:szCs w:val="20"/>
        </w:rPr>
        <w:t>9. Czas naprawy (od momentu przekazania uszkodzonego sprzętu do jego zwrotu) nie może przekraczać 10 dni roboczych.</w:t>
      </w:r>
    </w:p>
    <w:p>
      <w:pPr>
        <w:pStyle w:val="ListParagraph"/>
        <w:spacing w:lineRule="auto" w:line="240" w:before="0" w:after="0"/>
        <w:ind w:left="0"/>
        <w:jc w:val="both"/>
        <w:rPr>
          <w:rFonts w:ascii="Arial" w:hAnsi="Arial" w:cs="Arial"/>
          <w:sz w:val="20"/>
          <w:szCs w:val="20"/>
        </w:rPr>
      </w:pPr>
      <w:r>
        <w:rPr>
          <w:rFonts w:cs="Arial" w:ascii="Arial" w:hAnsi="Arial"/>
          <w:sz w:val="20"/>
          <w:szCs w:val="20"/>
        </w:rPr>
        <w:t>10.Każdorazowo oddając sprzęt do naprawy z winy użytych materiałów eksploatacyjnych</w:t>
      </w:r>
    </w:p>
    <w:p>
      <w:pPr>
        <w:pStyle w:val="ListParagraph"/>
        <w:spacing w:lineRule="auto" w:line="240" w:before="0" w:after="0"/>
        <w:ind w:left="0"/>
        <w:jc w:val="both"/>
        <w:rPr>
          <w:rFonts w:ascii="Arial" w:hAnsi="Arial" w:cs="Arial"/>
          <w:sz w:val="20"/>
          <w:szCs w:val="20"/>
        </w:rPr>
      </w:pPr>
      <w:r>
        <w:rPr>
          <w:rFonts w:cs="Arial" w:ascii="Arial" w:hAnsi="Arial"/>
          <w:sz w:val="20"/>
          <w:szCs w:val="20"/>
        </w:rPr>
        <w:t xml:space="preserve">     </w:t>
      </w:r>
      <w:r>
        <w:rPr>
          <w:rFonts w:cs="Arial" w:ascii="Arial" w:hAnsi="Arial"/>
          <w:sz w:val="20"/>
          <w:szCs w:val="20"/>
        </w:rPr>
        <w:t>dostarczonych przez Wykonawcę Zamawiający ma prawo zażądać sprzętu zastępczego</w:t>
      </w:r>
    </w:p>
    <w:p>
      <w:pPr>
        <w:pStyle w:val="ListParagraph"/>
        <w:spacing w:lineRule="auto" w:line="240" w:before="0" w:after="0"/>
        <w:ind w:left="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o parametrach i funkcjonalności nie gorszej niż sprzęt oddany do naprawy. </w:t>
      </w:r>
    </w:p>
    <w:p>
      <w:pPr>
        <w:pStyle w:val="ListParagraph"/>
        <w:spacing w:lineRule="auto" w:line="240" w:before="0" w:after="0"/>
        <w:ind w:hanging="284" w:left="284"/>
        <w:jc w:val="both"/>
        <w:rPr>
          <w:rFonts w:ascii="Arial" w:hAnsi="Arial" w:cs="Arial"/>
          <w:sz w:val="20"/>
          <w:szCs w:val="20"/>
        </w:rPr>
      </w:pPr>
      <w:r>
        <w:rPr>
          <w:rFonts w:cs="Arial" w:ascii="Arial" w:hAnsi="Arial"/>
          <w:sz w:val="20"/>
          <w:szCs w:val="20"/>
        </w:rPr>
        <w:t xml:space="preserve">12.Na dostarczenie sprzętu na żądanie Zamawiającego Wykonawca ma 2 dni robocze od dnia następnego ( roboczego ) od wezwania. </w:t>
      </w:r>
    </w:p>
    <w:p>
      <w:pPr>
        <w:pStyle w:val="Normal"/>
        <w:ind w:hanging="284" w:left="284"/>
        <w:jc w:val="both"/>
        <w:rPr>
          <w:rFonts w:ascii="Arial" w:hAnsi="Arial" w:cs="Arial"/>
          <w:bCs/>
        </w:rPr>
      </w:pPr>
      <w:r>
        <w:rPr>
          <w:rFonts w:cs="Arial" w:ascii="Arial" w:hAnsi="Arial"/>
          <w:bCs/>
        </w:rPr>
        <w:t xml:space="preserve">13.W przypadku trwałego uszkodzenia urządzenia z powodu używania dostarczonych materiałów eksploatacyjnych  ( braku możliwości dokonania naprawy ) Wykonawca zobowiązany będzie do dostarczenia w terminie 5 dni roboczych od daty telefonicznego potwierdzonego mailem zgłoszenia tego faktu, fabrycznie nowego urządzenia o takich samych lub wyższych parametrach ( standardzie i funkcjonalności ) lub w przypadku przekroczenia terminu 5 dni roboczych Zamawiającemu przysługiwać będzie prawo do zakupu takiego samego urządzenia lub innego o takim samym lub nie gorszym standardzie i funkcjonalności oraz takich samych lub lepszych parametrach a Wykonawca zobowiązany będzie do zwrotu kosztów zakupu tego urządzenia. </w:t>
      </w:r>
    </w:p>
    <w:p>
      <w:pPr>
        <w:pStyle w:val="Normal"/>
        <w:ind w:hanging="284" w:left="284"/>
        <w:jc w:val="both"/>
        <w:rPr>
          <w:rFonts w:ascii="Arial" w:hAnsi="Arial" w:cs="Arial"/>
        </w:rPr>
      </w:pPr>
      <w:r>
        <w:rPr>
          <w:rFonts w:cs="Arial" w:ascii="Arial" w:hAnsi="Arial"/>
          <w:bCs/>
        </w:rPr>
        <w:t>14.Urządzenie uszkodzone musi zostać zwrócone Zamawiającemu w terminie 5 dni roboczych               od daty przekazanej Zamawiającemu opinii autoryzowanego serwisu o braku możliwości naprawy urządzenia  lecz nie dłużej niż do końca trwania umowy.</w:t>
      </w:r>
    </w:p>
    <w:p>
      <w:pPr>
        <w:pStyle w:val="ListParagraph"/>
        <w:spacing w:lineRule="auto" w:line="240" w:before="0" w:after="0"/>
        <w:ind w:left="0"/>
        <w:rPr>
          <w:rFonts w:ascii="Arial" w:hAnsi="Arial" w:cs="Arial"/>
          <w:sz w:val="20"/>
          <w:szCs w:val="20"/>
        </w:rPr>
      </w:pPr>
      <w:r>
        <w:rPr>
          <w:rFonts w:cs="Arial" w:ascii="Arial" w:hAnsi="Arial"/>
          <w:sz w:val="20"/>
          <w:szCs w:val="20"/>
        </w:rPr>
      </w:r>
    </w:p>
    <w:sectPr>
      <w:type w:val="nextPage"/>
      <w:pgSz w:w="11906" w:h="16838"/>
      <w:pgMar w:left="1701"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50" w:hanging="360"/>
      </w:pPr>
      <w:rPr/>
    </w:lvl>
    <w:lvl w:ilvl="1">
      <w:start w:val="1"/>
      <w:numFmt w:val="bullet"/>
      <w:lvlText w:val="o"/>
      <w:lvlJc w:val="left"/>
      <w:pPr>
        <w:tabs>
          <w:tab w:val="num" w:pos="0"/>
        </w:tabs>
        <w:ind w:left="1770" w:hanging="360"/>
      </w:pPr>
      <w:rPr>
        <w:rFonts w:ascii="Courier New" w:hAnsi="Courier New" w:cs="Courier New" w:hint="default"/>
      </w:rPr>
    </w:lvl>
    <w:lvl w:ilvl="2">
      <w:start w:val="1"/>
      <w:numFmt w:val="bullet"/>
      <w:lvlText w:val=""/>
      <w:lvlJc w:val="left"/>
      <w:pPr>
        <w:tabs>
          <w:tab w:val="num" w:pos="0"/>
        </w:tabs>
        <w:ind w:left="2490" w:hanging="360"/>
      </w:pPr>
      <w:rPr>
        <w:rFonts w:ascii="Wingdings" w:hAnsi="Wingdings" w:cs="Wingdings" w:hint="default"/>
      </w:rPr>
    </w:lvl>
    <w:lvl w:ilvl="3">
      <w:start w:val="1"/>
      <w:numFmt w:val="bullet"/>
      <w:lvlText w:val=""/>
      <w:lvlJc w:val="left"/>
      <w:pPr>
        <w:tabs>
          <w:tab w:val="num" w:pos="0"/>
        </w:tabs>
        <w:ind w:left="3210" w:hanging="360"/>
      </w:pPr>
      <w:rPr>
        <w:rFonts w:ascii="Symbol" w:hAnsi="Symbol" w:cs="Symbol" w:hint="default"/>
      </w:rPr>
    </w:lvl>
    <w:lvl w:ilvl="4">
      <w:start w:val="1"/>
      <w:numFmt w:val="bullet"/>
      <w:lvlText w:val="o"/>
      <w:lvlJc w:val="left"/>
      <w:pPr>
        <w:tabs>
          <w:tab w:val="num" w:pos="0"/>
        </w:tabs>
        <w:ind w:left="3930" w:hanging="360"/>
      </w:pPr>
      <w:rPr>
        <w:rFonts w:ascii="Courier New" w:hAnsi="Courier New" w:cs="Courier New" w:hint="default"/>
      </w:rPr>
    </w:lvl>
    <w:lvl w:ilvl="5">
      <w:start w:val="1"/>
      <w:numFmt w:val="bullet"/>
      <w:lvlText w:val=""/>
      <w:lvlJc w:val="left"/>
      <w:pPr>
        <w:tabs>
          <w:tab w:val="num" w:pos="0"/>
        </w:tabs>
        <w:ind w:left="4650" w:hanging="360"/>
      </w:pPr>
      <w:rPr>
        <w:rFonts w:ascii="Wingdings" w:hAnsi="Wingdings" w:cs="Wingdings" w:hint="default"/>
      </w:rPr>
    </w:lvl>
    <w:lvl w:ilvl="6">
      <w:start w:val="1"/>
      <w:numFmt w:val="bullet"/>
      <w:lvlText w:val=""/>
      <w:lvlJc w:val="left"/>
      <w:pPr>
        <w:tabs>
          <w:tab w:val="num" w:pos="0"/>
        </w:tabs>
        <w:ind w:left="5370" w:hanging="360"/>
      </w:pPr>
      <w:rPr>
        <w:rFonts w:ascii="Symbol" w:hAnsi="Symbol" w:cs="Symbol" w:hint="default"/>
      </w:rPr>
    </w:lvl>
    <w:lvl w:ilvl="7">
      <w:start w:val="1"/>
      <w:numFmt w:val="bullet"/>
      <w:lvlText w:val="o"/>
      <w:lvlJc w:val="left"/>
      <w:pPr>
        <w:tabs>
          <w:tab w:val="num" w:pos="0"/>
        </w:tabs>
        <w:ind w:left="6090" w:hanging="360"/>
      </w:pPr>
      <w:rPr>
        <w:rFonts w:ascii="Courier New" w:hAnsi="Courier New" w:cs="Courier New" w:hint="default"/>
      </w:rPr>
    </w:lvl>
    <w:lvl w:ilvl="8">
      <w:start w:val="1"/>
      <w:numFmt w:val="bullet"/>
      <w:lvlText w:val=""/>
      <w:lvlJc w:val="left"/>
      <w:pPr>
        <w:tabs>
          <w:tab w:val="num" w:pos="0"/>
        </w:tabs>
        <w:ind w:left="6810" w:hanging="360"/>
      </w:pPr>
      <w:rPr>
        <w:rFonts w:ascii="Wingdings" w:hAnsi="Wingdings" w:cs="Wingdings" w:hint="default"/>
      </w:rPr>
    </w:lvl>
  </w:abstractNum>
  <w:abstractNum w:abstractNumId="2">
    <w:lvl w:ilvl="0">
      <w:start w:val="3"/>
      <w:numFmt w:val="decimal"/>
      <w:lvlText w:val="%1."/>
      <w:lvlJc w:val="left"/>
      <w:pPr>
        <w:tabs>
          <w:tab w:val="num" w:pos="1440"/>
        </w:tabs>
        <w:ind w:left="1440" w:hanging="360"/>
      </w:pPr>
      <w:rPr>
        <w:rFonts w:cs="Times New Roman"/>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1095" w:hanging="360"/>
      </w:pPr>
      <w:rPr/>
    </w:lvl>
    <w:lvl w:ilvl="1">
      <w:start w:val="1"/>
      <w:numFmt w:val="lowerLetter"/>
      <w:lvlText w:val="%2."/>
      <w:lvlJc w:val="left"/>
      <w:pPr>
        <w:tabs>
          <w:tab w:val="num" w:pos="0"/>
        </w:tabs>
        <w:ind w:left="1815" w:hanging="360"/>
      </w:pPr>
      <w:rPr/>
    </w:lvl>
    <w:lvl w:ilvl="2">
      <w:start w:val="1"/>
      <w:numFmt w:val="lowerRoman"/>
      <w:lvlText w:val="%3."/>
      <w:lvlJc w:val="right"/>
      <w:pPr>
        <w:tabs>
          <w:tab w:val="num" w:pos="0"/>
        </w:tabs>
        <w:ind w:left="2535" w:hanging="180"/>
      </w:pPr>
      <w:rPr/>
    </w:lvl>
    <w:lvl w:ilvl="3">
      <w:start w:val="1"/>
      <w:numFmt w:val="decimal"/>
      <w:lvlText w:val="%4."/>
      <w:lvlJc w:val="left"/>
      <w:pPr>
        <w:tabs>
          <w:tab w:val="num" w:pos="0"/>
        </w:tabs>
        <w:ind w:left="3255" w:hanging="360"/>
      </w:pPr>
      <w:rPr/>
    </w:lvl>
    <w:lvl w:ilvl="4">
      <w:start w:val="1"/>
      <w:numFmt w:val="lowerLetter"/>
      <w:lvlText w:val="%5."/>
      <w:lvlJc w:val="left"/>
      <w:pPr>
        <w:tabs>
          <w:tab w:val="num" w:pos="0"/>
        </w:tabs>
        <w:ind w:left="3975" w:hanging="360"/>
      </w:pPr>
      <w:rPr/>
    </w:lvl>
    <w:lvl w:ilvl="5">
      <w:start w:val="1"/>
      <w:numFmt w:val="lowerRoman"/>
      <w:lvlText w:val="%6."/>
      <w:lvlJc w:val="right"/>
      <w:pPr>
        <w:tabs>
          <w:tab w:val="num" w:pos="0"/>
        </w:tabs>
        <w:ind w:left="4695" w:hanging="180"/>
      </w:pPr>
      <w:rPr/>
    </w:lvl>
    <w:lvl w:ilvl="6">
      <w:start w:val="1"/>
      <w:numFmt w:val="decimal"/>
      <w:lvlText w:val="%7."/>
      <w:lvlJc w:val="left"/>
      <w:pPr>
        <w:tabs>
          <w:tab w:val="num" w:pos="0"/>
        </w:tabs>
        <w:ind w:left="5415" w:hanging="360"/>
      </w:pPr>
      <w:rPr/>
    </w:lvl>
    <w:lvl w:ilvl="7">
      <w:start w:val="1"/>
      <w:numFmt w:val="lowerLetter"/>
      <w:lvlText w:val="%8."/>
      <w:lvlJc w:val="left"/>
      <w:pPr>
        <w:tabs>
          <w:tab w:val="num" w:pos="0"/>
        </w:tabs>
        <w:ind w:left="6135" w:hanging="360"/>
      </w:pPr>
      <w:rPr/>
    </w:lvl>
    <w:lvl w:ilvl="8">
      <w:start w:val="1"/>
      <w:numFmt w:val="lowerRoman"/>
      <w:lvlText w:val="%9."/>
      <w:lvlJc w:val="right"/>
      <w:pPr>
        <w:tabs>
          <w:tab w:val="num" w:pos="0"/>
        </w:tabs>
        <w:ind w:left="6855" w:hanging="180"/>
      </w:pPr>
      <w:rPr/>
    </w:lvl>
  </w:abstractNum>
  <w:abstractNum w:abstractNumId="4">
    <w:lvl w:ilvl="0">
      <w:start w:val="1"/>
      <w:numFmt w:val="decimal"/>
      <w:lvlText w:val="%1."/>
      <w:lvlJc w:val="left"/>
      <w:pPr>
        <w:tabs>
          <w:tab w:val="num" w:pos="0"/>
        </w:tabs>
        <w:ind w:left="780" w:hanging="360"/>
      </w:pPr>
      <w:rPr/>
    </w:lvl>
    <w:lvl w:ilvl="1">
      <w:start w:val="1"/>
      <w:numFmt w:val="lowerLetter"/>
      <w:lvlText w:val="%2."/>
      <w:lvlJc w:val="left"/>
      <w:pPr>
        <w:tabs>
          <w:tab w:val="num" w:pos="0"/>
        </w:tabs>
        <w:ind w:left="1500" w:hanging="360"/>
      </w:pPr>
      <w:rPr/>
    </w:lvl>
    <w:lvl w:ilvl="2">
      <w:start w:val="1"/>
      <w:numFmt w:val="lowerRoman"/>
      <w:lvlText w:val="%3."/>
      <w:lvlJc w:val="right"/>
      <w:pPr>
        <w:tabs>
          <w:tab w:val="num" w:pos="0"/>
        </w:tabs>
        <w:ind w:left="2220" w:hanging="180"/>
      </w:pPr>
      <w:rPr/>
    </w:lvl>
    <w:lvl w:ilvl="3">
      <w:start w:val="1"/>
      <w:numFmt w:val="decimal"/>
      <w:lvlText w:val="%4."/>
      <w:lvlJc w:val="left"/>
      <w:pPr>
        <w:tabs>
          <w:tab w:val="num" w:pos="0"/>
        </w:tabs>
        <w:ind w:left="2940" w:hanging="360"/>
      </w:pPr>
      <w:rPr/>
    </w:lvl>
    <w:lvl w:ilvl="4">
      <w:start w:val="1"/>
      <w:numFmt w:val="lowerLetter"/>
      <w:lvlText w:val="%5."/>
      <w:lvlJc w:val="left"/>
      <w:pPr>
        <w:tabs>
          <w:tab w:val="num" w:pos="0"/>
        </w:tabs>
        <w:ind w:left="3660" w:hanging="360"/>
      </w:pPr>
      <w:rPr/>
    </w:lvl>
    <w:lvl w:ilvl="5">
      <w:start w:val="1"/>
      <w:numFmt w:val="lowerRoman"/>
      <w:lvlText w:val="%6."/>
      <w:lvlJc w:val="right"/>
      <w:pPr>
        <w:tabs>
          <w:tab w:val="num" w:pos="0"/>
        </w:tabs>
        <w:ind w:left="4380" w:hanging="180"/>
      </w:pPr>
      <w:rPr/>
    </w:lvl>
    <w:lvl w:ilvl="6">
      <w:start w:val="1"/>
      <w:numFmt w:val="decimal"/>
      <w:lvlText w:val="%7."/>
      <w:lvlJc w:val="left"/>
      <w:pPr>
        <w:tabs>
          <w:tab w:val="num" w:pos="0"/>
        </w:tabs>
        <w:ind w:left="5100" w:hanging="360"/>
      </w:pPr>
      <w:rPr/>
    </w:lvl>
    <w:lvl w:ilvl="7">
      <w:start w:val="1"/>
      <w:numFmt w:val="lowerLetter"/>
      <w:lvlText w:val="%8."/>
      <w:lvlJc w:val="left"/>
      <w:pPr>
        <w:tabs>
          <w:tab w:val="num" w:pos="0"/>
        </w:tabs>
        <w:ind w:left="5820" w:hanging="360"/>
      </w:pPr>
      <w:rPr/>
    </w:lvl>
    <w:lvl w:ilvl="8">
      <w:start w:val="1"/>
      <w:numFmt w:val="lowerRoman"/>
      <w:lvlText w:val="%9."/>
      <w:lvlJc w:val="right"/>
      <w:pPr>
        <w:tabs>
          <w:tab w:val="num" w:pos="0"/>
        </w:tabs>
        <w:ind w:left="6540" w:hanging="180"/>
      </w:pPr>
      <w:rPr/>
    </w:lvl>
  </w:abstractNum>
  <w:abstractNum w:abstractNumId="5">
    <w:lvl w:ilvl="0">
      <w:start w:val="5"/>
      <w:numFmt w:val="decimal"/>
      <w:lvlText w:val="%1."/>
      <w:lvlJc w:val="left"/>
      <w:pPr>
        <w:tabs>
          <w:tab w:val="num" w:pos="0"/>
        </w:tabs>
        <w:ind w:left="78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1500" w:hanging="360"/>
      </w:pPr>
      <w:rPr>
        <w:rFonts w:ascii="Wingdings" w:hAnsi="Wingdings" w:cs="Wingdings"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7">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1676"/>
    <w:pPr>
      <w:widowControl/>
      <w:suppressAutoHyphens w:val="true"/>
      <w:bidi w:val="0"/>
      <w:spacing w:before="0" w:after="0"/>
      <w:jc w:val="left"/>
    </w:pPr>
    <w:rPr>
      <w:rFonts w:ascii="Times New Roman" w:hAnsi="Times New Roman" w:eastAsia="Times New Roman" w:cs="Times New Roman"/>
      <w:color w:val="auto"/>
      <w:kern w:val="0"/>
      <w:sz w:val="20"/>
      <w:szCs w:val="20"/>
      <w:lang w:eastAsia="pl-PL" w:val="pl-PL" w:bidi="ar-SA"/>
    </w:rPr>
  </w:style>
  <w:style w:type="paragraph" w:styleId="Heading1">
    <w:name w:val="Heading 1"/>
    <w:basedOn w:val="Normal"/>
    <w:next w:val="Normal"/>
    <w:link w:val="Nagwek1Znak"/>
    <w:uiPriority w:val="9"/>
    <w:qFormat/>
    <w:rsid w:val="00451676"/>
    <w:pPr>
      <w:keepNext w:val="true"/>
      <w:spacing w:lineRule="auto" w:line="360"/>
      <w:jc w:val="both"/>
      <w:outlineLvl w:val="0"/>
    </w:pPr>
    <w:rPr>
      <w:b/>
      <w:bCs/>
      <w:sz w:val="32"/>
      <w:szCs w:val="32"/>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
    <w:qFormat/>
    <w:rsid w:val="00451676"/>
    <w:rPr>
      <w:rFonts w:ascii="Times New Roman" w:hAnsi="Times New Roman" w:eastAsia="Times New Roman" w:cs="Times New Roman"/>
      <w:b/>
      <w:bCs/>
      <w:sz w:val="32"/>
      <w:szCs w:val="32"/>
      <w:lang w:eastAsia="pl-PL"/>
    </w:rPr>
  </w:style>
  <w:style w:type="character" w:styleId="TekstkomentarzaZnak" w:customStyle="1">
    <w:name w:val="Tekst komentarza Znak"/>
    <w:basedOn w:val="DefaultParagraphFont"/>
    <w:link w:val="Annotationtext"/>
    <w:qFormat/>
    <w:rsid w:val="00451676"/>
    <w:rPr>
      <w:rFonts w:ascii="Times New Roman" w:hAnsi="Times New Roman" w:eastAsia="Times New Roman" w:cs="Times New Roman"/>
      <w:sz w:val="20"/>
      <w:szCs w:val="20"/>
      <w:lang w:eastAsia="pl-PL"/>
    </w:rPr>
  </w:style>
  <w:style w:type="character" w:styleId="AkapitzlistZnak" w:customStyle="1">
    <w:name w:val="Akapit z listą Znak"/>
    <w:link w:val="ListParagraph"/>
    <w:uiPriority w:val="34"/>
    <w:qFormat/>
    <w:rsid w:val="00451676"/>
    <w:rPr>
      <w:rFonts w:ascii="Calibri" w:hAnsi="Calibri" w:eastAsia="Times New Roman" w:cs="Calibri"/>
      <w:lang w:eastAsia="pl-PL"/>
    </w:rPr>
  </w:style>
  <w:style w:type="character" w:styleId="Tekstpodstawowywcity2Znak" w:customStyle="1">
    <w:name w:val="Tekst podstawowy wcięty 2 Znak"/>
    <w:basedOn w:val="DefaultParagraphFont"/>
    <w:link w:val="BodyTextIndent2"/>
    <w:qFormat/>
    <w:rsid w:val="00177f07"/>
    <w:rPr>
      <w:sz w:val="24"/>
    </w:rPr>
  </w:style>
  <w:style w:type="character" w:styleId="Annotationreference">
    <w:name w:val="annotation reference"/>
    <w:uiPriority w:val="99"/>
    <w:semiHidden/>
    <w:qFormat/>
    <w:rsid w:val="00ef1593"/>
    <w:rPr>
      <w:rFonts w:cs="Times New Roman"/>
      <w:sz w:val="16"/>
      <w:szCs w:val="16"/>
    </w:rPr>
  </w:style>
  <w:style w:type="character" w:styleId="TekstdymkaZnak" w:customStyle="1">
    <w:name w:val="Tekst dymka Znak"/>
    <w:basedOn w:val="DefaultParagraphFont"/>
    <w:link w:val="BalloonText"/>
    <w:uiPriority w:val="99"/>
    <w:semiHidden/>
    <w:qFormat/>
    <w:rsid w:val="00ef1593"/>
    <w:rPr>
      <w:rFonts w:ascii="Segoe UI" w:hAnsi="Segoe UI" w:eastAsia="Times New Roman" w:cs="Segoe UI"/>
      <w:sz w:val="18"/>
      <w:szCs w:val="18"/>
      <w:lang w:eastAsia="pl-PL"/>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Header">
    <w:name w:val="Header"/>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 w:val="24"/>
      <w:szCs w:val="24"/>
    </w:rPr>
  </w:style>
  <w:style w:type="paragraph" w:styleId="Annotationtext">
    <w:name w:val="annotation text"/>
    <w:basedOn w:val="Normal"/>
    <w:link w:val="TekstkomentarzaZnak"/>
    <w:semiHidden/>
    <w:qFormat/>
    <w:rsid w:val="00451676"/>
    <w:pPr/>
    <w:rPr/>
  </w:style>
  <w:style w:type="paragraph" w:styleId="ListParagraph">
    <w:name w:val="List Paragraph"/>
    <w:basedOn w:val="Normal"/>
    <w:link w:val="AkapitzlistZnak"/>
    <w:uiPriority w:val="34"/>
    <w:qFormat/>
    <w:rsid w:val="00451676"/>
    <w:pPr>
      <w:spacing w:lineRule="auto" w:line="276" w:before="0" w:after="200"/>
      <w:ind w:left="720"/>
    </w:pPr>
    <w:rPr>
      <w:rFonts w:ascii="Calibri" w:hAnsi="Calibri" w:cs="Calibri"/>
      <w:sz w:val="22"/>
      <w:szCs w:val="22"/>
    </w:rPr>
  </w:style>
  <w:style w:type="paragraph" w:styleId="StandardowyStandardowy1" w:customStyle="1">
    <w:name w:val="Standardowy.Standardowy1"/>
    <w:qFormat/>
    <w:rsid w:val="00451676"/>
    <w:pPr>
      <w:widowControl/>
      <w:suppressAutoHyphens w:val="true"/>
      <w:bidi w:val="0"/>
      <w:spacing w:before="0" w:after="0"/>
      <w:jc w:val="left"/>
    </w:pPr>
    <w:rPr>
      <w:rFonts w:ascii="Times New Roman" w:hAnsi="Times New Roman" w:eastAsia="Times New Roman" w:cs="Times New Roman"/>
      <w:color w:val="auto"/>
      <w:kern w:val="0"/>
      <w:sz w:val="24"/>
      <w:szCs w:val="20"/>
      <w:lang w:eastAsia="pl-PL" w:val="pl-PL" w:bidi="ar-SA"/>
    </w:rPr>
  </w:style>
  <w:style w:type="paragraph" w:styleId="Default" w:customStyle="1">
    <w:name w:val="Default"/>
    <w:qFormat/>
    <w:rsid w:val="00177f07"/>
    <w:pPr>
      <w:widowControl/>
      <w:suppressAutoHyphens w:val="true"/>
      <w:bidi w:val="0"/>
      <w:spacing w:before="0" w:after="0"/>
      <w:jc w:val="left"/>
    </w:pPr>
    <w:rPr>
      <w:rFonts w:ascii="Arial" w:hAnsi="Arial" w:eastAsia="Calibri" w:cs="Arial"/>
      <w:color w:val="000000"/>
      <w:kern w:val="0"/>
      <w:sz w:val="24"/>
      <w:szCs w:val="24"/>
      <w:lang w:val="pl-PL" w:eastAsia="en-US" w:bidi="ar-SA"/>
    </w:rPr>
  </w:style>
  <w:style w:type="paragraph" w:styleId="Zawartoramki" w:customStyle="1">
    <w:name w:val="Zawartość ramki"/>
    <w:basedOn w:val="Normal"/>
    <w:qFormat/>
    <w:rsid w:val="00177f07"/>
    <w:pPr>
      <w:jc w:val="both"/>
    </w:pPr>
    <w:rPr>
      <w:rFonts w:ascii="Calibri" w:hAnsi="Calibri" w:eastAsia="Calibri" w:cs="" w:asciiTheme="minorHAnsi" w:cstheme="minorBidi" w:eastAsiaTheme="minorHAnsi" w:hAnsiTheme="minorHAnsi"/>
      <w:sz w:val="22"/>
      <w:szCs w:val="22"/>
      <w:lang w:eastAsia="en-US"/>
    </w:rPr>
  </w:style>
  <w:style w:type="paragraph" w:styleId="BodyTextIndent2">
    <w:name w:val="Body Text Indent 2"/>
    <w:basedOn w:val="Normal"/>
    <w:link w:val="Tekstpodstawowywcity2Znak"/>
    <w:qFormat/>
    <w:rsid w:val="00177f07"/>
    <w:pPr>
      <w:spacing w:lineRule="auto" w:line="360"/>
      <w:ind w:hanging="426" w:left="284"/>
      <w:jc w:val="both"/>
    </w:pPr>
    <w:rPr>
      <w:rFonts w:ascii="Calibri" w:hAnsi="Calibri" w:eastAsia="Calibri" w:cs="" w:asciiTheme="minorHAnsi" w:cstheme="minorBidi" w:eastAsiaTheme="minorHAnsi" w:hAnsiTheme="minorHAnsi"/>
      <w:sz w:val="24"/>
      <w:szCs w:val="22"/>
      <w:lang w:eastAsia="en-US"/>
    </w:rPr>
  </w:style>
  <w:style w:type="paragraph" w:styleId="Leszek" w:customStyle="1">
    <w:name w:val="leszek"/>
    <w:basedOn w:val="Normal"/>
    <w:qFormat/>
    <w:rsid w:val="00177f07"/>
    <w:pPr>
      <w:jc w:val="both"/>
    </w:pPr>
    <w:rPr>
      <w:rFonts w:ascii="Calibri" w:hAnsi="Calibri" w:eastAsia="Calibri" w:cs="" w:asciiTheme="minorHAnsi" w:cstheme="minorBidi" w:eastAsiaTheme="minorHAnsi" w:hAnsiTheme="minorHAnsi"/>
      <w:sz w:val="24"/>
      <w:szCs w:val="22"/>
      <w:lang w:eastAsia="en-US"/>
    </w:rPr>
  </w:style>
  <w:style w:type="paragraph" w:styleId="BalloonText">
    <w:name w:val="Balloon Text"/>
    <w:basedOn w:val="Normal"/>
    <w:link w:val="TekstdymkaZnak"/>
    <w:uiPriority w:val="99"/>
    <w:semiHidden/>
    <w:unhideWhenUsed/>
    <w:qFormat/>
    <w:rsid w:val="00ef1593"/>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280</TotalTime>
  <Application>LibreOffice/7.6.0.3$Windows_X86_64 LibreOffice_project/69edd8b8ebc41d00b4de3915dc82f8f0fc3b6265</Application>
  <AppVersion>15.0000</AppVersion>
  <Pages>3</Pages>
  <Words>1137</Words>
  <Characters>7516</Characters>
  <CharactersWithSpaces>8722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2021-06-29T12:32:00Z</dcterms:created>
  <dc:creator>792798</dc:creator>
  <dc:description/>
  <dc:language>pl-PL</dc:language>
  <cp:lastModifiedBy/>
  <cp:lastPrinted>2023-12-21T11:18:00Z</cp:lastPrinted>
  <dcterms:modified xsi:type="dcterms:W3CDTF">2024-05-10T12:00:01Z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