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EF4B" w14:textId="074C827B" w:rsidR="00AB0F61" w:rsidRDefault="00250620" w:rsidP="000E3B81">
      <w:pPr>
        <w:rPr>
          <w:rFonts w:ascii="Fira Sans" w:hAnsi="Fira Sans" w:cstheme="minorHAnsi"/>
          <w:sz w:val="22"/>
        </w:rPr>
      </w:pPr>
      <w:r>
        <w:rPr>
          <w:rFonts w:ascii="Fira Sans" w:eastAsiaTheme="majorEastAsia" w:hAnsi="Fira Sans" w:cstheme="minorHAnsi"/>
          <w:b/>
          <w:sz w:val="22"/>
          <w:szCs w:val="22"/>
          <w:u w:val="single"/>
          <w:lang w:eastAsia="en-US"/>
        </w:rPr>
        <w:t xml:space="preserve"> </w:t>
      </w:r>
    </w:p>
    <w:p w14:paraId="27D39C44" w14:textId="77777777" w:rsidR="00F018D3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CB3D90A" w14:textId="2511681B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AB6AB9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14:paraId="1A9A5417" w14:textId="77777777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D98A8C9" w14:textId="3282E691" w:rsidR="00F018D3" w:rsidRPr="00AB6AB9" w:rsidRDefault="00F018D3" w:rsidP="00F018D3">
      <w:pPr>
        <w:rPr>
          <w:rFonts w:ascii="Fira Sans" w:hAnsi="Fira Sans" w:cs="Tahoma"/>
          <w:iCs/>
          <w:sz w:val="20"/>
          <w:szCs w:val="20"/>
        </w:rPr>
      </w:pPr>
      <w:r w:rsidRPr="00C26F65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26F65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3</w:t>
      </w:r>
      <w:r w:rsidRPr="00C26F65">
        <w:rPr>
          <w:rFonts w:ascii="Fira Sans" w:hAnsi="Fira Sans" w:cs="Tahoma"/>
          <w:iCs/>
          <w:sz w:val="20"/>
          <w:szCs w:val="20"/>
        </w:rPr>
        <w:t>.2024</w:t>
      </w:r>
    </w:p>
    <w:p w14:paraId="548FE3DC" w14:textId="77777777" w:rsidR="00F018D3" w:rsidRPr="00AB6AB9" w:rsidRDefault="00F018D3" w:rsidP="00F018D3">
      <w:pPr>
        <w:spacing w:line="276" w:lineRule="auto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F255BA5" w14:textId="77777777" w:rsidR="00F018D3" w:rsidRPr="00AB6AB9" w:rsidRDefault="00F018D3" w:rsidP="00F018D3">
      <w:pPr>
        <w:rPr>
          <w:rFonts w:ascii="Fira Sans" w:hAnsi="Fira Sans" w:cs="Tahoma"/>
          <w:b/>
          <w:iCs/>
          <w:sz w:val="28"/>
          <w:szCs w:val="20"/>
        </w:rPr>
      </w:pPr>
    </w:p>
    <w:p w14:paraId="473991EC" w14:textId="3A426AF2" w:rsidR="00F018D3" w:rsidRPr="00272763" w:rsidRDefault="00F018D3" w:rsidP="00F018D3">
      <w:pPr>
        <w:tabs>
          <w:tab w:val="left" w:pos="9000"/>
        </w:tabs>
        <w:jc w:val="center"/>
        <w:rPr>
          <w:rFonts w:ascii="Fira Sans" w:hAnsi="Fira Sans" w:cs="Tahoma"/>
          <w:iCs/>
          <w:sz w:val="22"/>
          <w:szCs w:val="22"/>
        </w:rPr>
      </w:pPr>
      <w:r w:rsidRPr="00272763">
        <w:rPr>
          <w:rFonts w:ascii="Fira Sans" w:hAnsi="Fira Sans" w:cs="Arial"/>
          <w:b/>
          <w:bCs/>
          <w:iCs/>
          <w:sz w:val="22"/>
          <w:szCs w:val="22"/>
        </w:rPr>
        <w:t>„</w:t>
      </w:r>
      <w:r w:rsidR="00672B08">
        <w:rPr>
          <w:rFonts w:ascii="Fira Sans" w:hAnsi="Fira Sans" w:cs="Arial"/>
          <w:b/>
          <w:bCs/>
          <w:iCs/>
          <w:sz w:val="22"/>
          <w:szCs w:val="22"/>
        </w:rPr>
        <w:t>Przeprowadzenie</w:t>
      </w:r>
      <w:r>
        <w:rPr>
          <w:rFonts w:ascii="Fira Sans" w:hAnsi="Fira Sans" w:cs="Arial"/>
          <w:b/>
          <w:bCs/>
          <w:iCs/>
          <w:sz w:val="22"/>
          <w:szCs w:val="22"/>
        </w:rPr>
        <w:t xml:space="preserve"> </w:t>
      </w:r>
      <w:r w:rsidR="00672B08">
        <w:rPr>
          <w:rFonts w:ascii="Fira Sans" w:hAnsi="Fira Sans" w:cs="Tahoma"/>
          <w:b/>
          <w:sz w:val="22"/>
          <w:szCs w:val="22"/>
        </w:rPr>
        <w:t>c</w:t>
      </w:r>
      <w:r w:rsidRPr="00272763">
        <w:rPr>
          <w:rFonts w:ascii="Fira Sans" w:hAnsi="Fira Sans" w:cs="Tahoma"/>
          <w:b/>
          <w:sz w:val="22"/>
          <w:szCs w:val="22"/>
        </w:rPr>
        <w:t>ykl</w:t>
      </w:r>
      <w:r w:rsidR="00672B08">
        <w:rPr>
          <w:rFonts w:ascii="Fira Sans" w:hAnsi="Fira Sans" w:cs="Tahoma"/>
          <w:b/>
          <w:sz w:val="22"/>
          <w:szCs w:val="22"/>
        </w:rPr>
        <w:t>u</w:t>
      </w:r>
      <w:r w:rsidRPr="00272763">
        <w:rPr>
          <w:rFonts w:ascii="Fira Sans" w:hAnsi="Fira Sans" w:cs="Tahoma"/>
          <w:b/>
          <w:sz w:val="22"/>
          <w:szCs w:val="22"/>
        </w:rPr>
        <w:t xml:space="preserve"> spotkań konsultacyjno-superwizyjnych </w:t>
      </w:r>
      <w:r>
        <w:rPr>
          <w:rFonts w:ascii="Fira Sans" w:hAnsi="Fira Sans" w:cs="Tahoma"/>
          <w:b/>
          <w:sz w:val="22"/>
          <w:szCs w:val="22"/>
        </w:rPr>
        <w:t>pn</w:t>
      </w:r>
      <w:r w:rsidRPr="00272763">
        <w:rPr>
          <w:rFonts w:ascii="Fira Sans" w:hAnsi="Fira Sans" w:cs="Tahoma"/>
          <w:b/>
          <w:sz w:val="22"/>
          <w:szCs w:val="22"/>
        </w:rPr>
        <w:t>. Wykorzystanie  informacji z badań i  raportów Belbin Get Set w planowaniu ścieżki edukacyjnej i zawodowej młodzieży szkolnej</w:t>
      </w:r>
      <w:r>
        <w:rPr>
          <w:rFonts w:ascii="Fira Sans" w:hAnsi="Fira Sans" w:cs="Tahoma"/>
          <w:b/>
          <w:sz w:val="22"/>
          <w:szCs w:val="22"/>
        </w:rPr>
        <w:t>.</w:t>
      </w:r>
    </w:p>
    <w:p w14:paraId="069FE16E" w14:textId="77777777" w:rsidR="00F018D3" w:rsidRPr="00AB6AB9" w:rsidRDefault="00F018D3" w:rsidP="00F018D3">
      <w:pPr>
        <w:pStyle w:val="Akapitzlist"/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i/>
          <w:iCs/>
          <w:sz w:val="20"/>
          <w:szCs w:val="20"/>
        </w:rPr>
      </w:pPr>
    </w:p>
    <w:p w14:paraId="3E97F282" w14:textId="15E64F23" w:rsidR="00F018D3" w:rsidRPr="00272763" w:rsidRDefault="00F018D3" w:rsidP="00AB0F61">
      <w:pPr>
        <w:numPr>
          <w:ilvl w:val="0"/>
          <w:numId w:val="69"/>
        </w:numPr>
        <w:tabs>
          <w:tab w:val="left" w:pos="480"/>
        </w:tabs>
        <w:suppressAutoHyphens/>
        <w:spacing w:line="276" w:lineRule="auto"/>
        <w:ind w:left="0"/>
        <w:jc w:val="both"/>
        <w:rPr>
          <w:rFonts w:ascii="Fira Sans" w:hAnsi="Fira Sans" w:cs="Arial"/>
          <w:bCs/>
          <w:sz w:val="22"/>
          <w:szCs w:val="22"/>
        </w:rPr>
      </w:pPr>
      <w:r w:rsidRPr="00482899">
        <w:rPr>
          <w:rFonts w:ascii="Fira Sans" w:hAnsi="Fira Sans" w:cs="Arial"/>
          <w:sz w:val="22"/>
          <w:szCs w:val="22"/>
        </w:rPr>
        <w:t>Przedmiotem zamówienia jest</w:t>
      </w:r>
      <w:r>
        <w:rPr>
          <w:rFonts w:ascii="Fira Sans" w:hAnsi="Fira Sans" w:cs="Arial"/>
          <w:sz w:val="22"/>
          <w:szCs w:val="22"/>
        </w:rPr>
        <w:t xml:space="preserve"> usługa szkoleniowa polegająca na organizacji i realizacji </w:t>
      </w:r>
      <w:r w:rsidRPr="00272763">
        <w:rPr>
          <w:rFonts w:ascii="Fira Sans" w:hAnsi="Fira Sans" w:cs="Tahoma"/>
          <w:bCs/>
          <w:sz w:val="22"/>
          <w:szCs w:val="22"/>
        </w:rPr>
        <w:t xml:space="preserve">cyklu spotkań konsultacyjno-superwizyjnych </w:t>
      </w:r>
      <w:r>
        <w:rPr>
          <w:rFonts w:ascii="Fira Sans" w:hAnsi="Fira Sans" w:cs="Tahoma"/>
          <w:bCs/>
          <w:sz w:val="22"/>
          <w:szCs w:val="22"/>
        </w:rPr>
        <w:t>pn</w:t>
      </w:r>
      <w:r w:rsidRPr="00272763">
        <w:rPr>
          <w:rFonts w:ascii="Fira Sans" w:hAnsi="Fira Sans" w:cs="Tahoma"/>
          <w:bCs/>
          <w:sz w:val="22"/>
          <w:szCs w:val="22"/>
        </w:rPr>
        <w:t>. Wykorzystanie  informacji z badań i  raportów Belb</w:t>
      </w:r>
      <w:r w:rsidRPr="00B97B89">
        <w:rPr>
          <w:rFonts w:ascii="Fira Sans" w:hAnsi="Fira Sans" w:cs="Tahoma"/>
          <w:bCs/>
          <w:sz w:val="22"/>
          <w:szCs w:val="22"/>
        </w:rPr>
        <w:t xml:space="preserve">in Get Set w planowaniu ścieżki edukacyjnej i zawodowej młodzieży szkolnej </w:t>
      </w:r>
      <w:r w:rsidRPr="00B97B89">
        <w:rPr>
          <w:rFonts w:ascii="Fira Sans" w:hAnsi="Fira Sans" w:cs="Arial"/>
          <w:bCs/>
          <w:sz w:val="22"/>
          <w:szCs w:val="22"/>
        </w:rPr>
        <w:t xml:space="preserve">w terminie od dnia </w:t>
      </w:r>
      <w:r w:rsidR="00B97B89" w:rsidRPr="00B97B89">
        <w:rPr>
          <w:rFonts w:ascii="Fira Sans" w:hAnsi="Fira Sans" w:cs="Arial"/>
          <w:bCs/>
          <w:sz w:val="22"/>
          <w:szCs w:val="22"/>
        </w:rPr>
        <w:t>21.03.2024 r.</w:t>
      </w:r>
      <w:r w:rsidRPr="00B97B89">
        <w:rPr>
          <w:rFonts w:ascii="Fira Sans" w:hAnsi="Fira Sans" w:cs="Arial"/>
          <w:bCs/>
          <w:sz w:val="22"/>
          <w:szCs w:val="22"/>
        </w:rPr>
        <w:t xml:space="preserve"> do dnia 13.06.2024 r</w:t>
      </w:r>
      <w:r w:rsidR="00B97B89" w:rsidRPr="00B97B89">
        <w:rPr>
          <w:rFonts w:ascii="Fira Sans" w:hAnsi="Fira Sans" w:cs="Arial"/>
          <w:bCs/>
          <w:sz w:val="22"/>
          <w:szCs w:val="22"/>
        </w:rPr>
        <w:t>.</w:t>
      </w:r>
    </w:p>
    <w:p w14:paraId="663F2BE2" w14:textId="77777777" w:rsidR="00F018D3" w:rsidRPr="00272763" w:rsidRDefault="00F018D3" w:rsidP="00F018D3">
      <w:p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0"/>
          <w:szCs w:val="20"/>
        </w:rPr>
      </w:pPr>
    </w:p>
    <w:p w14:paraId="208361F5" w14:textId="77777777" w:rsidR="00F018D3" w:rsidRPr="00272763" w:rsidRDefault="00F018D3" w:rsidP="00F018D3">
      <w:pPr>
        <w:pStyle w:val="Tekstpodstawowy"/>
        <w:jc w:val="both"/>
        <w:rPr>
          <w:rFonts w:ascii="Fira Sans" w:hAnsi="Fira Sans" w:cs="Tahoma"/>
          <w:sz w:val="22"/>
          <w:szCs w:val="22"/>
        </w:rPr>
      </w:pPr>
      <w:r w:rsidRPr="00272763">
        <w:rPr>
          <w:rFonts w:ascii="Fira Sans" w:hAnsi="Fira Sans" w:cs="Tahoma"/>
          <w:sz w:val="22"/>
          <w:szCs w:val="22"/>
        </w:rPr>
        <w:t>Usługa szkoleniowa w formule cyklu spotkań konsultacyjno-superwizyjnych  dotyczy wsparcia merytorycznego oraz  metodycznego grupy 20 nauczycieli</w:t>
      </w:r>
      <w:r>
        <w:rPr>
          <w:rFonts w:ascii="Fira Sans" w:hAnsi="Fira Sans" w:cs="Tahoma"/>
          <w:sz w:val="22"/>
          <w:szCs w:val="22"/>
        </w:rPr>
        <w:t>-</w:t>
      </w:r>
      <w:r w:rsidRPr="00272763">
        <w:rPr>
          <w:rFonts w:ascii="Fira Sans" w:hAnsi="Fira Sans" w:cs="Tahoma"/>
          <w:sz w:val="22"/>
          <w:szCs w:val="22"/>
        </w:rPr>
        <w:t>doradców zawodowych, pracujących z młodzieżą w szkołach</w:t>
      </w:r>
      <w:r w:rsidRPr="00272763">
        <w:rPr>
          <w:rFonts w:ascii="Fira Sans" w:hAnsi="Fira Sans" w:cs="Tahoma"/>
          <w:i/>
          <w:sz w:val="22"/>
          <w:szCs w:val="22"/>
        </w:rPr>
        <w:t xml:space="preserve"> (7-8 klasa szkoły podstawowej, klasy 1-2 liceum i technikum)</w:t>
      </w:r>
      <w:r w:rsidRPr="00272763">
        <w:rPr>
          <w:rFonts w:ascii="Fira Sans" w:hAnsi="Fira Sans" w:cs="Tahoma"/>
          <w:sz w:val="22"/>
          <w:szCs w:val="22"/>
        </w:rPr>
        <w:t xml:space="preserve"> w zakresie rozwijania umiejętności prawidłowej interpretacji raportów badań GetSet oraz wykorzystania informacji z raportów w procesie planowania rozwoju kompetencji młodzieży</w:t>
      </w:r>
      <w:r>
        <w:rPr>
          <w:rFonts w:ascii="Fira Sans" w:hAnsi="Fira Sans" w:cs="Tahoma"/>
          <w:sz w:val="22"/>
          <w:szCs w:val="22"/>
        </w:rPr>
        <w:t xml:space="preserve"> </w:t>
      </w:r>
      <w:r w:rsidRPr="00272763">
        <w:rPr>
          <w:rFonts w:ascii="Fira Sans" w:hAnsi="Fira Sans" w:cs="Tahoma"/>
          <w:sz w:val="22"/>
          <w:szCs w:val="22"/>
        </w:rPr>
        <w:t>- ścieżki edukacyjnej i/ lub zawodowej.</w:t>
      </w:r>
    </w:p>
    <w:p w14:paraId="6B51BA36" w14:textId="77777777" w:rsidR="00F018D3" w:rsidRDefault="00F018D3" w:rsidP="00F018D3">
      <w:pPr>
        <w:tabs>
          <w:tab w:val="left" w:pos="480"/>
        </w:tabs>
        <w:suppressAutoHyphens/>
        <w:spacing w:line="276" w:lineRule="auto"/>
        <w:jc w:val="both"/>
        <w:rPr>
          <w:rFonts w:ascii="Fira Sans" w:hAnsi="Fira Sans" w:cs="Tahoma"/>
          <w:sz w:val="22"/>
          <w:szCs w:val="22"/>
        </w:rPr>
      </w:pPr>
      <w:r w:rsidRPr="00272763">
        <w:rPr>
          <w:rFonts w:ascii="Fira Sans" w:hAnsi="Fira Sans" w:cs="Tahoma"/>
          <w:sz w:val="22"/>
          <w:szCs w:val="22"/>
        </w:rPr>
        <w:t xml:space="preserve">Cykl spotkań zaplanowanych dla 20  nauczycieli – doradców zawodowych, obejmuje </w:t>
      </w:r>
      <w:r>
        <w:rPr>
          <w:rFonts w:ascii="Fira Sans" w:hAnsi="Fira Sans" w:cs="Tahoma"/>
          <w:sz w:val="22"/>
          <w:szCs w:val="22"/>
        </w:rPr>
        <w:br/>
      </w:r>
      <w:r w:rsidRPr="00272763">
        <w:rPr>
          <w:rFonts w:ascii="Fira Sans" w:hAnsi="Fira Sans" w:cs="Tahoma"/>
          <w:b/>
          <w:bCs/>
          <w:sz w:val="22"/>
          <w:szCs w:val="22"/>
        </w:rPr>
        <w:t>16 godzin dydaktycznych</w:t>
      </w:r>
      <w:r w:rsidRPr="00272763">
        <w:rPr>
          <w:rFonts w:ascii="Fira Sans" w:hAnsi="Fira Sans" w:cs="Tahoma"/>
          <w:sz w:val="22"/>
          <w:szCs w:val="22"/>
        </w:rPr>
        <w:t xml:space="preserve"> (8 x 90 min), w tym:</w:t>
      </w:r>
    </w:p>
    <w:p w14:paraId="39618B06" w14:textId="1B07B8B7" w:rsidR="00F018D3" w:rsidRDefault="00F018D3" w:rsidP="00AB0F61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Tahoma"/>
          <w:sz w:val="22"/>
          <w:szCs w:val="22"/>
        </w:rPr>
      </w:pPr>
      <w:r w:rsidRPr="00272763">
        <w:rPr>
          <w:rFonts w:ascii="Fira Sans" w:hAnsi="Fira Sans" w:cs="Tahoma"/>
          <w:sz w:val="22"/>
          <w:szCs w:val="22"/>
        </w:rPr>
        <w:t>5 konsultacji/ superwizji grupowych (</w:t>
      </w:r>
      <w:r>
        <w:rPr>
          <w:rFonts w:ascii="Fira Sans" w:hAnsi="Fira Sans" w:cs="Tahoma"/>
          <w:sz w:val="22"/>
          <w:szCs w:val="22"/>
        </w:rPr>
        <w:t>5</w:t>
      </w:r>
      <w:r w:rsidRPr="00272763">
        <w:rPr>
          <w:rFonts w:ascii="Fira Sans" w:hAnsi="Fira Sans" w:cs="Tahoma"/>
          <w:sz w:val="22"/>
          <w:szCs w:val="22"/>
        </w:rPr>
        <w:t xml:space="preserve"> x 90 min), w okresie od dnia </w:t>
      </w:r>
      <w:r w:rsidR="001978EE" w:rsidRPr="006E7966">
        <w:rPr>
          <w:rFonts w:ascii="Fira Sans" w:hAnsi="Fira Sans" w:cs="Tahoma"/>
          <w:b/>
          <w:sz w:val="22"/>
          <w:szCs w:val="22"/>
        </w:rPr>
        <w:t>21.03.2024</w:t>
      </w:r>
      <w:r w:rsidR="001978EE">
        <w:rPr>
          <w:rFonts w:ascii="Fira Sans" w:hAnsi="Fira Sans" w:cs="Tahoma"/>
          <w:b/>
          <w:sz w:val="22"/>
          <w:szCs w:val="22"/>
        </w:rPr>
        <w:t xml:space="preserve"> r.</w:t>
      </w:r>
      <w:r w:rsidRPr="00272763">
        <w:rPr>
          <w:rFonts w:ascii="Fira Sans" w:hAnsi="Fira Sans" w:cs="Tahoma"/>
          <w:sz w:val="22"/>
          <w:szCs w:val="22"/>
        </w:rPr>
        <w:t xml:space="preserve"> </w:t>
      </w:r>
      <w:r w:rsidRPr="00C26F65">
        <w:rPr>
          <w:rFonts w:ascii="Fira Sans" w:hAnsi="Fira Sans" w:cs="Tahoma"/>
          <w:b/>
          <w:sz w:val="22"/>
          <w:szCs w:val="22"/>
        </w:rPr>
        <w:t xml:space="preserve">do </w:t>
      </w:r>
      <w:r>
        <w:rPr>
          <w:rFonts w:ascii="Fira Sans" w:hAnsi="Fira Sans" w:cs="Tahoma"/>
          <w:b/>
          <w:sz w:val="22"/>
          <w:szCs w:val="22"/>
        </w:rPr>
        <w:t>12</w:t>
      </w:r>
      <w:r w:rsidR="001978EE">
        <w:rPr>
          <w:rFonts w:ascii="Fira Sans" w:hAnsi="Fira Sans" w:cs="Tahoma"/>
          <w:b/>
          <w:sz w:val="22"/>
          <w:szCs w:val="22"/>
        </w:rPr>
        <w:t>.04.</w:t>
      </w:r>
      <w:r w:rsidRPr="00C26F65">
        <w:rPr>
          <w:rFonts w:ascii="Fira Sans" w:hAnsi="Fira Sans" w:cs="Tahoma"/>
          <w:b/>
          <w:sz w:val="22"/>
          <w:szCs w:val="22"/>
        </w:rPr>
        <w:t>2024 r</w:t>
      </w:r>
      <w:r>
        <w:rPr>
          <w:rFonts w:ascii="Fira Sans" w:hAnsi="Fira Sans" w:cs="Tahoma"/>
          <w:sz w:val="22"/>
          <w:szCs w:val="22"/>
        </w:rPr>
        <w:t xml:space="preserve">. </w:t>
      </w:r>
      <w:r w:rsidRPr="00272763">
        <w:rPr>
          <w:rFonts w:ascii="Fira Sans" w:hAnsi="Fira Sans" w:cs="Tahoma"/>
          <w:sz w:val="22"/>
          <w:szCs w:val="22"/>
        </w:rPr>
        <w:t xml:space="preserve">(1 dzień w tygodniu) oraz </w:t>
      </w:r>
    </w:p>
    <w:p w14:paraId="6E1F441D" w14:textId="12460466" w:rsidR="00F018D3" w:rsidRPr="00272763" w:rsidRDefault="00F018D3" w:rsidP="00AB0F61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Tahoma"/>
          <w:sz w:val="22"/>
          <w:szCs w:val="22"/>
        </w:rPr>
      </w:pPr>
      <w:r w:rsidRPr="00272763">
        <w:rPr>
          <w:rFonts w:ascii="Fira Sans" w:hAnsi="Fira Sans" w:cs="Tahoma"/>
          <w:sz w:val="22"/>
          <w:szCs w:val="22"/>
        </w:rPr>
        <w:t>3 spotkania typu follow up (</w:t>
      </w:r>
      <w:r>
        <w:rPr>
          <w:rFonts w:ascii="Fira Sans" w:hAnsi="Fira Sans" w:cs="Tahoma"/>
          <w:sz w:val="22"/>
          <w:szCs w:val="22"/>
        </w:rPr>
        <w:t>3</w:t>
      </w:r>
      <w:r w:rsidRPr="00272763">
        <w:rPr>
          <w:rFonts w:ascii="Fira Sans" w:hAnsi="Fira Sans" w:cs="Tahoma"/>
          <w:sz w:val="22"/>
          <w:szCs w:val="22"/>
        </w:rPr>
        <w:t xml:space="preserve"> x 90 min), w okresie </w:t>
      </w:r>
      <w:r>
        <w:rPr>
          <w:rFonts w:ascii="Fira Sans" w:hAnsi="Fira Sans" w:cs="Tahoma"/>
          <w:sz w:val="22"/>
          <w:szCs w:val="22"/>
        </w:rPr>
        <w:t xml:space="preserve">od  </w:t>
      </w:r>
      <w:r w:rsidRPr="00C26F65">
        <w:rPr>
          <w:rFonts w:ascii="Fira Sans" w:hAnsi="Fira Sans" w:cs="Tahoma"/>
          <w:b/>
          <w:sz w:val="22"/>
          <w:szCs w:val="22"/>
        </w:rPr>
        <w:t xml:space="preserve">15.04.2024 do </w:t>
      </w:r>
      <w:r w:rsidR="001978EE" w:rsidRPr="00C26F65">
        <w:rPr>
          <w:rFonts w:ascii="Fira Sans" w:hAnsi="Fira Sans" w:cs="Tahoma"/>
          <w:b/>
          <w:sz w:val="22"/>
          <w:szCs w:val="22"/>
        </w:rPr>
        <w:t>1</w:t>
      </w:r>
      <w:r w:rsidR="001978EE">
        <w:rPr>
          <w:rFonts w:ascii="Fira Sans" w:hAnsi="Fira Sans" w:cs="Tahoma"/>
          <w:b/>
          <w:sz w:val="22"/>
          <w:szCs w:val="22"/>
        </w:rPr>
        <w:t>3</w:t>
      </w:r>
      <w:r w:rsidRPr="00C26F65">
        <w:rPr>
          <w:rFonts w:ascii="Fira Sans" w:hAnsi="Fira Sans" w:cs="Tahoma"/>
          <w:b/>
          <w:sz w:val="22"/>
          <w:szCs w:val="22"/>
        </w:rPr>
        <w:t>.06.2024 r.</w:t>
      </w:r>
    </w:p>
    <w:p w14:paraId="4084EBB2" w14:textId="77777777" w:rsidR="00F018D3" w:rsidRDefault="00F018D3" w:rsidP="00F018D3">
      <w:pPr>
        <w:tabs>
          <w:tab w:val="left" w:pos="480"/>
        </w:tabs>
        <w:suppressAutoHyphens/>
        <w:spacing w:line="276" w:lineRule="auto"/>
        <w:rPr>
          <w:rFonts w:ascii="Fira Sans" w:hAnsi="Fira Sans"/>
          <w:sz w:val="22"/>
          <w:szCs w:val="22"/>
          <w:lang w:eastAsia="zh-CN"/>
        </w:rPr>
      </w:pPr>
    </w:p>
    <w:p w14:paraId="4652D984" w14:textId="77777777" w:rsidR="00F018D3" w:rsidRDefault="00F018D3" w:rsidP="00F018D3">
      <w:pPr>
        <w:tabs>
          <w:tab w:val="left" w:pos="480"/>
        </w:tabs>
        <w:suppressAutoHyphens/>
        <w:spacing w:line="276" w:lineRule="auto"/>
        <w:jc w:val="both"/>
        <w:rPr>
          <w:rFonts w:ascii="Fira Sans" w:hAnsi="Fira Sans"/>
          <w:sz w:val="22"/>
          <w:szCs w:val="22"/>
          <w:lang w:eastAsia="zh-CN"/>
        </w:rPr>
      </w:pPr>
      <w:r>
        <w:rPr>
          <w:rFonts w:ascii="Fira Sans" w:hAnsi="Fira Sans"/>
          <w:sz w:val="22"/>
          <w:szCs w:val="22"/>
          <w:lang w:eastAsia="zh-CN"/>
        </w:rPr>
        <w:t xml:space="preserve">Spotkania odbywają się zdalnie na platformie Click Meeting,  Google Meet lub Zoom, zapewniającej raportowanie i zapis spotkań oraz bezpieczeństwo i ochronę danych osobowych. </w:t>
      </w:r>
    </w:p>
    <w:p w14:paraId="736F6C39" w14:textId="77777777" w:rsidR="00F018D3" w:rsidRPr="00272763" w:rsidRDefault="00F018D3" w:rsidP="00F018D3">
      <w:pPr>
        <w:tabs>
          <w:tab w:val="left" w:pos="480"/>
        </w:tabs>
        <w:suppressAutoHyphens/>
        <w:spacing w:line="276" w:lineRule="auto"/>
        <w:rPr>
          <w:rFonts w:ascii="Fira Sans" w:hAnsi="Fira Sans"/>
          <w:sz w:val="22"/>
          <w:szCs w:val="22"/>
          <w:lang w:eastAsia="zh-CN"/>
        </w:rPr>
      </w:pPr>
    </w:p>
    <w:p w14:paraId="1497CDA8" w14:textId="77777777" w:rsidR="00F018D3" w:rsidRPr="0011679E" w:rsidRDefault="00F018D3" w:rsidP="00F018D3">
      <w:pPr>
        <w:tabs>
          <w:tab w:val="left" w:pos="480"/>
        </w:tabs>
        <w:suppressAutoHyphens/>
        <w:spacing w:line="276" w:lineRule="auto"/>
        <w:rPr>
          <w:rFonts w:ascii="Fira Sans" w:hAnsi="Fira Sans" w:cs="Arial"/>
          <w:b/>
          <w:bCs/>
          <w:sz w:val="22"/>
          <w:szCs w:val="22"/>
        </w:rPr>
      </w:pPr>
      <w:r w:rsidRPr="0011679E">
        <w:rPr>
          <w:rFonts w:ascii="Fira Sans" w:hAnsi="Fira Sans" w:cs="Arial"/>
          <w:b/>
          <w:bCs/>
          <w:sz w:val="22"/>
          <w:szCs w:val="22"/>
        </w:rPr>
        <w:t>Wykonawca  posiada:</w:t>
      </w:r>
    </w:p>
    <w:p w14:paraId="1EB95EC1" w14:textId="77777777" w:rsidR="00F018D3" w:rsidRPr="005D5A45" w:rsidRDefault="00F018D3" w:rsidP="00AB0F61">
      <w:pPr>
        <w:pStyle w:val="Akapitzlist"/>
        <w:numPr>
          <w:ilvl w:val="0"/>
          <w:numId w:val="70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  <w:r w:rsidRPr="005D5A45">
        <w:rPr>
          <w:rFonts w:ascii="Fira Sans" w:hAnsi="Fira Sans" w:cs="Arial"/>
          <w:sz w:val="22"/>
          <w:szCs w:val="22"/>
        </w:rPr>
        <w:t xml:space="preserve">Uprawnienia formalne do  przeprowadzenia szkoleń certyfikujących </w:t>
      </w:r>
      <w:r>
        <w:rPr>
          <w:rFonts w:ascii="Fira Sans" w:hAnsi="Fira Sans" w:cs="Arial"/>
          <w:sz w:val="22"/>
          <w:szCs w:val="22"/>
        </w:rPr>
        <w:t>Belbin Get Set oraz do interpretacji raportów Belbin i Belbin Get Set.</w:t>
      </w:r>
    </w:p>
    <w:p w14:paraId="4874D8D8" w14:textId="77777777" w:rsidR="00F018D3" w:rsidRDefault="00F018D3" w:rsidP="00AB0F61">
      <w:pPr>
        <w:pStyle w:val="Akapitzlist"/>
        <w:numPr>
          <w:ilvl w:val="0"/>
          <w:numId w:val="70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DF135B">
        <w:rPr>
          <w:rFonts w:ascii="Fira Sans" w:hAnsi="Fira Sans" w:cs="Arial"/>
          <w:sz w:val="22"/>
          <w:szCs w:val="22"/>
        </w:rPr>
        <w:t>Uprawnienia dostępu</w:t>
      </w:r>
      <w:r>
        <w:rPr>
          <w:rFonts w:ascii="Fira Sans" w:hAnsi="Fira Sans" w:cs="Arial"/>
          <w:sz w:val="22"/>
          <w:szCs w:val="22"/>
        </w:rPr>
        <w:t xml:space="preserve"> </w:t>
      </w:r>
      <w:r w:rsidRPr="00DF135B">
        <w:rPr>
          <w:rFonts w:ascii="Fira Sans" w:hAnsi="Fira Sans" w:cs="Arial"/>
          <w:sz w:val="22"/>
          <w:szCs w:val="22"/>
        </w:rPr>
        <w:t>do</w:t>
      </w:r>
      <w:r>
        <w:rPr>
          <w:rFonts w:ascii="Fira Sans" w:hAnsi="Fira Sans" w:cs="Arial"/>
          <w:sz w:val="22"/>
          <w:szCs w:val="22"/>
        </w:rPr>
        <w:t xml:space="preserve"> </w:t>
      </w:r>
      <w:r w:rsidRPr="00DF135B">
        <w:rPr>
          <w:rFonts w:ascii="Fira Sans" w:hAnsi="Fira Sans" w:cs="Arial"/>
          <w:sz w:val="22"/>
          <w:szCs w:val="22"/>
        </w:rPr>
        <w:t xml:space="preserve">Platformy </w:t>
      </w:r>
      <w:r>
        <w:rPr>
          <w:rFonts w:ascii="Fira Sans" w:hAnsi="Fira Sans" w:cs="Arial"/>
          <w:sz w:val="22"/>
          <w:szCs w:val="22"/>
        </w:rPr>
        <w:t>Interplace 7</w:t>
      </w:r>
      <w:r w:rsidRPr="00DF135B">
        <w:rPr>
          <w:rFonts w:ascii="Fira Sans" w:hAnsi="Fira Sans" w:cs="Arial"/>
          <w:sz w:val="22"/>
          <w:szCs w:val="22"/>
        </w:rPr>
        <w:t xml:space="preserve"> </w:t>
      </w:r>
      <w:r w:rsidRPr="00DF135B">
        <w:rPr>
          <w:rFonts w:ascii="Fira Sans" w:hAnsi="Fira Sans"/>
          <w:sz w:val="22"/>
          <w:szCs w:val="22"/>
          <w:lang w:eastAsia="zh-CN"/>
        </w:rPr>
        <w:t xml:space="preserve">z </w:t>
      </w:r>
      <w:r>
        <w:rPr>
          <w:rFonts w:ascii="Fira Sans" w:hAnsi="Fira Sans"/>
          <w:sz w:val="22"/>
          <w:szCs w:val="22"/>
          <w:lang w:eastAsia="zh-CN"/>
        </w:rPr>
        <w:t>dostępem do raportów Get Set</w:t>
      </w:r>
      <w:r w:rsidRPr="00DF135B">
        <w:rPr>
          <w:rFonts w:ascii="Fira Sans" w:hAnsi="Fira Sans"/>
          <w:sz w:val="22"/>
          <w:szCs w:val="22"/>
          <w:lang w:eastAsia="zh-CN"/>
        </w:rPr>
        <w:t xml:space="preserve">  </w:t>
      </w:r>
      <w:r>
        <w:rPr>
          <w:rFonts w:ascii="Fira Sans" w:hAnsi="Fira Sans"/>
          <w:sz w:val="22"/>
          <w:szCs w:val="22"/>
          <w:lang w:eastAsia="zh-CN"/>
        </w:rPr>
        <w:t>młodzieży oraz profesjonalnych materiałów Belbin Polska, które będą podstawą do przygotowania cyklu spotkań konsultacyjnych, superwizyjnych i typu follow up.</w:t>
      </w:r>
    </w:p>
    <w:p w14:paraId="45AFC24A" w14:textId="77777777" w:rsidR="00F018D3" w:rsidRPr="00DF135B" w:rsidRDefault="00F018D3" w:rsidP="00AB0F61">
      <w:pPr>
        <w:pStyle w:val="Akapitzlist"/>
        <w:numPr>
          <w:ilvl w:val="0"/>
          <w:numId w:val="70"/>
        </w:numPr>
        <w:tabs>
          <w:tab w:val="left" w:pos="709"/>
        </w:tabs>
        <w:suppressAutoHyphens/>
        <w:spacing w:line="276" w:lineRule="auto"/>
        <w:ind w:left="709" w:hanging="42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 xml:space="preserve">Wykonawca dysponuje potencjałem technicznym i osobami uprawnionymi do </w:t>
      </w:r>
      <w:r>
        <w:rPr>
          <w:rFonts w:ascii="Fira Sans" w:hAnsi="Fira Sans" w:cs="Arial"/>
          <w:sz w:val="22"/>
          <w:szCs w:val="22"/>
        </w:rPr>
        <w:t xml:space="preserve">prowadzenia szkoleń z tematyki Ról Zespołowych wg metodologii M.Belbina, </w:t>
      </w:r>
      <w:r>
        <w:rPr>
          <w:rFonts w:ascii="Fira Sans" w:hAnsi="Fira Sans" w:cs="Arial"/>
          <w:sz w:val="22"/>
          <w:szCs w:val="22"/>
        </w:rPr>
        <w:br/>
        <w:t xml:space="preserve">w zakresie interpretacji raportów Belbin i Belbin Get Set </w:t>
      </w:r>
      <w:r w:rsidRPr="00DF135B">
        <w:rPr>
          <w:rFonts w:ascii="Fira Sans" w:hAnsi="Fira Sans" w:cs="Arial"/>
          <w:sz w:val="22"/>
          <w:szCs w:val="22"/>
        </w:rPr>
        <w:t>na profesjonalnym poziomie.</w:t>
      </w:r>
    </w:p>
    <w:p w14:paraId="02BD7956" w14:textId="77777777" w:rsidR="00F018D3" w:rsidRDefault="00F018D3" w:rsidP="00F018D3">
      <w:p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</w:p>
    <w:p w14:paraId="39E493A9" w14:textId="77777777" w:rsidR="00F018D3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 xml:space="preserve">Forma doskonalenia przeznaczona jest </w:t>
      </w:r>
      <w:r>
        <w:rPr>
          <w:rFonts w:ascii="Fira Sans" w:hAnsi="Fira Sans" w:cs="Arial"/>
          <w:sz w:val="22"/>
          <w:szCs w:val="22"/>
        </w:rPr>
        <w:t xml:space="preserve">dla </w:t>
      </w:r>
      <w:r w:rsidRPr="00DF135B">
        <w:rPr>
          <w:rFonts w:ascii="Fira Sans" w:hAnsi="Fira Sans" w:cs="Arial"/>
          <w:sz w:val="22"/>
          <w:szCs w:val="22"/>
        </w:rPr>
        <w:t xml:space="preserve">nauczycieli/specjalistów ds. doradztwa zawodowego </w:t>
      </w:r>
      <w:r w:rsidRPr="00DF135B">
        <w:rPr>
          <w:rFonts w:ascii="Fira Sans" w:hAnsi="Fira Sans" w:cs="Arial"/>
          <w:color w:val="000000" w:themeColor="text1"/>
          <w:sz w:val="22"/>
          <w:szCs w:val="22"/>
        </w:rPr>
        <w:t xml:space="preserve">w szkołach pilotażowych (20 szkół wyłonionych w trybie konkursu „Model nowoczesnego Systemu Doradztwa Zawodowego dla pomorskich szkół” – lista szkół została opublikowana 21 listopada 2023 r. na stronie PCEN), </w:t>
      </w:r>
      <w:r w:rsidRPr="00DF135B">
        <w:rPr>
          <w:rFonts w:ascii="Fira Sans" w:hAnsi="Fira Sans" w:cs="Arial"/>
          <w:sz w:val="22"/>
          <w:szCs w:val="22"/>
        </w:rPr>
        <w:t>zwanych dalej osobami. Zamawiający zapewni wskazane osoby.</w:t>
      </w:r>
    </w:p>
    <w:p w14:paraId="110195D0" w14:textId="77777777" w:rsidR="00F018D3" w:rsidRPr="00AF137D" w:rsidRDefault="00F018D3" w:rsidP="00AB0F61">
      <w:pPr>
        <w:pStyle w:val="Akapitzlist"/>
        <w:numPr>
          <w:ilvl w:val="0"/>
          <w:numId w:val="69"/>
        </w:numPr>
        <w:tabs>
          <w:tab w:val="clear" w:pos="708"/>
          <w:tab w:val="left" w:pos="480"/>
        </w:tabs>
        <w:suppressAutoHyphens/>
        <w:spacing w:line="276" w:lineRule="auto"/>
        <w:ind w:left="0" w:hanging="426"/>
        <w:jc w:val="both"/>
        <w:rPr>
          <w:rFonts w:ascii="Fira Sans" w:hAnsi="Fira Sans"/>
          <w:sz w:val="22"/>
          <w:szCs w:val="22"/>
          <w:lang w:eastAsia="zh-CN"/>
        </w:rPr>
      </w:pPr>
      <w:r w:rsidRPr="00AF137D">
        <w:rPr>
          <w:rFonts w:ascii="Fira Sans" w:hAnsi="Fira Sans" w:cs="Arial"/>
          <w:sz w:val="22"/>
          <w:szCs w:val="22"/>
        </w:rPr>
        <w:t xml:space="preserve">Forma doskonalenia odbywać się będzie zdalnie </w:t>
      </w:r>
      <w:r w:rsidRPr="00AF137D">
        <w:rPr>
          <w:rFonts w:ascii="Fira Sans" w:hAnsi="Fira Sans" w:cs="Arial"/>
          <w:color w:val="000000" w:themeColor="text1"/>
          <w:sz w:val="22"/>
          <w:szCs w:val="22"/>
        </w:rPr>
        <w:t xml:space="preserve">na </w:t>
      </w:r>
      <w:r>
        <w:rPr>
          <w:rFonts w:ascii="Fira Sans" w:hAnsi="Fira Sans" w:cs="Arial"/>
          <w:color w:val="000000" w:themeColor="text1"/>
          <w:sz w:val="22"/>
          <w:szCs w:val="22"/>
        </w:rPr>
        <w:t>p</w:t>
      </w:r>
      <w:r w:rsidRPr="00AF137D">
        <w:rPr>
          <w:rFonts w:ascii="Fira Sans" w:hAnsi="Fira Sans" w:cs="Arial"/>
          <w:color w:val="000000" w:themeColor="text1"/>
          <w:sz w:val="22"/>
          <w:szCs w:val="22"/>
        </w:rPr>
        <w:t xml:space="preserve">latformie </w:t>
      </w:r>
      <w:r w:rsidRPr="00AF137D">
        <w:rPr>
          <w:rFonts w:ascii="Fira Sans" w:hAnsi="Fira Sans"/>
          <w:sz w:val="22"/>
          <w:szCs w:val="22"/>
          <w:lang w:eastAsia="zh-CN"/>
        </w:rPr>
        <w:t>Click Meeting, Zoom lub Google Meet, zapewniającej raportowanie i zapis spotkań oraz bezpieczeństwo i ochronę danych osobowych.</w:t>
      </w:r>
    </w:p>
    <w:p w14:paraId="04DD07C3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 xml:space="preserve">Zamawiający szacuje przeszkolić 20 nauczycieli/specjalistów </w:t>
      </w:r>
      <w:r w:rsidRPr="00DF135B">
        <w:rPr>
          <w:rFonts w:ascii="Fira Sans" w:hAnsi="Fira Sans" w:cs="Tahoma"/>
          <w:sz w:val="22"/>
          <w:szCs w:val="32"/>
        </w:rPr>
        <w:t>ds. doradztwa zawodowego w szkołach pracujących z młodzieżą i dorosłymi  (rodzicami/ opiekunami).</w:t>
      </w:r>
    </w:p>
    <w:p w14:paraId="2E7F63FC" w14:textId="03D03C0B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pacing w:val="-4"/>
          <w:sz w:val="22"/>
          <w:szCs w:val="22"/>
        </w:rPr>
        <w:t>Zamawiający ustala, że cena brutto za przeprowadzeni</w:t>
      </w:r>
      <w:r w:rsidR="00672B08">
        <w:rPr>
          <w:rFonts w:ascii="Fira Sans" w:hAnsi="Fira Sans" w:cs="Arial"/>
          <w:spacing w:val="-4"/>
          <w:sz w:val="22"/>
          <w:szCs w:val="22"/>
        </w:rPr>
        <w:t>e</w:t>
      </w:r>
      <w:r w:rsidRPr="00DF135B">
        <w:rPr>
          <w:rFonts w:ascii="Fira Sans" w:hAnsi="Fira Sans" w:cs="Arial"/>
          <w:spacing w:val="-4"/>
          <w:sz w:val="22"/>
          <w:szCs w:val="22"/>
        </w:rPr>
        <w:t xml:space="preserve"> </w:t>
      </w:r>
      <w:r>
        <w:rPr>
          <w:rFonts w:ascii="Fira Sans" w:hAnsi="Fira Sans" w:cs="Arial"/>
          <w:spacing w:val="-4"/>
          <w:sz w:val="22"/>
          <w:szCs w:val="22"/>
        </w:rPr>
        <w:t>cyklu spotkań</w:t>
      </w:r>
      <w:r w:rsidRPr="00DF135B">
        <w:rPr>
          <w:rFonts w:ascii="Fira Sans" w:hAnsi="Fira Sans" w:cs="Arial"/>
          <w:spacing w:val="-4"/>
          <w:sz w:val="22"/>
          <w:szCs w:val="22"/>
        </w:rPr>
        <w:t xml:space="preserve"> </w:t>
      </w:r>
      <w:r>
        <w:rPr>
          <w:rFonts w:ascii="Fira Sans" w:hAnsi="Fira Sans" w:cs="Arial"/>
          <w:spacing w:val="-4"/>
          <w:sz w:val="22"/>
          <w:szCs w:val="22"/>
        </w:rPr>
        <w:br/>
      </w:r>
      <w:r w:rsidRPr="00DF135B">
        <w:rPr>
          <w:rFonts w:ascii="Fira Sans" w:hAnsi="Fira Sans" w:cs="Arial"/>
          <w:spacing w:val="-4"/>
          <w:sz w:val="22"/>
          <w:szCs w:val="22"/>
          <w:u w:val="single"/>
        </w:rPr>
        <w:t>(</w:t>
      </w:r>
      <w:r>
        <w:rPr>
          <w:rFonts w:ascii="Fira Sans" w:hAnsi="Fira Sans" w:cs="Arial"/>
          <w:spacing w:val="-4"/>
          <w:sz w:val="22"/>
          <w:szCs w:val="22"/>
          <w:u w:val="single"/>
        </w:rPr>
        <w:t>16</w:t>
      </w:r>
      <w:r w:rsidRPr="00DF135B">
        <w:rPr>
          <w:rFonts w:ascii="Fira Sans" w:hAnsi="Fira Sans" w:cs="Arial"/>
          <w:spacing w:val="-4"/>
          <w:sz w:val="22"/>
          <w:szCs w:val="22"/>
          <w:u w:val="single"/>
        </w:rPr>
        <w:t xml:space="preserve"> godzin dydaktycznych)</w:t>
      </w:r>
      <w:r w:rsidRPr="00DF135B">
        <w:rPr>
          <w:rFonts w:ascii="Fira Sans" w:hAnsi="Fira Sans" w:cs="Arial"/>
          <w:spacing w:val="-4"/>
          <w:sz w:val="22"/>
          <w:szCs w:val="22"/>
        </w:rPr>
        <w:t xml:space="preserve"> dla grupy 20 osób jest ceną ryczałtową, nie może ulec zmianie. </w:t>
      </w:r>
      <w:r w:rsidRPr="00DF135B">
        <w:rPr>
          <w:rFonts w:ascii="Fira Sans" w:hAnsi="Fira Sans" w:cs="Arial"/>
          <w:sz w:val="22"/>
          <w:szCs w:val="22"/>
        </w:rPr>
        <w:t xml:space="preserve">Zamawiający zapłaci tylko za faktycznie zrealizowane zamówienie. </w:t>
      </w:r>
    </w:p>
    <w:p w14:paraId="682B9176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276" w:lineRule="auto"/>
        <w:ind w:left="0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pacing w:val="-6"/>
          <w:sz w:val="22"/>
          <w:szCs w:val="22"/>
        </w:rPr>
        <w:t xml:space="preserve">Wykonawca nie ponosi kosztów powielania materiałów dla uczestników. </w:t>
      </w:r>
    </w:p>
    <w:p w14:paraId="6A7850AE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276" w:lineRule="auto"/>
        <w:ind w:left="0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Zamawiający zapewni</w:t>
      </w:r>
      <w:r>
        <w:rPr>
          <w:rFonts w:ascii="Fira Sans" w:hAnsi="Fira Sans" w:cs="Arial"/>
          <w:sz w:val="22"/>
          <w:szCs w:val="22"/>
        </w:rPr>
        <w:t xml:space="preserve"> dostęp do platformy online </w:t>
      </w:r>
      <w:r>
        <w:rPr>
          <w:rFonts w:ascii="Fira Sans" w:hAnsi="Fira Sans"/>
          <w:sz w:val="22"/>
          <w:szCs w:val="22"/>
          <w:lang w:eastAsia="zh-CN"/>
        </w:rPr>
        <w:t xml:space="preserve">Click Meeting lub Google Meet. </w:t>
      </w:r>
      <w:r w:rsidRPr="00DF135B">
        <w:rPr>
          <w:rFonts w:ascii="Fira Sans" w:hAnsi="Fira Sans" w:cs="Arial"/>
          <w:sz w:val="22"/>
          <w:szCs w:val="22"/>
        </w:rPr>
        <w:t xml:space="preserve">Wykonawca z tego tytułu nie ponosi żadnych kosztów. </w:t>
      </w:r>
      <w:r>
        <w:rPr>
          <w:rFonts w:ascii="Fira Sans" w:hAnsi="Fira Sans" w:cs="Arial"/>
          <w:sz w:val="22"/>
          <w:szCs w:val="22"/>
        </w:rPr>
        <w:t xml:space="preserve"> </w:t>
      </w:r>
    </w:p>
    <w:p w14:paraId="24BC03DF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Zamawiający zastrzega sobie prawo obserwacji lub realizacji monitorowania formy doskonalenia.</w:t>
      </w:r>
    </w:p>
    <w:p w14:paraId="5BED41A0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Wykonawca wyraża zgodę na wykorzystanie materiałów szkoleniowych z danej formy doskonalenia na potrzeby jej uczestników.</w:t>
      </w:r>
    </w:p>
    <w:p w14:paraId="37FB7922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Zamawiający prowadzi dokumentację niezbędną do realizacji form doskonalenia (listy obecności).</w:t>
      </w:r>
    </w:p>
    <w:p w14:paraId="4562D74E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Zamawiający po realizacji formy doskonalenia przeprowadzi ewaluację zgodnie z procedurami i narzędziami ewaluacji stosowanymi u Zamawiającego.</w:t>
      </w:r>
    </w:p>
    <w:p w14:paraId="7BEAAFE3" w14:textId="77777777" w:rsidR="00F018D3" w:rsidRPr="00DF135B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 xml:space="preserve">Zamawiający wystawia zaświadczenie ukończenia formy doskonalenia. Wykonawca z tego tytułu nie ponosi kosztów.  </w:t>
      </w:r>
    </w:p>
    <w:p w14:paraId="756A8E86" w14:textId="17FAD9DA" w:rsidR="00F018D3" w:rsidRDefault="00F018D3" w:rsidP="00AB0F61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2"/>
          <w:szCs w:val="22"/>
        </w:rPr>
      </w:pPr>
      <w:r w:rsidRPr="00DF135B">
        <w:rPr>
          <w:rFonts w:ascii="Fira Sans" w:hAnsi="Fira Sans" w:cs="Arial"/>
          <w:sz w:val="22"/>
          <w:szCs w:val="22"/>
        </w:rPr>
        <w:t>Zamawiający wskaże osobę/osoby odpowiedzialną/e za realizację przedmiotu zamówienia i upoważnioną /upoważnione do kontaktów i reprezentowania Zamawiającego.</w:t>
      </w:r>
    </w:p>
    <w:p w14:paraId="0D8444E8" w14:textId="1111FB62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79E58AF5" w14:textId="69569E4C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3B03A625" w14:textId="190A3B65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389560BE" w14:textId="138AA237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487DCB9B" w14:textId="4220BCF8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7CFE5F24" w14:textId="20E835C7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0763D190" w14:textId="23ED7452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6794448E" w14:textId="7AAB953F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97B89" w:rsidRDefault="00B97B89" w:rsidP="00F74FD7">
      <w:r>
        <w:separator/>
      </w:r>
    </w:p>
  </w:endnote>
  <w:endnote w:type="continuationSeparator" w:id="0">
    <w:p w14:paraId="49778471" w14:textId="77777777" w:rsidR="00B97B89" w:rsidRDefault="00B97B8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B6F7" w14:textId="77777777" w:rsidR="00B97B89" w:rsidRDefault="00B97B89" w:rsidP="00BF60EC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2DA515D7" wp14:editId="3143A77B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1B215E" id="Łącznik prosty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5B1BF5CC" w14:textId="77777777" w:rsidR="00B97B89" w:rsidRDefault="00B97B89" w:rsidP="00BF60EC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sdt>
    <w:sdtPr>
      <w:id w:val="-16546222"/>
      <w:docPartObj>
        <w:docPartGallery w:val="Page Numbers (Bottom of Page)"/>
        <w:docPartUnique/>
      </w:docPartObj>
    </w:sdtPr>
    <w:sdtEndPr/>
    <w:sdtContent>
      <w:p w14:paraId="5AB18BAB" w14:textId="35BC1320" w:rsidR="00B97B89" w:rsidRDefault="00B97B89" w:rsidP="00BF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81">
          <w:rPr>
            <w:noProof/>
          </w:rPr>
          <w:t>2</w:t>
        </w:r>
        <w:r>
          <w:fldChar w:fldCharType="end"/>
        </w:r>
      </w:p>
    </w:sdtContent>
  </w:sdt>
  <w:p w14:paraId="684802EC" w14:textId="77777777" w:rsidR="00B97B89" w:rsidRPr="00567C8A" w:rsidRDefault="00B97B89" w:rsidP="00BF60EC">
    <w:pPr>
      <w:pStyle w:val="Stopka"/>
    </w:pPr>
  </w:p>
  <w:p w14:paraId="40728680" w14:textId="77777777" w:rsidR="00B97B89" w:rsidRPr="00BF60EC" w:rsidRDefault="00B97B89" w:rsidP="00BF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97B89" w:rsidRDefault="00B97B89" w:rsidP="00F74FD7">
      <w:r>
        <w:separator/>
      </w:r>
    </w:p>
  </w:footnote>
  <w:footnote w:type="continuationSeparator" w:id="0">
    <w:p w14:paraId="1ABCC747" w14:textId="77777777" w:rsidR="00B97B89" w:rsidRDefault="00B97B8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68D" w14:textId="77777777" w:rsidR="00B97B89" w:rsidRDefault="00B97B89" w:rsidP="00AB0F61">
    <w:pPr>
      <w:pStyle w:val="Nagwek"/>
      <w:rPr>
        <w:b/>
        <w:noProof/>
      </w:rPr>
    </w:pPr>
  </w:p>
  <w:p w14:paraId="0D763730" w14:textId="77777777" w:rsidR="00B97B89" w:rsidRDefault="00B97B89" w:rsidP="00AB0F61">
    <w:pPr>
      <w:pStyle w:val="Nagwek"/>
    </w:pPr>
    <w:r>
      <w:rPr>
        <w:b/>
        <w:noProof/>
      </w:rPr>
      <w:drawing>
        <wp:inline distT="0" distB="0" distL="0" distR="0" wp14:anchorId="4591527C" wp14:editId="73162A6C">
          <wp:extent cx="2638425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666719" wp14:editId="578DF948">
          <wp:extent cx="3019425" cy="3714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D880" w14:textId="77777777" w:rsidR="00B97B89" w:rsidRPr="00C37DE3" w:rsidRDefault="00B97B89" w:rsidP="00AB0F61">
    <w:pPr>
      <w:pStyle w:val="Nagwek"/>
    </w:pPr>
  </w:p>
  <w:p w14:paraId="1829744F" w14:textId="47F6B451" w:rsidR="00B97B89" w:rsidRPr="00AB0F61" w:rsidRDefault="00B97B89" w:rsidP="00A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4"/>
  </w:num>
  <w:num w:numId="11">
    <w:abstractNumId w:val="24"/>
  </w:num>
  <w:num w:numId="12">
    <w:abstractNumId w:val="2"/>
  </w:num>
  <w:num w:numId="13">
    <w:abstractNumId w:val="75"/>
  </w:num>
  <w:num w:numId="14">
    <w:abstractNumId w:val="54"/>
  </w:num>
  <w:num w:numId="15">
    <w:abstractNumId w:val="50"/>
  </w:num>
  <w:num w:numId="16">
    <w:abstractNumId w:val="34"/>
  </w:num>
  <w:num w:numId="17">
    <w:abstractNumId w:val="48"/>
  </w:num>
  <w:num w:numId="18">
    <w:abstractNumId w:val="66"/>
  </w:num>
  <w:num w:numId="19">
    <w:abstractNumId w:val="65"/>
  </w:num>
  <w:num w:numId="20">
    <w:abstractNumId w:val="46"/>
  </w:num>
  <w:num w:numId="21">
    <w:abstractNumId w:val="26"/>
  </w:num>
  <w:num w:numId="22">
    <w:abstractNumId w:val="70"/>
  </w:num>
  <w:num w:numId="23">
    <w:abstractNumId w:val="42"/>
  </w:num>
  <w:num w:numId="24">
    <w:abstractNumId w:val="39"/>
  </w:num>
  <w:num w:numId="25">
    <w:abstractNumId w:val="21"/>
  </w:num>
  <w:num w:numId="26">
    <w:abstractNumId w:val="7"/>
  </w:num>
  <w:num w:numId="27">
    <w:abstractNumId w:val="36"/>
  </w:num>
  <w:num w:numId="28">
    <w:abstractNumId w:val="43"/>
  </w:num>
  <w:num w:numId="29">
    <w:abstractNumId w:val="71"/>
  </w:num>
  <w:num w:numId="30">
    <w:abstractNumId w:val="0"/>
  </w:num>
  <w:num w:numId="31">
    <w:abstractNumId w:val="3"/>
  </w:num>
  <w:num w:numId="32">
    <w:abstractNumId w:val="23"/>
  </w:num>
  <w:num w:numId="33">
    <w:abstractNumId w:val="41"/>
  </w:num>
  <w:num w:numId="34">
    <w:abstractNumId w:val="3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5"/>
  </w:num>
  <w:num w:numId="39">
    <w:abstractNumId w:val="59"/>
  </w:num>
  <w:num w:numId="40">
    <w:abstractNumId w:val="15"/>
  </w:num>
  <w:num w:numId="41">
    <w:abstractNumId w:val="16"/>
  </w:num>
  <w:num w:numId="42">
    <w:abstractNumId w:val="51"/>
  </w:num>
  <w:num w:numId="43">
    <w:abstractNumId w:val="63"/>
  </w:num>
  <w:num w:numId="44">
    <w:abstractNumId w:val="72"/>
  </w:num>
  <w:num w:numId="45">
    <w:abstractNumId w:val="73"/>
  </w:num>
  <w:num w:numId="46">
    <w:abstractNumId w:val="8"/>
  </w:num>
  <w:num w:numId="47">
    <w:abstractNumId w:val="68"/>
  </w:num>
  <w:num w:numId="48">
    <w:abstractNumId w:val="76"/>
  </w:num>
  <w:num w:numId="49">
    <w:abstractNumId w:val="58"/>
  </w:num>
  <w:num w:numId="50">
    <w:abstractNumId w:val="45"/>
  </w:num>
  <w:num w:numId="51">
    <w:abstractNumId w:val="12"/>
  </w:num>
  <w:num w:numId="52">
    <w:abstractNumId w:val="17"/>
  </w:num>
  <w:num w:numId="53">
    <w:abstractNumId w:val="38"/>
  </w:num>
  <w:num w:numId="54">
    <w:abstractNumId w:val="53"/>
  </w:num>
  <w:num w:numId="55">
    <w:abstractNumId w:val="13"/>
  </w:num>
  <w:num w:numId="56">
    <w:abstractNumId w:val="22"/>
  </w:num>
  <w:num w:numId="57">
    <w:abstractNumId w:val="62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1"/>
  </w:num>
  <w:num w:numId="63">
    <w:abstractNumId w:val="10"/>
  </w:num>
  <w:num w:numId="64">
    <w:abstractNumId w:val="64"/>
  </w:num>
  <w:num w:numId="65">
    <w:abstractNumId w:val="19"/>
  </w:num>
  <w:num w:numId="66">
    <w:abstractNumId w:val="67"/>
  </w:num>
  <w:num w:numId="67">
    <w:abstractNumId w:val="44"/>
  </w:num>
  <w:num w:numId="68">
    <w:abstractNumId w:val="47"/>
  </w:num>
  <w:num w:numId="69">
    <w:abstractNumId w:val="11"/>
  </w:num>
  <w:num w:numId="70">
    <w:abstractNumId w:val="52"/>
  </w:num>
  <w:num w:numId="71">
    <w:abstractNumId w:val="27"/>
  </w:num>
  <w:num w:numId="72">
    <w:abstractNumId w:val="57"/>
  </w:num>
  <w:num w:numId="73">
    <w:abstractNumId w:val="55"/>
  </w:num>
  <w:num w:numId="74">
    <w:abstractNumId w:val="9"/>
  </w:num>
  <w:num w:numId="75">
    <w:abstractNumId w:val="56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3B81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41C43"/>
    <w:rsid w:val="00461723"/>
    <w:rsid w:val="0047137E"/>
    <w:rsid w:val="00474C6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077F"/>
    <w:rsid w:val="005F2646"/>
    <w:rsid w:val="005F3ABF"/>
    <w:rsid w:val="006045DD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0F61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1FE6-D48F-436F-9187-643EA7C6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2024-02-28T14:27:00Z</dcterms:created>
  <dcterms:modified xsi:type="dcterms:W3CDTF">2024-02-28T14:27:00Z</dcterms:modified>
</cp:coreProperties>
</file>