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6EBA" w14:textId="77777777" w:rsidR="00831035" w:rsidRDefault="00757F74">
      <w:pPr>
        <w:pStyle w:val="Standard"/>
        <w:tabs>
          <w:tab w:val="left" w:pos="0"/>
        </w:tabs>
        <w:spacing w:line="264" w:lineRule="auto"/>
        <w:ind w:right="-142"/>
        <w:jc w:val="right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Załącznik nr 1 do Zaproszenia</w:t>
      </w:r>
    </w:p>
    <w:p w14:paraId="6EE6C343" w14:textId="77777777" w:rsidR="00831035" w:rsidRDefault="00757F74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WTT.236.73.2020</w:t>
      </w:r>
    </w:p>
    <w:p w14:paraId="25DDDE8C" w14:textId="77777777" w:rsidR="00831035" w:rsidRDefault="00831035">
      <w:pPr>
        <w:pStyle w:val="Standard"/>
        <w:tabs>
          <w:tab w:val="left" w:pos="0"/>
        </w:tabs>
        <w:spacing w:line="276" w:lineRule="auto"/>
        <w:ind w:right="-142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1464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12476"/>
      </w:tblGrid>
      <w:tr w:rsidR="00831035" w14:paraId="3FA21D18" w14:textId="77777777" w:rsidTr="00417A44">
        <w:tc>
          <w:tcPr>
            <w:tcW w:w="2173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BAF686A" w14:textId="77777777" w:rsidR="00831035" w:rsidRDefault="00757F7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Element/cecha</w:t>
            </w:r>
          </w:p>
        </w:tc>
        <w:tc>
          <w:tcPr>
            <w:tcW w:w="12476" w:type="dxa"/>
            <w:shd w:val="clear" w:color="auto" w:fill="D9D9D9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459642" w14:textId="77777777" w:rsidR="00831035" w:rsidRDefault="00757F7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Wymagania przedmiotu zamówienia dla pojedynczego kompletu monitoringu środowiskowego </w:t>
            </w:r>
            <w:r>
              <w:rPr>
                <w:rFonts w:ascii="Arial" w:hAnsi="Arial"/>
                <w:sz w:val="22"/>
                <w:szCs w:val="22"/>
              </w:rPr>
              <w:t>(wymagania minimalne)</w:t>
            </w:r>
          </w:p>
        </w:tc>
      </w:tr>
      <w:tr w:rsidR="00831035" w14:paraId="36DF4E0A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943079F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Funkcjonalność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B8839CD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System musi umożliwiać pomiar parametrów środowiskowych panujących w pomieszczeniu, informować o przekroczeniu zadanych wartości oraz sterować pracą zewnętrznych urządzeń.</w:t>
            </w:r>
          </w:p>
          <w:p w14:paraId="241E3B8D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Proponowany schemat połączeń systemu przedstawiono na rysunku pod tabelą wymagań</w:t>
            </w:r>
          </w:p>
        </w:tc>
      </w:tr>
      <w:tr w:rsidR="00831035" w14:paraId="1D8F26D0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FC1A9DB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Obsługiwane standardy magistral cyfrowych: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39DF054" w14:textId="77777777" w:rsidR="00831035" w:rsidRDefault="00757F74">
            <w:pPr>
              <w:pStyle w:val="TableContents"/>
              <w:numPr>
                <w:ilvl w:val="0"/>
                <w:numId w:val="9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1-wire</w:t>
            </w:r>
          </w:p>
          <w:p w14:paraId="4D19A214" w14:textId="77777777" w:rsidR="00831035" w:rsidRDefault="00757F74">
            <w:pPr>
              <w:pStyle w:val="TableContents"/>
              <w:numPr>
                <w:ilvl w:val="0"/>
                <w:numId w:val="4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I2C</w:t>
            </w:r>
          </w:p>
          <w:p w14:paraId="6B6BB1C1" w14:textId="77777777" w:rsidR="00831035" w:rsidRDefault="00757F74">
            <w:pPr>
              <w:pStyle w:val="TableContents"/>
              <w:numPr>
                <w:ilvl w:val="0"/>
                <w:numId w:val="4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modbus</w:t>
            </w:r>
            <w:proofErr w:type="spellEnd"/>
          </w:p>
        </w:tc>
      </w:tr>
      <w:tr w:rsidR="00831035" w14:paraId="7F710B00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7D0AA0B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Mierzone parametry (wejścia)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B182F7A" w14:textId="77777777" w:rsidR="00831035" w:rsidRDefault="00757F74">
            <w:pPr>
              <w:pStyle w:val="TableContents"/>
              <w:numPr>
                <w:ilvl w:val="0"/>
                <w:numId w:val="10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przynajmniej 4 czujniki temperatury pracujące w standardzie 1-wire</w:t>
            </w:r>
          </w:p>
          <w:p w14:paraId="29E2401A" w14:textId="77777777" w:rsidR="00831035" w:rsidRDefault="00757F74">
            <w:pPr>
              <w:pStyle w:val="TableContents"/>
              <w:numPr>
                <w:ilvl w:val="0"/>
                <w:numId w:val="3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przynajmniej 1 czujnik wilgotności/ciśnienia pracujący w standardzie I2C</w:t>
            </w:r>
          </w:p>
          <w:p w14:paraId="67C1E4AF" w14:textId="77777777" w:rsidR="00831035" w:rsidRDefault="00757F74">
            <w:pPr>
              <w:pStyle w:val="TableContents"/>
              <w:numPr>
                <w:ilvl w:val="0"/>
                <w:numId w:val="3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przynajmniej 4 wejścia analogowe w zakresie pomiarowym 0 – 3V</w:t>
            </w:r>
          </w:p>
          <w:p w14:paraId="146EF31B" w14:textId="77777777" w:rsidR="00831035" w:rsidRDefault="00757F74">
            <w:pPr>
              <w:pStyle w:val="TableContents"/>
              <w:numPr>
                <w:ilvl w:val="0"/>
                <w:numId w:val="3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przynajmniej 4 wejścia logiczne (czujniki zwarcia/otwarcia)</w:t>
            </w:r>
          </w:p>
        </w:tc>
      </w:tr>
      <w:tr w:rsidR="00831035" w14:paraId="7A9D396E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EC0080C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Sterowanie (wyjścia)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8017061" w14:textId="77777777" w:rsidR="00831035" w:rsidRDefault="00757F74">
            <w:pPr>
              <w:pStyle w:val="TableContents"/>
              <w:numPr>
                <w:ilvl w:val="0"/>
                <w:numId w:val="3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przynajmniej 4 przekaźniki (NO-C-NC) o obciążalności do 5A / 230V AC i 10A / 24V DC</w:t>
            </w:r>
          </w:p>
          <w:p w14:paraId="0A40FFAD" w14:textId="77777777" w:rsidR="00831035" w:rsidRDefault="00757F74">
            <w:pPr>
              <w:pStyle w:val="TableContents"/>
              <w:numPr>
                <w:ilvl w:val="0"/>
                <w:numId w:val="3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przynajmniej 4 wyjścia OC do sterowania przekaźnikami</w:t>
            </w:r>
          </w:p>
        </w:tc>
      </w:tr>
      <w:tr w:rsidR="00831035" w14:paraId="53F2C77D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CB129E4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Komunikacja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3A116A0" w14:textId="77777777" w:rsidR="00831035" w:rsidRDefault="00757F74">
            <w:pPr>
              <w:pStyle w:val="TableContents"/>
              <w:numPr>
                <w:ilvl w:val="0"/>
                <w:numId w:val="11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 Ethernet 10/100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/s</w:t>
            </w:r>
          </w:p>
          <w:p w14:paraId="45EDC946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moduł GSM (SIM lub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mikroSIM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nanoSIM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4E4F5167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wyświetlacz min. 4-liniowy</w:t>
            </w:r>
          </w:p>
        </w:tc>
      </w:tr>
      <w:tr w:rsidR="00831035" w14:paraId="3962E455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DBF5E8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Protokoły komunikacyjne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875838C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SMTP (z TLS)</w:t>
            </w:r>
          </w:p>
          <w:p w14:paraId="5F446986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MQTT</w:t>
            </w:r>
          </w:p>
          <w:p w14:paraId="5E912773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NTP</w:t>
            </w:r>
          </w:p>
          <w:p w14:paraId="01A34497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SNMP v 2c i 3 / Trap SNMP</w:t>
            </w:r>
          </w:p>
          <w:p w14:paraId="6F8B1837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DHCP</w:t>
            </w:r>
          </w:p>
          <w:p w14:paraId="462CDB23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HTTPS</w:t>
            </w:r>
          </w:p>
          <w:p w14:paraId="41DF94F9" w14:textId="77777777" w:rsidR="00831035" w:rsidRDefault="00757F74">
            <w:pPr>
              <w:pStyle w:val="TableContents"/>
              <w:numPr>
                <w:ilvl w:val="0"/>
                <w:numId w:val="5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HTTP GET</w:t>
            </w:r>
          </w:p>
        </w:tc>
      </w:tr>
      <w:tr w:rsidR="00831035" w14:paraId="2A11B580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1DE5C7C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Interfejs www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6A8EBF16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Komunikacja z urządzeniem za pomocą interfejsu www w minimalnym zakresie:</w:t>
            </w:r>
          </w:p>
          <w:p w14:paraId="0145981F" w14:textId="77777777" w:rsidR="00831035" w:rsidRDefault="00757F74">
            <w:pPr>
              <w:pStyle w:val="TableContents"/>
              <w:numPr>
                <w:ilvl w:val="0"/>
                <w:numId w:val="12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podgląd stanu wszystkich mierzonych wartości oraz stanu wejść logicznych i wyjść przekaźnikowych</w:t>
            </w:r>
          </w:p>
          <w:p w14:paraId="65E98AAB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t>możliwość ustawiania generowania zdarzeń w reakcji na przekroczenie zadanych wartości mierzonych parametrów</w:t>
            </w:r>
          </w:p>
          <w:p w14:paraId="4B799ECF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t>możliwość ustawiania generowania zdarzeń w reakcji na przekroczenie zdefiniowanej ilości utraconych pakietów PING dla zdefiniowanych (przynajmniej 4) adresów IP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watchdog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13CE4497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możliwość ustawiania generowania zdarzeń wg zdefiniowanego harmonogramu (np. codziennie o godz. 5:00, w każdy wtorek o godz. 23:00, co 4 godziny)</w:t>
            </w:r>
          </w:p>
          <w:p w14:paraId="6B2A2314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konfiguracja wymienionych wyżej protokołów komunikacyjnych</w:t>
            </w:r>
          </w:p>
          <w:p w14:paraId="4A90A862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zarządzanie podłączonymi czujnikami w tym definiowanie ich nazw</w:t>
            </w:r>
          </w:p>
          <w:p w14:paraId="2A9883A8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zarządzanie użytkownikami mającymi dostęp do urządzenia przez www</w:t>
            </w:r>
          </w:p>
          <w:p w14:paraId="37FF8585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możliwość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upgrade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firmware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do najnowszej wersji poprzez stronę/dodatkowe oprogramowanie</w:t>
            </w:r>
          </w:p>
          <w:p w14:paraId="60B20FB6" w14:textId="77777777" w:rsidR="00831035" w:rsidRDefault="00757F74">
            <w:pPr>
              <w:pStyle w:val="TableContents"/>
              <w:numPr>
                <w:ilvl w:val="0"/>
                <w:numId w:val="6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konfiguracja wyświetlacza</w:t>
            </w:r>
          </w:p>
        </w:tc>
      </w:tr>
      <w:tr w:rsidR="00831035" w14:paraId="48987960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46CB70F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Komunikacja GSM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59B77FD5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Komunikacja za pomocą sieci GSM musi umożliwiać co najmniej:</w:t>
            </w:r>
          </w:p>
          <w:p w14:paraId="6FAFEFDC" w14:textId="77777777" w:rsidR="00831035" w:rsidRDefault="00757F74">
            <w:pPr>
              <w:pStyle w:val="TableContents"/>
              <w:numPr>
                <w:ilvl w:val="0"/>
                <w:numId w:val="13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możliwość wysłania SMS-a o zdefiniowanej treści w reakcji na wygenerowane zdarzenia</w:t>
            </w:r>
          </w:p>
          <w:p w14:paraId="4B91B0D3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możliwość wysyłania danych na serwer,</w:t>
            </w:r>
          </w:p>
          <w:p w14:paraId="2F3969B1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wysłanie SMS-a w przypadku zaniku zasilania. Urządzenie musi posiadać bufor umożliwiający wysłanie SMS-a informującego, że urządzenie straciło źródło zasilania.</w:t>
            </w:r>
          </w:p>
        </w:tc>
      </w:tr>
      <w:tr w:rsidR="00831035" w14:paraId="0EDF7084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C753C0E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Wyświetlacz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588DB94E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Wyświetlacz  musi w sposób ciągły umożliwić wyświetlanie co najmniej:</w:t>
            </w:r>
          </w:p>
          <w:p w14:paraId="500AC578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t>stanu wejść analogowych /wyjść</w:t>
            </w:r>
          </w:p>
          <w:p w14:paraId="48466828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wartości mierzonych parametrów</w:t>
            </w:r>
          </w:p>
          <w:p w14:paraId="50169F05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czasu od włączenia urządzenia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upTime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831035" w14:paraId="7260F002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CEC286F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SNMP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AD7F1CD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Urządzenie musi zwracać informacje w minimalnym zakresie:</w:t>
            </w:r>
          </w:p>
          <w:p w14:paraId="4964509D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wartości wszystkich mierzonych parametrów</w:t>
            </w:r>
          </w:p>
          <w:p w14:paraId="28757CB7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stanu wejść/wyjść</w:t>
            </w:r>
          </w:p>
          <w:p w14:paraId="3E3E3E9D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UpTime</w:t>
            </w:r>
            <w:proofErr w:type="spellEnd"/>
          </w:p>
          <w:p w14:paraId="74F4E778" w14:textId="77777777" w:rsidR="00831035" w:rsidRDefault="00757F74">
            <w:pPr>
              <w:pStyle w:val="TableContents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Wraz z urządzeniem dostarczona będzie baza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OIDów</w:t>
            </w:r>
            <w:proofErr w:type="spellEnd"/>
          </w:p>
        </w:tc>
      </w:tr>
      <w:tr w:rsidR="00831035" w14:paraId="07A63358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BE48207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MQTT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585CFF6A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Dostawca musi dostarczyć nieograniczoną w czasie usługę serwera MQTT o minimalnych właściwościach:</w:t>
            </w:r>
          </w:p>
          <w:p w14:paraId="02BF5A2E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archiwizowanie danych z okresu ostatniego roku</w:t>
            </w:r>
          </w:p>
          <w:p w14:paraId="01F353EE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t>generowanie tabel oraz wykresów na podstawie przesłanych wartości</w:t>
            </w:r>
          </w:p>
          <w:p w14:paraId="6EE7944C" w14:textId="77777777" w:rsidR="00831035" w:rsidRDefault="00757F74">
            <w:pPr>
              <w:pStyle w:val="TableContents"/>
              <w:numPr>
                <w:ilvl w:val="0"/>
                <w:numId w:val="7"/>
              </w:numPr>
              <w:ind w:left="376"/>
              <w:jc w:val="both"/>
            </w:pPr>
            <w:r>
              <w:rPr>
                <w:rFonts w:ascii="Arial" w:hAnsi="Arial"/>
                <w:sz w:val="22"/>
                <w:szCs w:val="22"/>
              </w:rPr>
              <w:t>dostęp do aktualnych danych za pośrednictwem dedykowanej (darmowej) aplikacji na Androida</w:t>
            </w:r>
          </w:p>
          <w:p w14:paraId="45311959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Zamiast świadczenia usługi dostawca może przygotować obraz maszyny wirtualnej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VMWare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zawierającej taki serwer. Obraz zostanie dostarczony wraz z wszystkimi wymaganymi licencjami.</w:t>
            </w:r>
          </w:p>
        </w:tc>
      </w:tr>
      <w:tr w:rsidR="00831035" w14:paraId="64C86533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E0C5970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ACFE672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Obudowa zamykana, z możliwością montażu na ścianie. Drzwi obudowy z szyby lub z okienkiem umożliwiającym odczyt wyświetlacza</w:t>
            </w:r>
          </w:p>
        </w:tc>
      </w:tr>
      <w:tr w:rsidR="00831035" w14:paraId="15D4E4C9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76DF41CC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Mocowanie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6DEC1B01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Urządzenie oraz zasilacz muszą posiadać możliwość zamocowania na szynie DIN</w:t>
            </w:r>
          </w:p>
        </w:tc>
      </w:tr>
      <w:tr w:rsidR="00831035" w14:paraId="61328BE7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2359AA65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Zasilanie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1EAA115" w14:textId="77777777" w:rsidR="00831035" w:rsidRDefault="00757F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 230V z zastosowaniem zasilacza (montaż na szynie DIN) dostarczonego wraz z urządzeniem</w:t>
            </w:r>
          </w:p>
        </w:tc>
      </w:tr>
      <w:tr w:rsidR="00831035" w14:paraId="6D45740A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6B2DFE9F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Dołączone akcesoria: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5E8E1491" w14:textId="77777777" w:rsidR="00831035" w:rsidRDefault="00757F74">
            <w:pPr>
              <w:pStyle w:val="TableContents"/>
              <w:numPr>
                <w:ilvl w:val="0"/>
                <w:numId w:val="14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czujnik temperatury 1-Wire typu DS18B20</w:t>
            </w:r>
          </w:p>
          <w:p w14:paraId="0BB7F3CB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czujnik temperatury 1-Wire typu DS18B20 w wydaniu wodoszczelnym</w:t>
            </w:r>
          </w:p>
          <w:p w14:paraId="2B10628D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czujnik I2C typu BME280 (czujnik w wydaniu z gwintem umieszczony będzie w otworze obudowy)</w:t>
            </w:r>
          </w:p>
          <w:p w14:paraId="2EA190B8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czujnik światła (fotorezystor) z dobranym opornikiem drabinki rezystorowej</w:t>
            </w:r>
          </w:p>
          <w:p w14:paraId="07399FFD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</w:pPr>
            <w:r>
              <w:rPr>
                <w:rFonts w:ascii="Arial" w:hAnsi="Arial"/>
                <w:sz w:val="22"/>
                <w:szCs w:val="22"/>
              </w:rPr>
              <w:t>1 indukcyjny czujniki natężenia prądu AC do 20A 230V z otwieraną obejmą magnetyczną i wyjściem napięciowym dopasowanym do możliwości urządzenia</w:t>
            </w:r>
          </w:p>
          <w:p w14:paraId="48BB68C7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</w:pPr>
            <w:r>
              <w:rPr>
                <w:rFonts w:ascii="Arial" w:hAnsi="Arial"/>
                <w:sz w:val="22"/>
                <w:szCs w:val="22"/>
              </w:rPr>
              <w:t>1 sensor napięcia AC 1-fazowy do 450V z wyjściem napięciowym dopasowanym do możliwości urządzenia, montowany na szynę DIN</w:t>
            </w:r>
          </w:p>
          <w:p w14:paraId="58AF7927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</w:pPr>
            <w:r>
              <w:rPr>
                <w:rFonts w:ascii="Arial" w:hAnsi="Arial"/>
                <w:sz w:val="22"/>
                <w:szCs w:val="22"/>
              </w:rPr>
              <w:t xml:space="preserve">1 jednofazowy licznik energii elektrycznej (230V/15A) z obsługą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ModBus</w:t>
            </w:r>
            <w:proofErr w:type="spellEnd"/>
          </w:p>
          <w:p w14:paraId="5EC7A55B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magnetyczne czujnik otwarcia drzwi/okna (kontaktrony) w obudowie umożliwiającej przyklejenie i przykręcenie jej do framugi drzwi/okna. Styki śrubowe.</w:t>
            </w:r>
          </w:p>
          <w:p w14:paraId="2C1F8C3F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czujnik zalania (obecności wody na podłodze) w obudowie umożliwiającej jego trwałe przytwierdzenie</w:t>
            </w:r>
          </w:p>
          <w:p w14:paraId="51540DD9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</w:pPr>
            <w:r>
              <w:rPr>
                <w:rFonts w:ascii="Arial" w:hAnsi="Arial"/>
                <w:sz w:val="22"/>
                <w:szCs w:val="22"/>
              </w:rPr>
              <w:t xml:space="preserve">1 lampka sygnalizacyjna LED w kolorze czerwonym lub pomarańczowym, która aktywowana przekroczeniem wybranego parametru (np. temperatury) świeci światłem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migającym/pulsującym z częstotliwością ok 1 </w:t>
            </w:r>
            <w:proofErr w:type="spellStart"/>
            <w:r>
              <w:rPr>
                <w:rFonts w:ascii="Arial" w:hAnsi="Arial"/>
                <w:color w:val="auto"/>
                <w:sz w:val="22"/>
                <w:szCs w:val="22"/>
              </w:rPr>
              <w:t>Hz</w:t>
            </w:r>
            <w:proofErr w:type="spellEnd"/>
            <w:r>
              <w:rPr>
                <w:rFonts w:ascii="Arial" w:hAnsi="Arial"/>
                <w:color w:val="auto"/>
                <w:sz w:val="22"/>
                <w:szCs w:val="22"/>
              </w:rPr>
              <w:t>. Jasność lampki odpowiadająca żarówce 5W.</w:t>
            </w:r>
          </w:p>
          <w:p w14:paraId="20A42A2E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rozszerzenia interfejsów lub przekaźników wraz z ich okablowaniem w ilości niezbędnej dla zapewnienia spełnienia wymagań.</w:t>
            </w:r>
          </w:p>
          <w:p w14:paraId="54F2F336" w14:textId="77777777" w:rsidR="00831035" w:rsidRDefault="00757F74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Wszystkie czujnik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i (poza I2C)</w:t>
            </w: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a co najmniej 3-metrowym kablu z wtykami odpowiadającymi gniazdom (najlepiej RJ12) w dostarczonym urządzeniu   </w:t>
            </w:r>
          </w:p>
          <w:p w14:paraId="076949EB" w14:textId="77777777" w:rsidR="00831035" w:rsidRDefault="00757F74">
            <w:pPr>
              <w:pStyle w:val="TableContents"/>
              <w:numPr>
                <w:ilvl w:val="0"/>
                <w:numId w:val="1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Instrukcja obsługi w języku Polskim.</w:t>
            </w:r>
          </w:p>
        </w:tc>
      </w:tr>
      <w:tr w:rsidR="00831035" w14:paraId="5560DE4D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C81A244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Gwarancja dla całości zamówienia: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43ABD48" w14:textId="77777777" w:rsidR="00831035" w:rsidRDefault="00757F74">
            <w:pPr>
              <w:pStyle w:val="TableContents"/>
              <w:numPr>
                <w:ilvl w:val="0"/>
                <w:numId w:val="15"/>
              </w:numPr>
              <w:ind w:left="3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Czas trwania gwarancji: min. 24 miesięcy od daty odbioru.</w:t>
            </w:r>
          </w:p>
          <w:p w14:paraId="4C7C3DEF" w14:textId="77777777" w:rsidR="00831035" w:rsidRDefault="00757F74">
            <w:pPr>
              <w:pStyle w:val="TableContents"/>
              <w:numPr>
                <w:ilvl w:val="0"/>
                <w:numId w:val="2"/>
              </w:numPr>
              <w:ind w:left="365"/>
            </w:pPr>
            <w:r>
              <w:rPr>
                <w:rFonts w:ascii="Arial" w:hAnsi="Arial"/>
                <w:sz w:val="22"/>
                <w:szCs w:val="22"/>
              </w:rPr>
              <w:t xml:space="preserve">Rodzaj gwarancji: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-To-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Gwarancja świadczona będzie w serwisie Producenta</w:t>
            </w:r>
          </w:p>
        </w:tc>
      </w:tr>
      <w:tr w:rsidR="00831035" w14:paraId="31020746" w14:textId="77777777" w:rsidTr="00417A44"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003D2012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Wsparcie techniczne: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4403FBD3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Darmowa aktualizacja oprogramowania do najnowszej oferowanej przez Producenta wersji przez cały okres trwania gwarancji.</w:t>
            </w:r>
          </w:p>
          <w:p w14:paraId="67E0AAB6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Dostarczone rozwiązania i usługi (w tym MQTT) nie będą ograniczone czasowo w żadnym zakresie.</w:t>
            </w:r>
          </w:p>
        </w:tc>
      </w:tr>
      <w:tr w:rsidR="00831035" w14:paraId="3E7E383B" w14:textId="77777777" w:rsidTr="00417A44">
        <w:trPr>
          <w:trHeight w:val="419"/>
        </w:trPr>
        <w:tc>
          <w:tcPr>
            <w:tcW w:w="2173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35DDC546" w14:textId="77777777" w:rsidR="00831035" w:rsidRDefault="00757F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 techniczny:</w:t>
            </w:r>
          </w:p>
        </w:tc>
        <w:tc>
          <w:tcPr>
            <w:tcW w:w="1247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14:paraId="17E5D4CA" w14:textId="77777777" w:rsidR="00831035" w:rsidRDefault="00757F74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Całość dostarczanego sprzętu i oprogramowania musi być nowa,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nierefabrykowana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 wcześniej nieużywana.</w:t>
            </w:r>
          </w:p>
          <w:p w14:paraId="6721125C" w14:textId="77777777" w:rsidR="00831035" w:rsidRDefault="00757F74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Wszystkie elementy składowe urządzenia w tym sensory i przekaźniki (poza czujnikami i licznikiem) muszą być zamontowane na szynie DIN wewnątrz obudowy i połączone w sposób umożliwiający ich prawidłową pracą.</w:t>
            </w:r>
          </w:p>
          <w:p w14:paraId="7ACA5079" w14:textId="77777777" w:rsidR="00831035" w:rsidRDefault="00757F74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Zakończenia kabli czujników w okolicy wtyku będą trwale oznaczone w sposób identyfikujący je z gniazdem, gdzie powinny być podłączone.</w:t>
            </w:r>
          </w:p>
        </w:tc>
      </w:tr>
    </w:tbl>
    <w:p w14:paraId="0B3FF618" w14:textId="77777777" w:rsidR="00831035" w:rsidRDefault="00831035">
      <w:pPr>
        <w:pStyle w:val="Standard"/>
        <w:rPr>
          <w:rFonts w:ascii="Arial" w:hAnsi="Arial"/>
          <w:sz w:val="22"/>
          <w:szCs w:val="22"/>
        </w:rPr>
      </w:pPr>
    </w:p>
    <w:p w14:paraId="2FD0B536" w14:textId="77777777" w:rsidR="00831035" w:rsidRDefault="00757F7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sz w:val="22"/>
          <w:szCs w:val="22"/>
        </w:rPr>
        <w:t>: Wykonawca oświadcza, że podane przez niego informacje są zgodne z prawdą i że w przypadku wyboru jego oferty poniesie on pełną odpowiedzialność za realizację zamówienia zgodnie z wymienionymi tu warunkami. Zamawiający dopuszcza rozwiązania z lepszymi parametrami, od tych, które określono w niniejszych wymaganiach.</w:t>
      </w:r>
    </w:p>
    <w:p w14:paraId="74C49ED2" w14:textId="77777777" w:rsidR="00831035" w:rsidRDefault="00757F74">
      <w:pPr>
        <w:pStyle w:val="Standard"/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60DE60F" wp14:editId="4E3FAC6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86879" cy="5993280"/>
            <wp:effectExtent l="0" t="0" r="0" b="7470"/>
            <wp:wrapTopAndBottom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879" cy="599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035">
      <w:footerReference w:type="default" r:id="rId8"/>
      <w:pgSz w:w="16838" w:h="11906" w:orient="landscape"/>
      <w:pgMar w:top="1020" w:right="1020" w:bottom="1409" w:left="1020" w:header="708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5C0B" w14:textId="77777777" w:rsidR="00475D55" w:rsidRDefault="00757F74">
      <w:r>
        <w:separator/>
      </w:r>
    </w:p>
  </w:endnote>
  <w:endnote w:type="continuationSeparator" w:id="0">
    <w:p w14:paraId="5F93829D" w14:textId="77777777" w:rsidR="00475D55" w:rsidRDefault="007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044A" w14:textId="77777777" w:rsidR="00F93146" w:rsidRDefault="00757F74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fldSimple w:instr=" NUMPAGES ">
      <w:r>
        <w:t>4</w:t>
      </w:r>
    </w:fldSimple>
    <w:r>
      <w:tab/>
    </w:r>
    <w:r>
      <w:rPr>
        <w:i/>
        <w:color w:val="000000"/>
        <w:sz w:val="20"/>
        <w:szCs w:val="20"/>
      </w:rPr>
      <w:t>Załącznik nr 1 do Zaproszenia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0AC2" w14:textId="77777777" w:rsidR="00475D55" w:rsidRDefault="00757F74">
      <w:r>
        <w:rPr>
          <w:color w:val="000000"/>
        </w:rPr>
        <w:separator/>
      </w:r>
    </w:p>
  </w:footnote>
  <w:footnote w:type="continuationSeparator" w:id="0">
    <w:p w14:paraId="52609DE8" w14:textId="77777777" w:rsidR="00475D55" w:rsidRDefault="0075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478"/>
    <w:multiLevelType w:val="multilevel"/>
    <w:tmpl w:val="FBD0E2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9B2ACA"/>
    <w:multiLevelType w:val="multilevel"/>
    <w:tmpl w:val="787E1BD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CAF20F7"/>
    <w:multiLevelType w:val="multilevel"/>
    <w:tmpl w:val="C54A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393B00"/>
    <w:multiLevelType w:val="multilevel"/>
    <w:tmpl w:val="3E3ABB7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8B30B49"/>
    <w:multiLevelType w:val="multilevel"/>
    <w:tmpl w:val="3C1092C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A8F63D2"/>
    <w:multiLevelType w:val="multilevel"/>
    <w:tmpl w:val="54800B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42D57EF"/>
    <w:multiLevelType w:val="multilevel"/>
    <w:tmpl w:val="8C4CD2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AD443E2"/>
    <w:multiLevelType w:val="multilevel"/>
    <w:tmpl w:val="083E87C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5"/>
    <w:rsid w:val="00417A44"/>
    <w:rsid w:val="00475D55"/>
    <w:rsid w:val="00757F74"/>
    <w:rsid w:val="008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E1C"/>
  <w15:docId w15:val="{225988C9-7C2C-41B1-B6DB-450F025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SimSun" w:hAnsi="Liberation Serif" w:cs="Liberation Serif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Mangal"/>
      <w:color w:val="1F4D7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EndnoteSymbol">
    <w:name w:val="Endnote Symbol"/>
    <w:basedOn w:val="Standard"/>
    <w:rPr>
      <w:rFonts w:cs="Mangal"/>
      <w:sz w:val="20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Mangal"/>
      <w:color w:val="1F4D78"/>
      <w:szCs w:val="21"/>
    </w:rPr>
  </w:style>
  <w:style w:type="character" w:customStyle="1" w:styleId="ListLabel1">
    <w:name w:val="ListLabel 1"/>
    <w:rPr>
      <w:rFonts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Nowak</dc:creator>
  <cp:lastModifiedBy>Ryszard Sałek</cp:lastModifiedBy>
  <cp:revision>3</cp:revision>
  <cp:lastPrinted>2020-10-06T11:41:00Z</cp:lastPrinted>
  <dcterms:created xsi:type="dcterms:W3CDTF">2020-10-30T18:24:00Z</dcterms:created>
  <dcterms:modified xsi:type="dcterms:W3CDTF">2020-10-30T18:26:00Z</dcterms:modified>
</cp:coreProperties>
</file>