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1E" w:rsidRPr="005D22D5" w:rsidRDefault="00E238D4" w:rsidP="00E238D4">
      <w:pPr>
        <w:pStyle w:val="Tretekstu"/>
        <w:jc w:val="right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  <w:r w:rsidRPr="005D22D5">
        <w:rPr>
          <w:rFonts w:ascii="Calibri" w:hAnsi="Calibri" w:cs="Calibri"/>
          <w:i/>
          <w:sz w:val="22"/>
          <w:szCs w:val="22"/>
        </w:rPr>
        <w:t xml:space="preserve">Załącznik Nr </w:t>
      </w:r>
      <w:r w:rsidR="007B063E" w:rsidRPr="005D22D5">
        <w:rPr>
          <w:rFonts w:ascii="Calibri" w:hAnsi="Calibri" w:cs="Calibri"/>
          <w:i/>
          <w:sz w:val="22"/>
          <w:szCs w:val="22"/>
        </w:rPr>
        <w:t>2</w:t>
      </w:r>
    </w:p>
    <w:p w:rsidR="0069670C" w:rsidRPr="005D22D5" w:rsidRDefault="0069670C" w:rsidP="0069670C">
      <w:pPr>
        <w:rPr>
          <w:rFonts w:ascii="Calibri" w:hAnsi="Calibri" w:cs="Calibri"/>
          <w:sz w:val="22"/>
          <w:szCs w:val="22"/>
        </w:rPr>
      </w:pPr>
      <w:bookmarkStart w:id="1" w:name="__DdeLink__272_1595947681"/>
      <w:bookmarkEnd w:id="1"/>
    </w:p>
    <w:p w:rsidR="0069670C" w:rsidRPr="005D22D5" w:rsidRDefault="0069670C" w:rsidP="00E238D4">
      <w:pPr>
        <w:jc w:val="center"/>
        <w:rPr>
          <w:rFonts w:ascii="Calibri" w:hAnsi="Calibri" w:cs="Calibri"/>
          <w:sz w:val="22"/>
          <w:szCs w:val="22"/>
        </w:rPr>
      </w:pPr>
    </w:p>
    <w:p w:rsidR="00A7411E" w:rsidRPr="005D22D5" w:rsidRDefault="007B063E" w:rsidP="00E238D4">
      <w:pPr>
        <w:jc w:val="center"/>
        <w:rPr>
          <w:rFonts w:ascii="Calibri" w:hAnsi="Calibri" w:cs="Calibri"/>
          <w:b/>
          <w:sz w:val="22"/>
          <w:szCs w:val="22"/>
        </w:rPr>
      </w:pPr>
      <w:r w:rsidRPr="005D22D5">
        <w:rPr>
          <w:rFonts w:ascii="Calibri" w:hAnsi="Calibri" w:cs="Calibri"/>
          <w:b/>
          <w:sz w:val="22"/>
          <w:szCs w:val="22"/>
        </w:rPr>
        <w:t>Opis przedmiotu zamówienia</w:t>
      </w:r>
    </w:p>
    <w:p w:rsidR="00813026" w:rsidRPr="005D22D5" w:rsidRDefault="00813026" w:rsidP="00813026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>Przedmiotem zamówienia jest:</w:t>
      </w:r>
    </w:p>
    <w:p w:rsidR="00813026" w:rsidRPr="005D22D5" w:rsidRDefault="00813026" w:rsidP="00813026">
      <w:pPr>
        <w:pStyle w:val="NormalnyWeb"/>
        <w:numPr>
          <w:ilvl w:val="0"/>
          <w:numId w:val="7"/>
        </w:numPr>
        <w:spacing w:before="0" w:after="0"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 xml:space="preserve">Wykonywanie </w:t>
      </w:r>
      <w:r w:rsidR="008B51E5">
        <w:rPr>
          <w:rFonts w:ascii="Calibri" w:hAnsi="Calibri" w:cs="Calibri"/>
          <w:bCs/>
          <w:sz w:val="22"/>
          <w:szCs w:val="22"/>
        </w:rPr>
        <w:t>czterech</w:t>
      </w:r>
      <w:r w:rsidRPr="005D22D5">
        <w:rPr>
          <w:rFonts w:ascii="Calibri" w:hAnsi="Calibri" w:cs="Calibri"/>
          <w:bCs/>
          <w:sz w:val="22"/>
          <w:szCs w:val="22"/>
        </w:rPr>
        <w:t xml:space="preserve"> </w:t>
      </w:r>
      <w:r w:rsidRPr="005D22D5">
        <w:rPr>
          <w:rFonts w:ascii="Calibri" w:hAnsi="Calibri" w:cs="Calibri"/>
          <w:sz w:val="22"/>
          <w:szCs w:val="22"/>
        </w:rPr>
        <w:t>serwisowych przeglądów i</w:t>
      </w:r>
      <w:r w:rsidRPr="005D22D5">
        <w:rPr>
          <w:rFonts w:ascii="Calibri" w:hAnsi="Calibri" w:cs="Calibri"/>
          <w:bCs/>
          <w:sz w:val="22"/>
          <w:szCs w:val="22"/>
        </w:rPr>
        <w:t xml:space="preserve"> konserwacji central klimatyzacyjnych i wentylacyjnych, nawilżaczy parowych oraz agregatów wody lodowej wraz z ich infrastrukturą techniczną.</w:t>
      </w:r>
    </w:p>
    <w:p w:rsidR="00813026" w:rsidRPr="005D22D5" w:rsidRDefault="00813026" w:rsidP="00813026">
      <w:pPr>
        <w:pStyle w:val="NormalnyWeb"/>
        <w:numPr>
          <w:ilvl w:val="0"/>
          <w:numId w:val="7"/>
        </w:numPr>
        <w:spacing w:before="0" w:after="0"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 xml:space="preserve">Utrzymanie przez cały okres trwania umowy instalacji i urządzeń wymienionych w ust. 2 w stanie technicznym zapewniającym ich maksymalnie sprawną i bezawaryjną eksploatację poprzez wykonywanie bieżących napraw, w tym dostawę materiałów i części eksploatacyjnych niezbędnych do wykonania konserwacji i napraw. </w:t>
      </w:r>
    </w:p>
    <w:p w:rsidR="00813026" w:rsidRPr="005D22D5" w:rsidRDefault="00813026" w:rsidP="00813026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>Wykaz urządzeń objętych przedmiotem zamówienia: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7"/>
        <w:gridCol w:w="2244"/>
        <w:gridCol w:w="2302"/>
        <w:gridCol w:w="2552"/>
        <w:gridCol w:w="1417"/>
      </w:tblGrid>
      <w:tr w:rsidR="00813026" w:rsidRPr="005D22D5" w:rsidTr="00905EAA"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D22D5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D22D5">
              <w:rPr>
                <w:rFonts w:ascii="Calibri" w:hAnsi="Calibri" w:cs="Calibri"/>
                <w:b/>
                <w:sz w:val="22"/>
                <w:szCs w:val="22"/>
              </w:rPr>
              <w:t>Urządzenie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D22D5">
              <w:rPr>
                <w:rFonts w:ascii="Calibri" w:hAnsi="Calibri" w:cs="Calibri"/>
                <w:b/>
                <w:sz w:val="22"/>
                <w:szCs w:val="22"/>
              </w:rPr>
              <w:t>Typ/model urządzenia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D22D5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D22D5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</w:tr>
      <w:tr w:rsidR="00813026" w:rsidRPr="005D22D5" w:rsidTr="00905EAA">
        <w:trPr>
          <w:trHeight w:val="503"/>
        </w:trPr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Centrala wentylacyjna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 xml:space="preserve"> GOLD 70 ERX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22D5">
              <w:rPr>
                <w:rFonts w:ascii="Calibri" w:hAnsi="Calibri" w:cs="Calibri"/>
                <w:sz w:val="22"/>
                <w:szCs w:val="22"/>
              </w:rPr>
              <w:t>Swegon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</w:tr>
      <w:tr w:rsidR="00813026" w:rsidRPr="005D22D5" w:rsidTr="00905EAA">
        <w:trPr>
          <w:trHeight w:val="503"/>
        </w:trPr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 xml:space="preserve">Centrala wentylacyjna 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 xml:space="preserve">GOLD 14 ERX 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22D5">
              <w:rPr>
                <w:rFonts w:ascii="Calibri" w:hAnsi="Calibri" w:cs="Calibri"/>
                <w:sz w:val="22"/>
                <w:szCs w:val="22"/>
              </w:rPr>
              <w:t>Swegon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</w:tr>
      <w:tr w:rsidR="00813026" w:rsidRPr="005D22D5" w:rsidTr="00905EAA"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spacing w:after="24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Nawilżacz parowy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 xml:space="preserve">CP3 PRO 15 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CONDAIR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</w:tr>
      <w:tr w:rsidR="00813026" w:rsidRPr="005D22D5" w:rsidTr="00905EAA">
        <w:trPr>
          <w:trHeight w:val="519"/>
        </w:trPr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Nawilżacz parowy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 xml:space="preserve">CP3 PRO 60 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CONDAIR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</w:tr>
      <w:tr w:rsidR="00813026" w:rsidRPr="005D22D5" w:rsidTr="00905EAA">
        <w:trPr>
          <w:trHeight w:val="558"/>
        </w:trPr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Agregat wody lodowej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TEAL 20,3 ST 1 PS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22D5">
              <w:rPr>
                <w:rFonts w:ascii="Calibri" w:hAnsi="Calibri" w:cs="Calibri"/>
                <w:sz w:val="22"/>
                <w:szCs w:val="22"/>
              </w:rPr>
              <w:t>Swegon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</w:tr>
      <w:tr w:rsidR="00813026" w:rsidRPr="005D22D5" w:rsidTr="00905EAA">
        <w:trPr>
          <w:trHeight w:val="558"/>
        </w:trPr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Agregat wody lodowej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CELEST 37 ST 1 PS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22D5">
              <w:rPr>
                <w:rFonts w:ascii="Calibri" w:hAnsi="Calibri" w:cs="Calibri"/>
                <w:sz w:val="22"/>
                <w:szCs w:val="22"/>
              </w:rPr>
              <w:t>Swegon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</w:tr>
      <w:tr w:rsidR="00813026" w:rsidRPr="005D22D5" w:rsidTr="00905EAA">
        <w:trPr>
          <w:trHeight w:val="558"/>
        </w:trPr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Centrala klimatyzacyjna dachowa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22D5">
              <w:rPr>
                <w:rFonts w:ascii="Calibri" w:hAnsi="Calibri" w:cs="Calibri"/>
                <w:sz w:val="22"/>
                <w:szCs w:val="22"/>
              </w:rPr>
              <w:t>BD-MINI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</w:rPr>
              <w:t>(50)-P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VBW Engineering Sp. z </w:t>
            </w:r>
            <w:proofErr w:type="spellStart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o.o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szt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813026" w:rsidRPr="005D22D5" w:rsidTr="00905EAA">
        <w:trPr>
          <w:trHeight w:val="558"/>
        </w:trPr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 xml:space="preserve">8. 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Centrala klimatyzacyjna dachowa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22D5">
              <w:rPr>
                <w:rFonts w:ascii="Calibri" w:hAnsi="Calibri" w:cs="Calibri"/>
                <w:sz w:val="22"/>
                <w:szCs w:val="22"/>
              </w:rPr>
              <w:t>BD-MINI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</w:rPr>
              <w:t>(50)-L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VBW Engineering Sp. z </w:t>
            </w:r>
            <w:proofErr w:type="spellStart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o.o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szt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813026" w:rsidRPr="005D22D5" w:rsidTr="00905EAA">
        <w:trPr>
          <w:trHeight w:val="558"/>
        </w:trPr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Centrala klimatyzacyjna dachowa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BD-2(50)-P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VBW Engineering Sp. z </w:t>
            </w:r>
            <w:proofErr w:type="spellStart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o.o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szt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813026" w:rsidRPr="005D22D5" w:rsidTr="00905EAA">
        <w:trPr>
          <w:trHeight w:val="558"/>
        </w:trPr>
        <w:tc>
          <w:tcPr>
            <w:tcW w:w="557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244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Centrala klimatyzacyjna dachowa</w:t>
            </w:r>
          </w:p>
        </w:tc>
        <w:tc>
          <w:tcPr>
            <w:tcW w:w="2302" w:type="dxa"/>
          </w:tcPr>
          <w:p w:rsidR="00813026" w:rsidRPr="005D22D5" w:rsidRDefault="00813026" w:rsidP="00905EAA">
            <w:pPr>
              <w:pStyle w:val="Tekstpodstawowy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22D5">
              <w:rPr>
                <w:rFonts w:ascii="Calibri" w:hAnsi="Calibri" w:cs="Calibri"/>
                <w:sz w:val="22"/>
                <w:szCs w:val="22"/>
              </w:rPr>
              <w:t>BD-2(50)-L</w:t>
            </w:r>
          </w:p>
        </w:tc>
        <w:tc>
          <w:tcPr>
            <w:tcW w:w="2552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VBW Engineering Sp. z </w:t>
            </w:r>
            <w:proofErr w:type="spellStart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o.o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813026" w:rsidRPr="005D22D5" w:rsidRDefault="00813026" w:rsidP="00905EA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szt</w:t>
            </w:r>
            <w:proofErr w:type="spellEnd"/>
            <w:r w:rsidRPr="005D22D5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</w:tbl>
    <w:p w:rsidR="00813026" w:rsidRPr="005D22D5" w:rsidRDefault="00813026" w:rsidP="00813026">
      <w:pPr>
        <w:pStyle w:val="NormalnyWeb"/>
        <w:spacing w:before="0" w:after="0" w:line="276" w:lineRule="auto"/>
        <w:ind w:left="360"/>
        <w:rPr>
          <w:rFonts w:ascii="Calibri" w:hAnsi="Calibri" w:cs="Calibri"/>
          <w:bCs/>
          <w:sz w:val="22"/>
          <w:szCs w:val="22"/>
        </w:rPr>
      </w:pPr>
    </w:p>
    <w:p w:rsidR="00813026" w:rsidRPr="005D22D5" w:rsidRDefault="00813026" w:rsidP="00813026">
      <w:pPr>
        <w:widowControl/>
        <w:numPr>
          <w:ilvl w:val="0"/>
          <w:numId w:val="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 xml:space="preserve">Wykonawca w ramach okresowych przeglądów serwisowych i konserwacji urządzeń zobowiązany jest wykonać każdorazowo następujące czynności: 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rPr>
          <w:rFonts w:cs="Calibri"/>
          <w:b/>
          <w:sz w:val="22"/>
          <w:szCs w:val="22"/>
        </w:rPr>
      </w:pPr>
      <w:r w:rsidRPr="005D22D5">
        <w:rPr>
          <w:rFonts w:cs="Calibri"/>
          <w:b/>
          <w:sz w:val="22"/>
          <w:szCs w:val="22"/>
        </w:rPr>
        <w:t>Centrale wentylacyjne i klimatyzacyjne (czynności do wykonania zależnie od typu centrali):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sprawdzenie poprawności działania, wydajności oraz parametrów pracy central;</w:t>
      </w:r>
    </w:p>
    <w:p w:rsidR="00813026" w:rsidRPr="005D22D5" w:rsidRDefault="00813026" w:rsidP="00813026">
      <w:pPr>
        <w:pStyle w:val="Tekstpodstawowywcity2"/>
        <w:numPr>
          <w:ilvl w:val="0"/>
          <w:numId w:val="2"/>
        </w:numPr>
        <w:suppressAutoHyphens w:val="0"/>
        <w:spacing w:after="0" w:line="276" w:lineRule="auto"/>
        <w:rPr>
          <w:rFonts w:ascii="Calibri" w:hAnsi="Calibri" w:cs="Calibri"/>
          <w:sz w:val="22"/>
          <w:szCs w:val="22"/>
        </w:rPr>
      </w:pPr>
      <w:r w:rsidRPr="005D22D5">
        <w:rPr>
          <w:rFonts w:ascii="Calibri" w:hAnsi="Calibri" w:cs="Calibri"/>
          <w:sz w:val="22"/>
          <w:szCs w:val="22"/>
        </w:rPr>
        <w:t xml:space="preserve">sekcja nagrzewnicy – kontrola: szczelności, poprawności działania zabezpieczeń </w:t>
      </w:r>
      <w:proofErr w:type="spellStart"/>
      <w:r w:rsidRPr="005D22D5">
        <w:rPr>
          <w:rFonts w:ascii="Calibri" w:hAnsi="Calibri" w:cs="Calibri"/>
          <w:sz w:val="22"/>
          <w:szCs w:val="22"/>
        </w:rPr>
        <w:t>przeciwzamrożeniowych</w:t>
      </w:r>
      <w:proofErr w:type="spellEnd"/>
      <w:r w:rsidRPr="005D22D5">
        <w:rPr>
          <w:rFonts w:ascii="Calibri" w:hAnsi="Calibri" w:cs="Calibri"/>
          <w:sz w:val="22"/>
          <w:szCs w:val="22"/>
        </w:rPr>
        <w:t>, czujników temperatury, czystości lameli;</w:t>
      </w:r>
    </w:p>
    <w:p w:rsidR="00813026" w:rsidRPr="005D22D5" w:rsidRDefault="00813026" w:rsidP="00813026">
      <w:pPr>
        <w:pStyle w:val="Tekstpodstawowywcity2"/>
        <w:numPr>
          <w:ilvl w:val="0"/>
          <w:numId w:val="2"/>
        </w:numPr>
        <w:suppressAutoHyphens w:val="0"/>
        <w:spacing w:after="0" w:line="276" w:lineRule="auto"/>
        <w:rPr>
          <w:rFonts w:ascii="Calibri" w:hAnsi="Calibri" w:cs="Calibri"/>
          <w:sz w:val="22"/>
          <w:szCs w:val="22"/>
        </w:rPr>
      </w:pPr>
      <w:r w:rsidRPr="005D22D5">
        <w:rPr>
          <w:rFonts w:ascii="Calibri" w:hAnsi="Calibri" w:cs="Calibri"/>
          <w:sz w:val="22"/>
          <w:szCs w:val="22"/>
        </w:rPr>
        <w:t>sekcja wymiennika rotacyjnego – kontrola poprawności pracy rotora, naciągu i stanu paska, pracy silnika, czystości sekcji;</w:t>
      </w:r>
    </w:p>
    <w:p w:rsidR="00813026" w:rsidRPr="005D22D5" w:rsidRDefault="00813026" w:rsidP="00813026">
      <w:pPr>
        <w:pStyle w:val="Tekstpodstawowywcity"/>
        <w:numPr>
          <w:ilvl w:val="0"/>
          <w:numId w:val="2"/>
        </w:numPr>
        <w:suppressAutoHyphens w:val="0"/>
        <w:spacing w:after="0" w:line="276" w:lineRule="auto"/>
        <w:rPr>
          <w:rFonts w:ascii="Calibri" w:hAnsi="Calibri" w:cs="Calibri"/>
          <w:sz w:val="22"/>
          <w:szCs w:val="22"/>
        </w:rPr>
      </w:pPr>
      <w:r w:rsidRPr="005D22D5">
        <w:rPr>
          <w:rFonts w:ascii="Calibri" w:hAnsi="Calibri" w:cs="Calibri"/>
          <w:sz w:val="22"/>
          <w:szCs w:val="22"/>
        </w:rPr>
        <w:lastRenderedPageBreak/>
        <w:t>sekcja wentylatora – kontrola: poprawności i ewentualna regulacja pracy silnika, wirnika,</w:t>
      </w:r>
      <w:r w:rsidR="00AC295B">
        <w:rPr>
          <w:rFonts w:ascii="Calibri" w:hAnsi="Calibri" w:cs="Calibri"/>
          <w:sz w:val="22"/>
          <w:szCs w:val="22"/>
        </w:rPr>
        <w:t xml:space="preserve"> </w:t>
      </w:r>
      <w:r w:rsidRPr="005D22D5">
        <w:rPr>
          <w:rFonts w:ascii="Calibri" w:hAnsi="Calibri" w:cs="Calibri"/>
          <w:sz w:val="22"/>
          <w:szCs w:val="22"/>
        </w:rPr>
        <w:t>łożysk, sprawdzenie czystości sekcji, stanu króćców elastycznych;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sekcja filtrów powietrza – kontrola stanu filtrów i przepustnicy powietrza pod względem mechanicznym oraz sprawdzenie czystości sekcji filtrów i przepustnicy; wymiana filtrów;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układ zasilania i sterowania – test automatyki, kontrola stanu połączeń oraz izolacji elektrycznej, sprawdzenie nastaw regulatorów, test automatyki, kontrola działania elementów wykonawczych jak siłowniki, zaworów regulacyjnych i przepustnic;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czyszczenie central i dezynfekcja wymienników (nagrzewnice, chłodnice, parowniki, skraplacze);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uzupełnienie materiałów smarnych w łożyskach;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korekta programu i nastaw wg życzeń Zamawiającego, kalibracja centrali;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2"/>
        </w:numPr>
        <w:suppressAutoHyphens w:val="0"/>
        <w:spacing w:after="240"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zmiany nastaw parametrów central na życzenie Zamawiającego: godziny pracy, temperatury nawiewu, wywiewu, godzin pracy itd.;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2"/>
        </w:numPr>
        <w:suppressAutoHyphens w:val="0"/>
        <w:spacing w:after="240"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inne czynności konserwacyjne konieczne do utrzymania central w ciągłej sprawności technicznej, zgodnie z obowiązującymi w tym zakresie przepisami, normami oraz z ich dokumentacją techniczno-ruchową.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5"/>
        </w:numPr>
        <w:suppressAutoHyphens w:val="0"/>
        <w:spacing w:before="240" w:line="276" w:lineRule="auto"/>
        <w:rPr>
          <w:rFonts w:cs="Calibri"/>
          <w:b/>
          <w:sz w:val="22"/>
          <w:szCs w:val="22"/>
        </w:rPr>
      </w:pPr>
      <w:r w:rsidRPr="005D22D5">
        <w:rPr>
          <w:rFonts w:cs="Calibri"/>
          <w:b/>
          <w:sz w:val="22"/>
          <w:szCs w:val="22"/>
        </w:rPr>
        <w:t>Nawilżacze parowe: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kontrola instalacji wodnej pod kątem nieszczelności i uszkodzeń;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 xml:space="preserve">kontrola drożności spustu wody i </w:t>
      </w:r>
      <w:proofErr w:type="spellStart"/>
      <w:r w:rsidRPr="005D22D5">
        <w:rPr>
          <w:rFonts w:cs="Calibri"/>
          <w:sz w:val="22"/>
          <w:szCs w:val="22"/>
        </w:rPr>
        <w:t>kondensu</w:t>
      </w:r>
      <w:proofErr w:type="spellEnd"/>
      <w:r w:rsidRPr="005D22D5">
        <w:rPr>
          <w:rFonts w:cs="Calibri"/>
          <w:sz w:val="22"/>
          <w:szCs w:val="22"/>
        </w:rPr>
        <w:t>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 xml:space="preserve">kontrola instalacji elektrycznej; 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 xml:space="preserve">kontrola nawilżacza pod kątem ewentualnych uszkodzeń; 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 xml:space="preserve">rozebranie i wyczyszczenie cylindra wodnego; 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 xml:space="preserve">sprawdzenie wewnętrznych komponentów nawilżacza pod kątem uszkodzeń; 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 xml:space="preserve">test automatyki, sprawdzenie </w:t>
      </w:r>
      <w:proofErr w:type="spellStart"/>
      <w:r w:rsidRPr="005D22D5">
        <w:rPr>
          <w:rFonts w:cs="Calibri"/>
          <w:sz w:val="22"/>
          <w:szCs w:val="22"/>
        </w:rPr>
        <w:t>nastawów</w:t>
      </w:r>
      <w:proofErr w:type="spellEnd"/>
      <w:r w:rsidRPr="005D22D5">
        <w:rPr>
          <w:rFonts w:cs="Calibri"/>
          <w:sz w:val="22"/>
          <w:szCs w:val="22"/>
        </w:rPr>
        <w:t xml:space="preserve"> regulatorów, kontrola działania elementów wykonawczych;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3"/>
        </w:numPr>
        <w:suppressAutoHyphens w:val="0"/>
        <w:spacing w:after="240"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inne czynności konserwacyjne konieczne do utrzymania nawilżaczy w ciągłej sprawności technicznej, zgodnie z obowiązującymi w tym zakresie przepisami, normami oraz z ich dokumentacją techniczno-ruchową.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rPr>
          <w:rFonts w:cs="Calibri"/>
          <w:b/>
          <w:sz w:val="22"/>
          <w:szCs w:val="22"/>
        </w:rPr>
      </w:pPr>
      <w:r w:rsidRPr="005D22D5">
        <w:rPr>
          <w:rFonts w:cs="Calibri"/>
          <w:b/>
          <w:sz w:val="22"/>
          <w:szCs w:val="22"/>
        </w:rPr>
        <w:t>Agregaty wody lodowej: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sprawdzenie sprężarek, pomiar prądu pracy, ocena głośności;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pomiar ciśnień po stronie ssawnej i tłoczonej;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sprawdzanie ilości freonu w układzie;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uzupełnienie ewentualnych ubytków czynnika chłodzącego;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sprawdzenie działania elementów układu chłodniczego (zawory elektromagnetyczne, zawór rozprężny, elementy sterujące);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sprawdzanie ciśnieniowych elementów zabezpieczających, ewentualna regulacja;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oględziny układu chłodniczego pod kątem ewentualnych wycieków oleju;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sprawdzenie ciśnienia w układzie wody lodowej po stronie wtórnej;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sprawdzenie stanu izolacji termicznej instalacji wody lodowej;</w:t>
      </w:r>
    </w:p>
    <w:p w:rsidR="00813026" w:rsidRPr="005D22D5" w:rsidRDefault="00813026" w:rsidP="0081302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cs="Calibri"/>
          <w:sz w:val="22"/>
          <w:szCs w:val="22"/>
        </w:rPr>
      </w:pPr>
      <w:r w:rsidRPr="005D22D5">
        <w:rPr>
          <w:rFonts w:cs="Calibri"/>
          <w:sz w:val="22"/>
          <w:szCs w:val="22"/>
        </w:rPr>
        <w:t>inne czynności konserwacyjne konieczne do utrzymania agregatów w ciągłej sprawności technicznej, zgodnie z obowiązującymi w tym zakresie przepisami, normami oraz z ich dokumentacją techniczno-ruchową.</w:t>
      </w:r>
    </w:p>
    <w:p w:rsidR="00813026" w:rsidRPr="005D22D5" w:rsidRDefault="00813026" w:rsidP="00813026">
      <w:pPr>
        <w:widowControl/>
        <w:numPr>
          <w:ilvl w:val="0"/>
          <w:numId w:val="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 xml:space="preserve">Z każdorazowo przeprowadzonego przeglądu serwisowego Wykonawca zobowiązany jest sporządzić protokół, który powinien zawierać co najmniej typy i ilość urządzeń objętych przeglądem i konserwacją oraz informacje o zakresie prac serwisowych wykonywanych </w:t>
      </w:r>
      <w:r w:rsidRPr="005D22D5">
        <w:rPr>
          <w:rFonts w:ascii="Calibri" w:hAnsi="Calibri" w:cs="Calibri"/>
          <w:bCs/>
          <w:sz w:val="22"/>
          <w:szCs w:val="22"/>
        </w:rPr>
        <w:br/>
        <w:t>w ramach okresowego przeglądu.</w:t>
      </w:r>
    </w:p>
    <w:p w:rsidR="00813026" w:rsidRPr="005D22D5" w:rsidRDefault="00813026" w:rsidP="00813026">
      <w:pPr>
        <w:widowControl/>
        <w:numPr>
          <w:ilvl w:val="0"/>
          <w:numId w:val="1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>W ramach wykonywania bieżących napraw urządzeń klimatyzacyjnych i wentylacyjnych Wykonawca zobowiązany będzie do:</w:t>
      </w:r>
    </w:p>
    <w:p w:rsidR="00813026" w:rsidRPr="005D22D5" w:rsidRDefault="00813026" w:rsidP="00813026">
      <w:pPr>
        <w:widowControl/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lastRenderedPageBreak/>
        <w:t>Zdiagnozowania usterki.</w:t>
      </w:r>
    </w:p>
    <w:p w:rsidR="00813026" w:rsidRPr="005D22D5" w:rsidRDefault="00813026" w:rsidP="00813026">
      <w:pPr>
        <w:widowControl/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>Sporządzenia kalkulacji kosztów naprawy urządzenia przed wykonaniem usługi i przedłożenie jej do akceptacji Zamawiającemu (wykazania kosztów materiałów, ilości roboczogodzin potrzebnych do naprawy oraz podanie daty do kiedy urządzenie zostanie naprawione),</w:t>
      </w:r>
    </w:p>
    <w:p w:rsidR="00813026" w:rsidRPr="005D22D5" w:rsidRDefault="00813026" w:rsidP="00813026">
      <w:pPr>
        <w:widowControl/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 xml:space="preserve">Zapewnienia dostawy części zamiennych. Zakup części dokonany będzie na koszt Wykonawcy, który zostanie zrefundowany przez Zamawiającego na podstawie faktury wystawionej przez Wykonawcę. </w:t>
      </w:r>
    </w:p>
    <w:p w:rsidR="00813026" w:rsidRPr="005D22D5" w:rsidRDefault="00813026" w:rsidP="00813026">
      <w:pPr>
        <w:widowControl/>
        <w:numPr>
          <w:ilvl w:val="0"/>
          <w:numId w:val="6"/>
        </w:numPr>
        <w:suppressAutoHyphens w:val="0"/>
        <w:spacing w:line="276" w:lineRule="auto"/>
        <w:rPr>
          <w:rFonts w:ascii="Calibri" w:hAnsi="Calibri" w:cs="Calibri"/>
          <w:color w:val="FF0000"/>
          <w:sz w:val="22"/>
          <w:szCs w:val="22"/>
          <w:lang w:eastAsia="pl-PL"/>
        </w:rPr>
      </w:pPr>
      <w:r w:rsidRPr="005D22D5">
        <w:rPr>
          <w:rFonts w:ascii="Calibri" w:hAnsi="Calibri" w:cs="Calibri"/>
          <w:sz w:val="22"/>
          <w:szCs w:val="22"/>
          <w:lang w:eastAsia="pl-PL"/>
        </w:rPr>
        <w:t>Wymienione elementy muszą być nowe, nieregenerowane, sprawne technicznie.</w:t>
      </w:r>
      <w:r w:rsidR="00AC295B">
        <w:rPr>
          <w:rFonts w:ascii="Calibri" w:hAnsi="Calibri" w:cs="Calibri"/>
          <w:sz w:val="22"/>
          <w:szCs w:val="22"/>
          <w:lang w:eastAsia="pl-PL"/>
        </w:rPr>
        <w:t xml:space="preserve">  </w:t>
      </w:r>
      <w:r w:rsidRPr="005D22D5">
        <w:rPr>
          <w:rFonts w:ascii="Calibri" w:hAnsi="Calibri" w:cs="Calibri"/>
          <w:bCs/>
          <w:sz w:val="22"/>
          <w:szCs w:val="22"/>
        </w:rPr>
        <w:t xml:space="preserve">Na wymienione z powodu uszkodzenia elementy Wykonawca udziela gwarancji na okres zgodny z gwarancją producenta, licząc od następnego dnia, w którym naprawę (wymianę) zakończono i dokonano odbioru naprawionego elementu. </w:t>
      </w:r>
    </w:p>
    <w:p w:rsidR="00813026" w:rsidRPr="005D22D5" w:rsidRDefault="00813026" w:rsidP="00813026">
      <w:pPr>
        <w:widowControl/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>Naprawy bądź wymiany niesprawnych elementów, części, podzespołów, przewodów chłodniczych i elektrycznych.</w:t>
      </w:r>
    </w:p>
    <w:p w:rsidR="00813026" w:rsidRPr="005D22D5" w:rsidRDefault="00813026" w:rsidP="00813026">
      <w:pPr>
        <w:widowControl/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 xml:space="preserve">Uruchomienia i sprawdzenie prawidłowego działania. </w:t>
      </w:r>
    </w:p>
    <w:p w:rsidR="00813026" w:rsidRPr="005D22D5" w:rsidRDefault="00813026" w:rsidP="00813026">
      <w:pPr>
        <w:widowControl/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>Zabrania zużytych podzespołów oraz wadliwych części wymienionych w ramach przeprowadzanej naprawy oraz zagospodarowania ich z obowiązującymi przepisami dotyczącymi ochrony środowiska.</w:t>
      </w:r>
    </w:p>
    <w:p w:rsidR="00813026" w:rsidRPr="005D22D5" w:rsidRDefault="00813026" w:rsidP="00813026">
      <w:pPr>
        <w:widowControl/>
        <w:numPr>
          <w:ilvl w:val="0"/>
          <w:numId w:val="6"/>
        </w:num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5D22D5">
        <w:rPr>
          <w:rFonts w:ascii="Calibri" w:hAnsi="Calibri" w:cs="Calibri"/>
          <w:bCs/>
          <w:sz w:val="22"/>
          <w:szCs w:val="22"/>
        </w:rPr>
        <w:t>Sporządzenia protokołu z wykonanej naprawy.</w:t>
      </w:r>
    </w:p>
    <w:p w:rsidR="00E238D4" w:rsidRPr="005D22D5" w:rsidRDefault="00E238D4" w:rsidP="00E238D4">
      <w:pPr>
        <w:jc w:val="center"/>
        <w:rPr>
          <w:rFonts w:ascii="Calibri" w:hAnsi="Calibri" w:cs="Calibri"/>
          <w:sz w:val="22"/>
          <w:szCs w:val="22"/>
        </w:rPr>
      </w:pPr>
    </w:p>
    <w:sectPr w:rsidR="00E238D4" w:rsidRPr="005D22D5" w:rsidSect="00CD6CD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C3F"/>
    <w:multiLevelType w:val="hybridMultilevel"/>
    <w:tmpl w:val="0FEE6E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D5867"/>
    <w:multiLevelType w:val="hybridMultilevel"/>
    <w:tmpl w:val="3FCCC15E"/>
    <w:lvl w:ilvl="0" w:tplc="B2E0F0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8215C"/>
    <w:multiLevelType w:val="hybridMultilevel"/>
    <w:tmpl w:val="6C568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409D"/>
    <w:multiLevelType w:val="hybridMultilevel"/>
    <w:tmpl w:val="C56EB17E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5C5C8B"/>
    <w:multiLevelType w:val="hybridMultilevel"/>
    <w:tmpl w:val="1CD09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63C4D"/>
    <w:multiLevelType w:val="hybridMultilevel"/>
    <w:tmpl w:val="4784102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4C646E76"/>
    <w:multiLevelType w:val="hybridMultilevel"/>
    <w:tmpl w:val="F0F82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compat/>
  <w:rsids>
    <w:rsidRoot w:val="00A7411E"/>
    <w:rsid w:val="00017713"/>
    <w:rsid w:val="00024B8B"/>
    <w:rsid w:val="00064014"/>
    <w:rsid w:val="00341CC8"/>
    <w:rsid w:val="00403142"/>
    <w:rsid w:val="00427641"/>
    <w:rsid w:val="004D1AB1"/>
    <w:rsid w:val="004D4B09"/>
    <w:rsid w:val="005732CC"/>
    <w:rsid w:val="005D22D5"/>
    <w:rsid w:val="0069670C"/>
    <w:rsid w:val="006A72AC"/>
    <w:rsid w:val="007B063E"/>
    <w:rsid w:val="007D250C"/>
    <w:rsid w:val="00813026"/>
    <w:rsid w:val="008B51E5"/>
    <w:rsid w:val="009A70EB"/>
    <w:rsid w:val="00A7411E"/>
    <w:rsid w:val="00AC295B"/>
    <w:rsid w:val="00AD58A7"/>
    <w:rsid w:val="00B54A1B"/>
    <w:rsid w:val="00C56F3C"/>
    <w:rsid w:val="00CD6CDB"/>
    <w:rsid w:val="00CE0A10"/>
    <w:rsid w:val="00D806F3"/>
    <w:rsid w:val="00DD32F1"/>
    <w:rsid w:val="00E238D4"/>
    <w:rsid w:val="00F944A5"/>
    <w:rsid w:val="00FE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6CDB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CD6CD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CD6CDB"/>
    <w:pPr>
      <w:spacing w:after="140" w:line="288" w:lineRule="auto"/>
    </w:pPr>
  </w:style>
  <w:style w:type="paragraph" w:styleId="Lista">
    <w:name w:val="List"/>
    <w:basedOn w:val="Tretekstu"/>
    <w:rsid w:val="00CD6CDB"/>
  </w:style>
  <w:style w:type="paragraph" w:styleId="Podpis">
    <w:name w:val="Signature"/>
    <w:basedOn w:val="Normalny"/>
    <w:rsid w:val="00CD6C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D6CDB"/>
    <w:pPr>
      <w:suppressLineNumbers/>
    </w:pPr>
  </w:style>
  <w:style w:type="paragraph" w:customStyle="1" w:styleId="Zawartotabeli">
    <w:name w:val="Zawartość tabeli"/>
    <w:basedOn w:val="Normalny"/>
    <w:rsid w:val="00CD6CDB"/>
    <w:pPr>
      <w:suppressLineNumbers/>
    </w:pPr>
  </w:style>
  <w:style w:type="paragraph" w:customStyle="1" w:styleId="Nagwektabeli">
    <w:name w:val="Nagłówek tabeli"/>
    <w:basedOn w:val="Zawartotabeli"/>
    <w:rsid w:val="00CD6CDB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276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432A"/>
    <w:rPr>
      <w:b/>
      <w:bCs/>
    </w:rPr>
  </w:style>
  <w:style w:type="paragraph" w:styleId="Tekstpodstawowy">
    <w:name w:val="Body Text"/>
    <w:basedOn w:val="Normalny"/>
    <w:link w:val="TekstpodstawowyZnak"/>
    <w:rsid w:val="00813026"/>
    <w:pPr>
      <w:widowControl/>
      <w:spacing w:line="300" w:lineRule="atLeast"/>
      <w:jc w:val="both"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813026"/>
    <w:rPr>
      <w:rFonts w:ascii="Arial" w:eastAsia="Times New Roman" w:hAnsi="Arial" w:cs="Arial"/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rsid w:val="00813026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813026"/>
    <w:pPr>
      <w:ind w:left="720"/>
      <w:contextualSpacing/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813026"/>
    <w:rPr>
      <w:rFonts w:ascii="Calibri" w:eastAsia="Calibri" w:hAnsi="Calibri" w:cs="Times New Roman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81302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3026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rsid w:val="00813026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3026"/>
    <w:rPr>
      <w:rFonts w:ascii="Times New Roman" w:eastAsia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ap4</cp:lastModifiedBy>
  <cp:revision>7</cp:revision>
  <cp:lastPrinted>2024-05-09T13:00:00Z</cp:lastPrinted>
  <dcterms:created xsi:type="dcterms:W3CDTF">2024-05-31T11:38:00Z</dcterms:created>
  <dcterms:modified xsi:type="dcterms:W3CDTF">2024-06-17T09:42:00Z</dcterms:modified>
  <dc:language>pl-PL</dc:language>
</cp:coreProperties>
</file>