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07F1" w14:textId="77777777" w:rsidR="00800236" w:rsidRPr="00800236" w:rsidRDefault="00800236" w:rsidP="00800236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800236">
        <w:rPr>
          <w:rFonts w:ascii="Times New Roman" w:hAnsi="Times New Roman" w:cs="Times New Roman"/>
          <w:b/>
          <w:bCs/>
        </w:rPr>
        <w:t>Załącznik nr 1 do Umowy</w:t>
      </w:r>
    </w:p>
    <w:p w14:paraId="409511FE" w14:textId="4C4C65E6" w:rsidR="00DF7C2A" w:rsidRDefault="00800236" w:rsidP="00800236">
      <w:pPr>
        <w:jc w:val="right"/>
        <w:rPr>
          <w:rFonts w:ascii="Times New Roman" w:hAnsi="Times New Roman" w:cs="Times New Roman"/>
        </w:rPr>
      </w:pPr>
      <w:r w:rsidRPr="00800236">
        <w:rPr>
          <w:rFonts w:ascii="Times New Roman" w:hAnsi="Times New Roman" w:cs="Times New Roman"/>
        </w:rPr>
        <w:t>Załącznik nr 2 do SWKO</w:t>
      </w:r>
    </w:p>
    <w:p w14:paraId="1AA5282A" w14:textId="77777777" w:rsidR="00800236" w:rsidRDefault="00800236" w:rsidP="00800236">
      <w:pPr>
        <w:jc w:val="center"/>
        <w:rPr>
          <w:rFonts w:ascii="Times New Roman" w:hAnsi="Times New Roman" w:cs="Times New Roman"/>
        </w:rPr>
      </w:pPr>
    </w:p>
    <w:p w14:paraId="093DF1BF" w14:textId="4D028F6D" w:rsidR="00800236" w:rsidRDefault="00800236" w:rsidP="00800236">
      <w:pPr>
        <w:jc w:val="center"/>
        <w:rPr>
          <w:rFonts w:ascii="Times New Roman" w:hAnsi="Times New Roman" w:cs="Times New Roman"/>
          <w:b/>
          <w:bCs/>
        </w:rPr>
      </w:pPr>
      <w:r w:rsidRPr="00800236">
        <w:rPr>
          <w:rFonts w:ascii="Times New Roman" w:hAnsi="Times New Roman" w:cs="Times New Roman"/>
          <w:b/>
          <w:bCs/>
        </w:rPr>
        <w:t>ARKUSZ ASORTYMENTOWO-CENOWY (CENNIK)</w:t>
      </w:r>
    </w:p>
    <w:p w14:paraId="2C0514DF" w14:textId="77777777" w:rsidR="00800236" w:rsidRDefault="00800236" w:rsidP="0080023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2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6089"/>
        <w:gridCol w:w="520"/>
        <w:gridCol w:w="780"/>
        <w:gridCol w:w="905"/>
        <w:gridCol w:w="160"/>
        <w:gridCol w:w="1220"/>
        <w:gridCol w:w="711"/>
        <w:gridCol w:w="1200"/>
      </w:tblGrid>
      <w:tr w:rsidR="00800236" w:rsidRPr="00800236" w14:paraId="7C6BB420" w14:textId="77777777" w:rsidTr="00E314A7">
        <w:trPr>
          <w:trHeight w:val="25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BA0F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Opis przedmiotu zamówienia</w:t>
            </w:r>
          </w:p>
        </w:tc>
      </w:tr>
      <w:tr w:rsidR="00800236" w:rsidRPr="00800236" w14:paraId="167E7B14" w14:textId="77777777" w:rsidTr="00E314A7">
        <w:trPr>
          <w:trHeight w:val="3090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86EA12" w14:textId="77777777" w:rsid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Wymagania:</w:t>
            </w: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1) Próbki krwi do badań immunohematologicznych przyjmowane są 24 h na dobę przez 7 dni w tygodniu, po uprzednim telefonicznym zgłoszeniu.</w:t>
            </w: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2) Badanie zlecone w trybie pilnym wykonywane jest w dniu dostarczenia próbki do badań, natomiast badanie zlecone w trybie normalnym wykonywane jest w dniu dostarczenia próbki lub dniu następnym.</w:t>
            </w: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3) Próbka krwi wraz ze zleceniem na wykonanie badania dostarczana jest przez upoważnioną przez Zleceniodawcę osobę.</w:t>
            </w: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4) Każdy wynik badania zaopatrzony jest w czytelny podpis i pieczątkę osoby wykonującej badanie oraz czytelny podpis i pieczątkę diagnosty laboratoryjnego upoważnionego do autoryzacji wyniku badania.</w:t>
            </w: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5) Trzy egzemplarze wyniku badania umieszczane są w zamkniętej kopercie opisanej nazwiskiem i imieniem pacjenta, numerem badania i adresem Zleceniodawcy. Wyniki badań obierane są przez osobę upoważnioną przez Zleceniodawcę.</w:t>
            </w: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6)W przypadku badań wykonywanych w trybie pilnym, wyniki mogą być przekazywane drogą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elektoniczną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w postaci zaszyfrowanego pliku na adres email Zleceniodawcy.</w:t>
            </w: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7) Badania muszą być wykonywane przez ośrodki zlokalizowane w pobliżu jednostek zlecających.</w:t>
            </w:r>
          </w:p>
          <w:p w14:paraId="4AEA384B" w14:textId="77777777" w:rsidR="00E314A7" w:rsidRPr="00800236" w:rsidRDefault="00E314A7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00236" w:rsidRPr="00800236" w14:paraId="283A0EE4" w14:textId="77777777" w:rsidTr="00E314A7">
        <w:trPr>
          <w:trHeight w:val="5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5BF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931A8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Nazwa badania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B779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Ilość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74B2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JM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C567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Cena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DA42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Wartość netto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E7A6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Stawka VAT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A4B2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Wartość brutto </w:t>
            </w:r>
          </w:p>
        </w:tc>
      </w:tr>
      <w:tr w:rsidR="00800236" w:rsidRPr="00800236" w14:paraId="5CBC602D" w14:textId="77777777" w:rsidTr="00E314A7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0C94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17C1B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Grupa krwi (układ ABO i antygen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RhD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badanie przeglądowe przeciwciał) w trybie pilnym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F8B0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72D1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B7EF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16F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55C8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8EC8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5D25B3E1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902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171B9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Grupa krwi (układ ABO i antygen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RhD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B792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556B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F3F6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1B93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D64F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4A93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4708FF65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ADB6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ED2F7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Odpis wyniku grupy krwi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423E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2FBE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8974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0387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2A76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B13B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05DF1EFE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B329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81432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Badania przeglądowe przeciwciał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antyerocytarnych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9602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AE62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AF69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FF67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C4FF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356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10CDD2CC" w14:textId="77777777" w:rsidTr="00E314A7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B6EF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AE5A9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Identyfikacja przeciwciał p/c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antyerytrocytarnych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 PTA z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uzyciem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surowicy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antyglobulinowej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poliwalentnej-mikrometoda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6161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B009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3564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1B5D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970D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A683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4CC2B6AF" w14:textId="77777777" w:rsidTr="00E314A7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A278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19E93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Identyfikacja przeciwciał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antyerotrocytarnych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 PTA z użyciem surowicy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antyglobulinowej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poliwalentnej - met. probówkowa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4418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2CA1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E325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E74B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14D1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7768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7ECAA4DA" w14:textId="77777777" w:rsidTr="00E314A7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329C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D7F1D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Identyfikacja przeciwciał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antyerotrocytarnych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 PTA z użyciem surowicy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antyglobulinowej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monowalentnej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metodą probówkową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395B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05E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C224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BAA5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FE12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BFDF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0A66E0C5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2D0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3BD90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 surowicy w kierunku obecności komplementu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0A7D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3AB2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9DF9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3517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B92D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DD13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6872854D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A841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9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89269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Identyfikacja przeciwciał-test solny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CD51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69F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7596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C631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49AD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3FB3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7674C530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BB8F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81598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Wykrywanie przeciwciał - test solny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4E59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75E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53B8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9F25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3E75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FD8C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30C5167E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C0C3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902A3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Identyfikacja przeciwciał - test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papainowy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DC30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0764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34A8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0D1C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E396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A112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0811483D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A948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6E9E6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Fenotyp układu Rh i antygen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K+Cw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05FB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3777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9C6F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1DBF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16E8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990D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4EE35BB1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0EB4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9BEE4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Oznaczenie antygenów k (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cellano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DB33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15B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395E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98D9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A489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DE3C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3B075FC0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827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73F64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Oznaczenie antygenu M i N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943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6F0C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0CFB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C90F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100D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720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6D1F936A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1C99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2D6DF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Oznaczenie antygenów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Sis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92E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D055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FF76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F648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1823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B820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795C045B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4A02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F1C58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Oznaczenie antygenów P1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5248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66B9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CDD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0DC5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15C9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83FB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46746133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FE89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4A1C4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Oznaczenie antygenów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Le"a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" i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Le"b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A76E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0EE3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F1D4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4A46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4DB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9A6F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3025E0F0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C94D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47EC5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Oznaczenie antygenów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Jk"a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" i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jk"b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FF58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9A26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9313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0FA1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5128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31D0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18C12D33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3200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20989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Oznaczenie antygenu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Lu"a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" i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Lu"b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96F4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BB5F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1636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E245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43F1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23FB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4218743F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CF46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F90CA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Oznaczenie antygenu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Fy"a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" i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Fy"b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5F7C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0A8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1896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2521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5FBF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E680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67B7F8D8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741F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39DEE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Oznaczenie antygenu A1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970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43D5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1D1E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E077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0389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4B21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4575E319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57B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C4B91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Oznaczenie słabo wyrażonego antygenu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RhD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E113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8938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F1B9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31E2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5F41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0448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21128C8D" w14:textId="77777777" w:rsidTr="00E314A7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FE9D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5A048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BTA-mikrometoda z użyciem surowicy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antyglobulinowej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monowalentnej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(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IgG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BC6E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8C5E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EC22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A31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F29D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4687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7ED6765A" w14:textId="77777777" w:rsidTr="00E314A7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B917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78638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BTA-mikrometoda z użyciem surowicy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antyglobulinowej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poliwalentenj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(IgG+C3d)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C42D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9DCE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CF29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443F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CB07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9079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53A0CF0B" w14:textId="77777777" w:rsidTr="00E314A7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5967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D7DE3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BTA-mikrometoda z użyciem surowic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antyglobulinowych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monowalentnych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(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IgG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IgA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IgM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C3c i C3d)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5385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D7EE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8B4C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A12E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0886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D9F7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4A4691FD" w14:textId="77777777" w:rsidTr="00E314A7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AB91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9B9F5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Badanie obecności p/c w surowicy biorcy z jednym rodzajem krwinek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czerownych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 wymaganym fenotypie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D580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861D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CEB1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3312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FA0D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ADA0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02C77BF8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7FF6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8CD2C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Próba zgodności serologicznej przed przetoczeniem z 1 jednostką krwi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CB6F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0884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635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7043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A69D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9AA5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5EFA3478" w14:textId="77777777" w:rsidTr="00E314A7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8C45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10F3C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Próba zgodności serologicznej przed przetoczeniem z 1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jednotką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krwi u pacjentów z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allo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lub auto przeciwciałami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24F3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41F0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6ED9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72C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A82B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4BF8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67DEC39E" w14:textId="77777777" w:rsidTr="00E314A7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D575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8B8A1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Właściwa próba zgodności przed przetoczeniem x n (n=liczba jednostek krwi: n&gt;1)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CB23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BE9B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FF53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E3C7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0DDB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45C1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598BD6E7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81AD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2BEA9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Diagnostyka NAIH typu ciepłego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3A0D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EAB4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09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9E39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D544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3C2F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4D813B58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3142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EACE9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Elucja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przeciwciał-metoda kwaśnej glicyny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2AC1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0C3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C5F0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8339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DF12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ACAD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1854DE55" w14:textId="77777777" w:rsidTr="00E314A7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7848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94FC7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Autoabsorpcja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autoprzeciwciał z zastosowaniem PEG x n (n=liczba badań)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553E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FE19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BF00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4C81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9ABF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7FD5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7BB5346A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0F17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99F47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Diagnostyka NAIH typu zimnego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29ED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5FB6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9145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0132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C230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A246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3F19EA78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B04E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08C74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Amplituda zimnych przeciwciał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428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8079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81B7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2891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0968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C69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55E98B00" w14:textId="77777777" w:rsidTr="00E314A7">
        <w:trPr>
          <w:trHeight w:val="76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E658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35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59542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Identyfikacja przeciwciał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antyerotrocytarnych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 PTA z użyciem surowicy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antyglobulinowej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monowalentnej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krwinek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papainowych-mikrometoda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F644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811E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43C0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ED25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A0D3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8635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6847B54A" w14:textId="77777777" w:rsidTr="00E314A7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607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03495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Analiza reakcji poprzetoczeniowej po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KKCz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KpK</w:t>
            </w:r>
            <w:proofErr w:type="spellEnd"/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Kg/Badania serologiczne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3987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E48E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06CF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0A45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AF17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DDC5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6F3EB13A" w14:textId="77777777" w:rsidTr="00E314A7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D936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3B3B9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Analiza reakcji poprzetoczeniowej po podaniu KKP, FFP, krioprecypitatu, osocza bez krioprecypitatu, /badania serologiczne/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A882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5713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3132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14F8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44B6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D30E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0AD215C6" w14:textId="77777777" w:rsidTr="00E314A7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E2B3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2C4C4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Analiza reakcji poprzetoczeniowej /badania przeciwciał anty HLA u biorcy po reakcji poprzetoczeniowej //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87F1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023E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C843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6D9B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C726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CF9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3FEBF896" w14:textId="77777777" w:rsidTr="00E314A7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03B4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CE1C4" w14:textId="77777777" w:rsidR="00800236" w:rsidRPr="00800236" w:rsidRDefault="00800236" w:rsidP="008002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Analiza reakcji poprzetoczeniowej /badania mikrobiologiczne/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D9B8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468F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badanie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7FD6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352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-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995A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C65F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-      </w:t>
            </w:r>
          </w:p>
        </w:tc>
      </w:tr>
      <w:tr w:rsidR="00800236" w:rsidRPr="00800236" w14:paraId="255178B5" w14:textId="77777777" w:rsidTr="00E314A7">
        <w:trPr>
          <w:trHeight w:val="165"/>
        </w:trPr>
        <w:tc>
          <w:tcPr>
            <w:tcW w:w="1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C76AC" w14:textId="77777777" w:rsidR="00800236" w:rsidRPr="00800236" w:rsidRDefault="00800236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</w:tr>
      <w:tr w:rsidR="00E314A7" w:rsidRPr="00800236" w14:paraId="7C0741DC" w14:textId="77777777" w:rsidTr="00E314A7">
        <w:trPr>
          <w:trHeight w:val="375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BD643" w14:textId="77777777" w:rsidR="00E314A7" w:rsidRPr="00800236" w:rsidRDefault="00E314A7" w:rsidP="00E31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RAZEM: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907186" w14:textId="58231790" w:rsidR="00E314A7" w:rsidRPr="00800236" w:rsidRDefault="00E314A7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FD3E" w14:textId="34FEE669" w:rsidR="00E314A7" w:rsidRPr="00800236" w:rsidRDefault="00E314A7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0C04" w14:textId="77777777" w:rsidR="00E314A7" w:rsidRPr="00800236" w:rsidRDefault="00E314A7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80023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BCC9" w14:textId="31DA160C" w:rsidR="00E314A7" w:rsidRPr="00800236" w:rsidRDefault="00E314A7" w:rsidP="0080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0097C18" w14:textId="77777777" w:rsidR="00800236" w:rsidRDefault="00800236" w:rsidP="00800236">
      <w:pPr>
        <w:jc w:val="center"/>
        <w:rPr>
          <w:rFonts w:ascii="Times New Roman" w:hAnsi="Times New Roman" w:cs="Times New Roman"/>
          <w:b/>
          <w:bCs/>
        </w:rPr>
      </w:pPr>
    </w:p>
    <w:p w14:paraId="5983BF57" w14:textId="77777777" w:rsidR="00E314A7" w:rsidRDefault="00E314A7" w:rsidP="00E314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05A87" w14:textId="77777777" w:rsidR="00E314A7" w:rsidRDefault="00E314A7" w:rsidP="00E314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14:paraId="5BADB26D" w14:textId="6B594E44" w:rsidR="00E314A7" w:rsidRDefault="00E314A7" w:rsidP="00E314A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/miejscowo</w:t>
      </w:r>
      <w:r>
        <w:rPr>
          <w:rFonts w:ascii="Times New Roman" w:eastAsia="TTE1B70948t00" w:hAnsi="Times New Roman" w:cs="Times New Roman"/>
          <w:sz w:val="20"/>
          <w:szCs w:val="20"/>
          <w:lang w:eastAsia="pl-PL"/>
        </w:rPr>
        <w:t>ść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data/</w:t>
      </w:r>
    </w:p>
    <w:p w14:paraId="31A2E115" w14:textId="6AC55463" w:rsidR="00E314A7" w:rsidRDefault="00E314A7" w:rsidP="00E314A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50A1A22B" w14:textId="2C2DDE89" w:rsidR="00E314A7" w:rsidRDefault="00E314A7" w:rsidP="00E314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Oferenta</w:t>
      </w:r>
    </w:p>
    <w:p w14:paraId="701F034D" w14:textId="77777777" w:rsidR="00E314A7" w:rsidRPr="00800236" w:rsidRDefault="00E314A7" w:rsidP="00800236">
      <w:pPr>
        <w:jc w:val="center"/>
        <w:rPr>
          <w:rFonts w:ascii="Times New Roman" w:hAnsi="Times New Roman" w:cs="Times New Roman"/>
          <w:b/>
          <w:bCs/>
        </w:rPr>
      </w:pPr>
    </w:p>
    <w:sectPr w:rsidR="00E314A7" w:rsidRPr="00800236" w:rsidSect="00E314A7">
      <w:pgSz w:w="16838" w:h="11906" w:orient="landscape"/>
      <w:pgMar w:top="1418" w:right="1134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B9BE" w14:textId="77777777" w:rsidR="00800236" w:rsidRDefault="00800236" w:rsidP="00800236">
      <w:pPr>
        <w:spacing w:after="0" w:line="240" w:lineRule="auto"/>
      </w:pPr>
      <w:r>
        <w:separator/>
      </w:r>
    </w:p>
  </w:endnote>
  <w:endnote w:type="continuationSeparator" w:id="0">
    <w:p w14:paraId="73AD917A" w14:textId="77777777" w:rsidR="00800236" w:rsidRDefault="00800236" w:rsidP="0080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B70948t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B048" w14:textId="77777777" w:rsidR="00800236" w:rsidRDefault="00800236" w:rsidP="00800236">
      <w:pPr>
        <w:spacing w:after="0" w:line="240" w:lineRule="auto"/>
      </w:pPr>
      <w:r>
        <w:separator/>
      </w:r>
    </w:p>
  </w:footnote>
  <w:footnote w:type="continuationSeparator" w:id="0">
    <w:p w14:paraId="7D0E7988" w14:textId="77777777" w:rsidR="00800236" w:rsidRDefault="00800236" w:rsidP="00800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2A"/>
    <w:rsid w:val="00800236"/>
    <w:rsid w:val="00DF7C2A"/>
    <w:rsid w:val="00E3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BD0F"/>
  <w15:chartTrackingRefBased/>
  <w15:docId w15:val="{9DDF296D-7FB2-426D-90F7-3D457482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0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236"/>
  </w:style>
  <w:style w:type="paragraph" w:styleId="Stopka">
    <w:name w:val="footer"/>
    <w:basedOn w:val="Normalny"/>
    <w:link w:val="StopkaZnak"/>
    <w:uiPriority w:val="99"/>
    <w:unhideWhenUsed/>
    <w:rsid w:val="00800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979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m.skalińska</dc:creator>
  <cp:keywords/>
  <dc:description/>
  <cp:lastModifiedBy>m.skalińska</cp:lastModifiedBy>
  <cp:revision>3</cp:revision>
  <dcterms:created xsi:type="dcterms:W3CDTF">2024-02-02T09:02:00Z</dcterms:created>
  <dcterms:modified xsi:type="dcterms:W3CDTF">2024-02-02T09:10:00Z</dcterms:modified>
</cp:coreProperties>
</file>