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A472" w14:textId="625C3B88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B3123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3A5E96" w14:textId="5E4909E6" w:rsidR="006B3123" w:rsidRDefault="00EE5229" w:rsidP="006B3123">
      <w:pPr>
        <w:jc w:val="both"/>
        <w:rPr>
          <w:b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</w:t>
      </w:r>
      <w:r w:rsidR="0094299C">
        <w:rPr>
          <w:rFonts w:ascii="Verdana" w:eastAsia="Verdana" w:hAnsi="Verdana" w:cs="Verdana"/>
          <w:color w:val="000000"/>
          <w:sz w:val="20"/>
          <w:lang w:eastAsia="pl-PL"/>
        </w:rPr>
        <w:t>„</w:t>
      </w:r>
      <w:r w:rsidR="0094299C">
        <w:rPr>
          <w:rFonts w:ascii="Tahoma" w:hAnsi="Tahoma" w:cs="Tahoma"/>
          <w:b/>
          <w:sz w:val="20"/>
          <w:szCs w:val="20"/>
        </w:rPr>
        <w:t>Remont wybranych pomieszczeń usytuowanych na II i IV piętrze w budynku  Zespołu Przychodni Specjalistycznych Sp. z o.o.  w Tarnowie  przy ul. Marii Skłodowskiej – Curie 1</w:t>
      </w:r>
      <w:r w:rsidR="0094299C">
        <w:rPr>
          <w:rFonts w:ascii="Tahoma" w:hAnsi="Tahoma" w:cs="Tahoma"/>
          <w:b/>
          <w:sz w:val="20"/>
          <w:szCs w:val="20"/>
        </w:rPr>
        <w:t>”</w:t>
      </w:r>
    </w:p>
    <w:p w14:paraId="3FD74D5B" w14:textId="4B4B77EF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026F0157" w14:textId="77777777" w:rsidR="00190444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</w:t>
      </w:r>
    </w:p>
    <w:p w14:paraId="472A97D9" w14:textId="1569037B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7777777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powołujemy się na zasoby podmiotów na zasadach określonych w art. 118 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, a więc osobiście spełniamy warunki określone w punktach 18.1. i 18.2.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77777777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5. 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3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90444"/>
    <w:rsid w:val="003F7ECA"/>
    <w:rsid w:val="00403E46"/>
    <w:rsid w:val="00493E2F"/>
    <w:rsid w:val="004A5105"/>
    <w:rsid w:val="006B3123"/>
    <w:rsid w:val="0094299C"/>
    <w:rsid w:val="00A30B46"/>
    <w:rsid w:val="00C224ED"/>
    <w:rsid w:val="00EA7034"/>
    <w:rsid w:val="00EE5229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2024-04-24T11:32:00Z</dcterms:created>
  <dcterms:modified xsi:type="dcterms:W3CDTF">2024-04-24T11:44:00Z</dcterms:modified>
</cp:coreProperties>
</file>