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976"/>
        <w:gridCol w:w="1842"/>
        <w:gridCol w:w="2268"/>
      </w:tblGrid>
      <w:tr w:rsidR="003478FE" w:rsidRPr="006C51B2" w:rsidTr="00113CA6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B6258B" w:rsidP="00B625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Aparat do ciągłego leczenia </w:t>
            </w:r>
            <w:proofErr w:type="spellStart"/>
            <w:r w:rsidRPr="00B6258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nerkozastępczego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78FE" w:rsidRPr="00C22045" w:rsidRDefault="00B6258B" w:rsidP="00113C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17107">
              <w:rPr>
                <w:rFonts w:ascii="Tahoma" w:hAnsi="Tahoma" w:cs="Tahoma"/>
                <w:b/>
                <w:bCs/>
                <w:sz w:val="18"/>
                <w:szCs w:val="18"/>
              </w:rPr>
              <w:t>Parametr wymagany TAK/NIE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78FE" w:rsidRPr="00C22045" w:rsidRDefault="00B6258B" w:rsidP="00113C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</w:t>
            </w:r>
            <w:r w:rsidRPr="0041710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parametru zaproponowanego przez Wykonawcę w przypadku określenia przez Zamawiającego parametru granicznego (np. min/max</w:t>
            </w:r>
          </w:p>
        </w:tc>
      </w:tr>
      <w:tr w:rsidR="00B6258B" w:rsidRPr="006C51B2" w:rsidTr="003478FE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258B" w:rsidRPr="00B6258B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Produkcja 2021, sprzęt fabrycznie nowy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6258B" w:rsidRPr="006C51B2" w:rsidTr="003478FE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258B" w:rsidRPr="00B6258B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6258B" w:rsidRPr="006C51B2" w:rsidTr="003478FE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258B" w:rsidRPr="00B6258B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Nazwa i typ aparatu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258B" w:rsidRPr="00C22045" w:rsidRDefault="00B6258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Opcje zabiegów: SCUF, CVVH, CVVHD, CVVHDF, TPE, HP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Zintegrowane wskazówki dla trybu dializy albuminowej MARS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Funkcja wykonania zabiegu CVVH z równoczesną PRE i POST </w:t>
            </w:r>
            <w:proofErr w:type="spellStart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dylucją</w:t>
            </w:r>
            <w:proofErr w:type="spellEnd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Funkcja wykonania zabiegu CVVHDF PRE lub POST </w:t>
            </w:r>
            <w:proofErr w:type="spellStart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dylucją</w:t>
            </w:r>
            <w:proofErr w:type="spellEnd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Aktywna opcja  </w:t>
            </w:r>
            <w:proofErr w:type="spellStart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antykoagulacji</w:t>
            </w:r>
            <w:proofErr w:type="spellEnd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heparynowej i cytrynianowej w zabiegach: SCUF, CVVHF, CVVHD, CVVHDF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Zintegrowana pompa </w:t>
            </w:r>
            <w:proofErr w:type="spellStart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strzykawkowa</w:t>
            </w:r>
            <w:proofErr w:type="spellEnd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wbudowana w aparat.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Pompa krwi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Pompa i waga antykoagulantu cytrynianowego lub dodatkowego płynu suplementującego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Pompa i waga dializatu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B6258B">
        <w:trPr>
          <w:trHeight w:val="59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Pompa i waga substytutu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Pompa i waga ściekowa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Pamięć zdarzeń minimum 90 godzin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Podgrzewacz krwi wracającej do pacjenta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Graficzne monitorowanie ciśnień podczas zabiegu  (napływu, powrotu, filtra, płynu odprowadzanego, TMP)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wprowadzenia danych pacjenta (imię, nazwisko, waga, hematokryt)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Pomiar ciśnień: napływu, filtra, powrotu, płynu odprowadzanego, spadku ciśnienia na filtrze oraz TMP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Automatyczna identyfikacja założonego filtra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Automatyczne ładowanie, wypełnianie i sprawdzanie zestawów.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Zacisk bezpieczeństwa na drenie powrotnym.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Czujnik przecieku krwi.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Czujnik obecności powietrza we krwi wykrywający pęcherzyki o średnicy od 20 µl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Archiwizacja zabiegu na zewnętrznym nośniku pamięci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Kolorowy ekran dotykowy min 12"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Podc</w:t>
            </w:r>
            <w:r w:rsidR="00654D3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</w:t>
            </w: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as zabiegu widoczne wszystkie istotne dane - zlecenie, przepływy, ciśnienia.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Możliwość stosowania u pacjentów z </w:t>
            </w:r>
            <w:proofErr w:type="spellStart"/>
            <w:r w:rsidRPr="00B625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SEPSą</w:t>
            </w:r>
            <w:proofErr w:type="spellEnd"/>
            <w:r w:rsidRPr="00B625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filtrów </w:t>
            </w:r>
            <w:proofErr w:type="spellStart"/>
            <w:r w:rsidRPr="00B625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heparynizowanych</w:t>
            </w:r>
            <w:proofErr w:type="spellEnd"/>
            <w:r w:rsidRPr="00B6258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do CRRT eliminujących jednocześnie cytokiny i endotoksyny.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Zestawy do terapii CRRT i TPE w pełni zintegrowane z filtrem i fabrycznie połączone z drenami.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Uniwersalny zestaw (filtr z drenami) dla dorosłych umożliwiający wykonywanie wszystkich  rodzajów terapii CRRT.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Dostępność zestawów o małej objętości krwi w filtrze i drenach (poniżej 60 ml)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Podstawa aparatu wyposażona w 4 kółka z blokadą.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B6258B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Wsparcie równowagi</w:t>
            </w:r>
            <w:r w:rsidR="00654D3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płynowej trakcie zabiegu poprzez</w:t>
            </w: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DPP wb</w:t>
            </w:r>
            <w:r w:rsidR="00654D3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udowany w tacę ociekową i reagują</w:t>
            </w:r>
            <w:r w:rsidRPr="00B6258B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cy na przeciek &gt;50ml.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B6258B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Możliwość jednoczesnego poboru 30l płynów z 3 wag.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Złącza RS232, USB oraz </w:t>
            </w:r>
            <w:proofErr w:type="spellStart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Ethernetowe</w:t>
            </w:r>
            <w:proofErr w:type="spellEnd"/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komunikacji z urządzeniami zewnętrznymi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Akumulator </w:t>
            </w:r>
            <w:r w:rsidR="00654D3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zasilający zapewniający ciągłość</w:t>
            </w: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pracy we wszystkich trybach minimum 10'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Zasilanie 230V~/50Hz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15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B6258B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6258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Najwyższy stopień ochrony przeciwporażeniowej (CF) umożliwiający bezpieczną defibrylację pacjenta podczas zabiegu.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8A1796" w:rsidRDefault="008A1796"/>
    <w:sectPr w:rsidR="008A1796" w:rsidSect="003478F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8AE" w:rsidRDefault="007168AE" w:rsidP="00413B2D">
      <w:pPr>
        <w:spacing w:after="0" w:line="240" w:lineRule="auto"/>
      </w:pPr>
      <w:r>
        <w:separator/>
      </w:r>
    </w:p>
  </w:endnote>
  <w:endnote w:type="continuationSeparator" w:id="0">
    <w:p w:rsidR="007168AE" w:rsidRDefault="007168AE" w:rsidP="0041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261"/>
      <w:docPartObj>
        <w:docPartGallery w:val="Page Numbers (Bottom of Page)"/>
        <w:docPartUnique/>
      </w:docPartObj>
    </w:sdtPr>
    <w:sdtContent>
      <w:p w:rsidR="000A4A26" w:rsidRDefault="000A4A26">
        <w:pPr>
          <w:pStyle w:val="Stopka"/>
          <w:jc w:val="right"/>
        </w:pPr>
        <w:r w:rsidRPr="000A4A26">
          <w:rPr>
            <w:rFonts w:ascii="Tahoma" w:hAnsi="Tahoma" w:cs="Tahoma"/>
            <w:sz w:val="18"/>
            <w:szCs w:val="18"/>
          </w:rPr>
          <w:fldChar w:fldCharType="begin"/>
        </w:r>
        <w:r w:rsidRPr="000A4A26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0A4A26">
          <w:rPr>
            <w:rFonts w:ascii="Tahoma" w:hAnsi="Tahoma" w:cs="Tahoma"/>
            <w:sz w:val="18"/>
            <w:szCs w:val="18"/>
          </w:rPr>
          <w:fldChar w:fldCharType="separate"/>
        </w:r>
        <w:r>
          <w:rPr>
            <w:rFonts w:ascii="Tahoma" w:hAnsi="Tahoma" w:cs="Tahoma"/>
            <w:noProof/>
            <w:sz w:val="18"/>
            <w:szCs w:val="18"/>
          </w:rPr>
          <w:t>1</w:t>
        </w:r>
        <w:r w:rsidRPr="000A4A26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35411" w:rsidRDefault="00B354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8AE" w:rsidRDefault="007168AE" w:rsidP="00413B2D">
      <w:pPr>
        <w:spacing w:after="0" w:line="240" w:lineRule="auto"/>
      </w:pPr>
      <w:r>
        <w:separator/>
      </w:r>
    </w:p>
  </w:footnote>
  <w:footnote w:type="continuationSeparator" w:id="0">
    <w:p w:rsidR="007168AE" w:rsidRDefault="007168AE" w:rsidP="00413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8B" w:rsidRPr="00B35411" w:rsidRDefault="00B6258B">
    <w:pPr>
      <w:pStyle w:val="Nagwek"/>
      <w:rPr>
        <w:rFonts w:ascii="Tahoma" w:hAnsi="Tahoma" w:cs="Tahoma"/>
        <w:b/>
        <w:sz w:val="20"/>
        <w:szCs w:val="20"/>
      </w:rPr>
    </w:pPr>
    <w:r w:rsidRPr="00B35411">
      <w:rPr>
        <w:rFonts w:ascii="Tahoma" w:hAnsi="Tahoma" w:cs="Tahoma"/>
        <w:b/>
        <w:sz w:val="20"/>
        <w:szCs w:val="20"/>
      </w:rPr>
      <w:t>Załącznik nr 2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1B2"/>
    <w:rsid w:val="000A4A26"/>
    <w:rsid w:val="000C1AEE"/>
    <w:rsid w:val="00113CA6"/>
    <w:rsid w:val="00183D67"/>
    <w:rsid w:val="002A1165"/>
    <w:rsid w:val="003021C7"/>
    <w:rsid w:val="003478FE"/>
    <w:rsid w:val="003A5391"/>
    <w:rsid w:val="00413B2D"/>
    <w:rsid w:val="00654D3E"/>
    <w:rsid w:val="006C51B2"/>
    <w:rsid w:val="007168AE"/>
    <w:rsid w:val="00753450"/>
    <w:rsid w:val="007D6A00"/>
    <w:rsid w:val="008A1796"/>
    <w:rsid w:val="00917E9E"/>
    <w:rsid w:val="00B35411"/>
    <w:rsid w:val="00B6258B"/>
    <w:rsid w:val="00C22045"/>
    <w:rsid w:val="00DE245D"/>
    <w:rsid w:val="00FC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7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1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3B2D"/>
  </w:style>
  <w:style w:type="paragraph" w:styleId="Stopka">
    <w:name w:val="footer"/>
    <w:basedOn w:val="Normalny"/>
    <w:link w:val="StopkaZnak"/>
    <w:uiPriority w:val="99"/>
    <w:unhideWhenUsed/>
    <w:rsid w:val="0041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11</cp:revision>
  <dcterms:created xsi:type="dcterms:W3CDTF">2021-03-17T12:05:00Z</dcterms:created>
  <dcterms:modified xsi:type="dcterms:W3CDTF">2021-04-13T06:02:00Z</dcterms:modified>
</cp:coreProperties>
</file>