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„Budowa sieci kanalizacji sanitarnej wraz z przepompownią i kanałem ciśnieniowym w rejonie ulic Zajęczej, Lisiej i Kościelnej”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  <w:shd w:fill="auto" w:val="clear"/>
        </w:rPr>
        <w:t xml:space="preserve">5.1.4.4 SWZ </w:t>
      </w:r>
      <w:r>
        <w:rPr>
          <w:rFonts w:ascii="Times New Roman" w:hAnsi="Times New Roman"/>
          <w:sz w:val="24"/>
          <w:szCs w:val="24"/>
          <w:shd w:fill="auto" w:val="clear"/>
        </w:rPr>
        <w:t>w</w:t>
      </w:r>
      <w:r>
        <w:rPr>
          <w:rFonts w:ascii="Times New Roman" w:hAnsi="Times New Roman"/>
          <w:sz w:val="24"/>
          <w:szCs w:val="24"/>
        </w:rPr>
        <w:t xml:space="preserve"> zakresie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pl-PL"/>
        </w:rPr>
        <w:t>zdolności technicznej lub zawodowej (zgodnie z art. 116 ustawy Pzp):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Celem potwierdzenia warunku udziału w postępowaniu określonego 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 xml:space="preserve">w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>pkt 5.1.4.4 SWZ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auto" w:val="clear"/>
          <w:lang w:val="pl-PL"/>
        </w:rPr>
        <w:t xml:space="preserve"> oświadczamy, że s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kierujemy do realizacji zamówienia osobę posiadającą kwalifikacje do kierowania robotami budowlanymi w specjalności instalacyjnej w zakresie sieci kanalizacyjnych.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Imię i nazwisko: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 xml:space="preserve"> ……………………………………..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/>
      </w:pP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>Numer uprawnień:</w:t>
      </w:r>
      <w:r>
        <w:rPr>
          <w:rStyle w:val="Wysiwygdot--c1"/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  <w:t xml:space="preserve"> ……………………………………</w:t>
      </w:r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 w:val="false"/>
          <w:color w:val="000000"/>
          <w:kern w:val="0"/>
          <w:sz w:val="24"/>
          <w:szCs w:val="24"/>
          <w:highlight w:val="none"/>
          <w:shd w:fill="auto" w:val="clear"/>
          <w:lang w:val="pl-PL"/>
        </w:rPr>
      </w:pP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shd w:fill="auto" w:val="clear"/>
          <w:lang w:val="pl-PL"/>
        </w:rPr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>
          <w:rStyle w:val="Wysiwygdot--c1"/>
          <w:rFonts w:eastAsia="Calibri" w:cs="Times New Roman" w:ascii="Times New Roman" w:hAnsi="Times New Roman"/>
          <w:i w:val="false"/>
          <w:iCs/>
          <w:color w:val="C9211E"/>
          <w:kern w:val="0"/>
          <w:sz w:val="24"/>
          <w:szCs w:val="24"/>
          <w:lang w:val="pl-PL"/>
        </w:rPr>
        <w:t>podstawa do dysponowania:</w:t>
      </w:r>
      <w:r>
        <w:rPr>
          <w:rStyle w:val="Wysiwygdot--c1"/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lang w:val="pl-PL"/>
        </w:rPr>
        <w:t xml:space="preserve"> potencjał własny/udostępniony </w:t>
      </w:r>
      <w:r>
        <w:rPr>
          <w:rStyle w:val="Wysiwygdot--c1"/>
          <w:rFonts w:eastAsia="Calibri" w:cs="Times New Roman" w:ascii="Times New Roman" w:hAnsi="Times New Roman"/>
          <w:b/>
          <w:i w:val="false"/>
          <w:iCs/>
          <w:color w:val="000000"/>
          <w:kern w:val="0"/>
          <w:sz w:val="24"/>
          <w:szCs w:val="24"/>
          <w:lang w:val="pl-PL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rStyle w:val="Wysiwygdot--c1"/>
          <w:rFonts w:ascii="Times New Roman" w:hAnsi="Times New Roman" w:eastAsia="Calibri" w:cs="Times New Roman"/>
          <w:b/>
          <w:i w:val="false"/>
          <w:i w:val="false"/>
          <w:iCs/>
          <w:color w:val="000000"/>
          <w:kern w:val="0"/>
          <w:sz w:val="24"/>
          <w:szCs w:val="24"/>
          <w:lang w:val="pl-PL"/>
        </w:rPr>
      </w:pPr>
      <w:r>
        <w:rPr>
          <w:rFonts w:eastAsia="Calibri" w:cs="Times New Roman" w:ascii="Times New Roman" w:hAnsi="Times New Roman"/>
          <w:b/>
          <w:i w:val="false"/>
          <w:iCs/>
          <w:color w:val="000000"/>
          <w:kern w:val="0"/>
          <w:sz w:val="24"/>
          <w:szCs w:val="24"/>
          <w:lang w:val="pl-PL"/>
        </w:rPr>
      </w:r>
    </w:p>
    <w:p>
      <w:pPr>
        <w:pStyle w:val="Standard"/>
        <w:spacing w:lineRule="auto" w:line="360" w:before="0" w:after="0"/>
        <w:ind w:hanging="0" w:left="283"/>
        <w:jc w:val="both"/>
        <w:rPr>
          <w:rStyle w:val="Wysiwygdot--c1"/>
          <w:rFonts w:ascii="Times New Roman" w:hAnsi="Times New Roman" w:eastAsia="Calibri" w:cs="Times New Roman"/>
          <w:i w:val="false"/>
          <w:i w:val="false"/>
          <w:iCs/>
          <w:color w:val="000000"/>
          <w:kern w:val="0"/>
          <w:sz w:val="24"/>
          <w:szCs w:val="24"/>
          <w:shd w:fill="FFFF00" w:val="clear"/>
          <w:lang w:val="pl-PL"/>
        </w:rPr>
      </w:pPr>
      <w:r>
        <w:rPr>
          <w:rFonts w:eastAsia="Calibri" w:cs="Times New Roman" w:ascii="Times New Roman" w:hAnsi="Times New Roman"/>
          <w:i w:val="false"/>
          <w:iCs/>
          <w:color w:val="000000"/>
          <w:kern w:val="0"/>
          <w:sz w:val="24"/>
          <w:szCs w:val="24"/>
          <w:shd w:fill="FFFF00" w:val="clear"/>
          <w:lang w:val="pl-PL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, poz. 507).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737" w:right="0"/>
        <w:jc w:val="both"/>
        <w:textAlignment w:val="baseline"/>
        <w:rPr>
          <w:color w:val="FF0000"/>
          <w:shd w:fill="auto" w:val="clear"/>
        </w:rPr>
      </w:pPr>
      <w:r>
        <w:rPr>
          <w:rFonts w:cs="Times New Roman" w:ascii="Times New Roman" w:hAnsi="Times New Roman"/>
          <w:color w:val="FF0000"/>
          <w:sz w:val="24"/>
          <w:szCs w:val="24"/>
          <w:shd w:fill="auto" w:val="clear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2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 xml:space="preserve">nr zamówienia 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12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.2024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siwygdot--c1">
    <w:name w:val="wysiwyg__dot--c1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LibreOffice/7.6.2.1$Windows_X86_64 LibreOffice_project/56f7684011345957bbf33a7ee678afaf4d2ba333</Application>
  <AppVersion>15.0000</AppVersion>
  <Pages>4</Pages>
  <Words>705</Words>
  <Characters>5037</Characters>
  <CharactersWithSpaces>5844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2024-07-17T10:02:17Z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