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61C522B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C62421"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0F6735"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C62421" w:rsidRPr="007A4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5107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92EB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20B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92E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510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2EB8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46E1706A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320B96">
        <w:rPr>
          <w:rFonts w:ascii="Times New Roman" w:eastAsia="Calibri" w:hAnsi="Times New Roman" w:cs="Times New Roman"/>
          <w:b/>
          <w:sz w:val="28"/>
          <w:szCs w:val="28"/>
        </w:rPr>
        <w:t xml:space="preserve">WYROBÓW MEDYCZNYCH JEDNORAZOWEGO </w:t>
      </w:r>
      <w:r w:rsidR="0025107F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807F9">
        <w:rPr>
          <w:rFonts w:ascii="Times New Roman" w:eastAsia="Calibri" w:hAnsi="Times New Roman" w:cs="Times New Roman"/>
          <w:b/>
          <w:sz w:val="28"/>
          <w:szCs w:val="28"/>
        </w:rPr>
        <w:t xml:space="preserve">UŻYTKU 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45CEAB75" w:rsidR="00E7715E" w:rsidRPr="0025107F" w:rsidRDefault="00E7715E" w:rsidP="0025107F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153B9060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25107F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</w:t>
      </w:r>
      <w:r w:rsidR="0025107F">
        <w:rPr>
          <w:rFonts w:ascii="Times New Roman" w:eastAsia="Times New Roman" w:hAnsi="Times New Roman"/>
          <w:szCs w:val="24"/>
          <w:lang w:eastAsia="ar-SA"/>
        </w:rPr>
        <w:t>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073EA359" w:rsidR="0057454D" w:rsidRPr="00BF7A04" w:rsidRDefault="000D109A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>Ustawa z dnia 7 kwietnia 2022</w:t>
      </w:r>
      <w:r w:rsidR="0057454D" w:rsidRPr="00BF7A04">
        <w:rPr>
          <w:rFonts w:ascii="Times New Roman" w:hAnsi="Times New Roman"/>
        </w:rPr>
        <w:t xml:space="preserve">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>
        <w:rPr>
          <w:rFonts w:ascii="Times New Roman" w:hAnsi="Times New Roman"/>
        </w:rPr>
        <w:t xml:space="preserve"> ze zm.</w:t>
      </w:r>
      <w:r w:rsidR="0057454D"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BE88AEA" w14:textId="77777777" w:rsidR="00320B96" w:rsidRPr="00BF7969" w:rsidRDefault="00320B96" w:rsidP="00320B9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wyrobów medycznych jednorazowego użytku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135E9F6C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 xml:space="preserve">określają formularze asortymentowo – cenowe nr </w:t>
      </w:r>
      <w:r w:rsidRPr="00F807F9">
        <w:rPr>
          <w:rFonts w:ascii="Times New Roman" w:hAnsi="Times New Roman"/>
        </w:rPr>
        <w:t>1.1 – 1.</w:t>
      </w:r>
      <w:r w:rsidR="00F807F9" w:rsidRPr="00F807F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585CD142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5D983F5A" w:rsidR="00EB3F95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F807F9">
        <w:rPr>
          <w:rFonts w:ascii="Times New Roman" w:eastAsia="Calibri" w:hAnsi="Times New Roman" w:cs="Times New Roman"/>
        </w:rPr>
        <w:t>20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41A67570" w14:textId="77777777" w:rsidR="00525E60" w:rsidRDefault="00525E60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5"/>
        <w:gridCol w:w="195"/>
      </w:tblGrid>
      <w:tr w:rsidR="00525E60" w:rsidRPr="00525E60" w14:paraId="7B255F5B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center"/>
            <w:hideMark/>
          </w:tcPr>
          <w:p w14:paraId="7DE2A6C9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 1- Strzykawki jednorazowego użytku</w:t>
            </w:r>
          </w:p>
        </w:tc>
      </w:tr>
      <w:tr w:rsidR="00525E60" w:rsidRPr="00525E60" w14:paraId="11849DAD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bottom"/>
            <w:hideMark/>
          </w:tcPr>
          <w:p w14:paraId="63C82D74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Pakiet  2  -  Przyrządy do przetoczeń </w:t>
            </w:r>
          </w:p>
        </w:tc>
      </w:tr>
      <w:tr w:rsidR="00525E60" w:rsidRPr="00525E60" w14:paraId="4F9D9406" w14:textId="77777777" w:rsidTr="00525E60">
        <w:trPr>
          <w:trHeight w:val="255"/>
        </w:trPr>
        <w:tc>
          <w:tcPr>
            <w:tcW w:w="10215" w:type="dxa"/>
            <w:shd w:val="clear" w:color="auto" w:fill="auto"/>
            <w:noWrap/>
            <w:vAlign w:val="bottom"/>
            <w:hideMark/>
          </w:tcPr>
          <w:p w14:paraId="27A1A3DB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3  -   Szczotki do chirurgicznego mycia rąk, jednorazowego użytku, sterylne</w:t>
            </w:r>
          </w:p>
        </w:tc>
        <w:tc>
          <w:tcPr>
            <w:tcW w:w="125" w:type="dxa"/>
            <w:shd w:val="clear" w:color="auto" w:fill="auto"/>
            <w:noWrap/>
            <w:vAlign w:val="bottom"/>
            <w:hideMark/>
          </w:tcPr>
          <w:p w14:paraId="7F17D043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25E60" w:rsidRPr="00525E60" w14:paraId="3E728686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center"/>
            <w:hideMark/>
          </w:tcPr>
          <w:p w14:paraId="6B44836B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Pakiet 4-  Zestaw do przyłączenia strzykawki typu </w:t>
            </w:r>
            <w:proofErr w:type="spellStart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luer</w:t>
            </w:r>
            <w:proofErr w:type="spellEnd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lock</w:t>
            </w:r>
          </w:p>
        </w:tc>
      </w:tr>
      <w:tr w:rsidR="00525E60" w:rsidRPr="00525E60" w14:paraId="6769F5D1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bottom"/>
            <w:hideMark/>
          </w:tcPr>
          <w:p w14:paraId="4A9F96D3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Pakiet 5 - Elementy wymienne do aparatu </w:t>
            </w:r>
            <w:proofErr w:type="spellStart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Neurosigin</w:t>
            </w:r>
            <w:proofErr w:type="spellEnd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100</w:t>
            </w:r>
          </w:p>
        </w:tc>
      </w:tr>
      <w:tr w:rsidR="00525E60" w:rsidRPr="00525E60" w14:paraId="408A62CA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bottom"/>
            <w:hideMark/>
          </w:tcPr>
          <w:p w14:paraId="6708329B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6 - Zestaw do terapii ozonem</w:t>
            </w:r>
          </w:p>
        </w:tc>
      </w:tr>
      <w:tr w:rsidR="00525E60" w:rsidRPr="00525E60" w14:paraId="531BAB3E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bottom"/>
            <w:hideMark/>
          </w:tcPr>
          <w:p w14:paraId="17FCAA3D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Pakiet 7 -  Mostek </w:t>
            </w:r>
            <w:proofErr w:type="spellStart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stomijny</w:t>
            </w:r>
            <w:proofErr w:type="spellEnd"/>
          </w:p>
        </w:tc>
      </w:tr>
      <w:tr w:rsidR="00525E60" w:rsidRPr="00525E60" w14:paraId="012DB92A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center"/>
            <w:hideMark/>
          </w:tcPr>
          <w:p w14:paraId="6785557E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nr 8 - Jednorazowa igła do podania botoksu</w:t>
            </w:r>
          </w:p>
        </w:tc>
      </w:tr>
      <w:tr w:rsidR="00525E60" w:rsidRPr="00525E60" w14:paraId="7833057C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center"/>
            <w:hideMark/>
          </w:tcPr>
          <w:p w14:paraId="5225336F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Pakiet nr 9 - Cewniki </w:t>
            </w:r>
            <w:proofErr w:type="spellStart"/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pH-mertyczne</w:t>
            </w:r>
            <w:proofErr w:type="spellEnd"/>
          </w:p>
        </w:tc>
      </w:tr>
      <w:tr w:rsidR="00525E60" w:rsidRPr="00525E60" w14:paraId="69CCA9D2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bottom"/>
            <w:hideMark/>
          </w:tcPr>
          <w:p w14:paraId="58665B62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 10 -  Sprzęt do zabiegów urologicznych</w:t>
            </w:r>
          </w:p>
        </w:tc>
      </w:tr>
      <w:tr w:rsidR="00525E60" w:rsidRPr="00525E60" w14:paraId="5522A13B" w14:textId="77777777" w:rsidTr="00525E60">
        <w:trPr>
          <w:trHeight w:val="255"/>
        </w:trPr>
        <w:tc>
          <w:tcPr>
            <w:tcW w:w="10340" w:type="dxa"/>
            <w:gridSpan w:val="2"/>
            <w:shd w:val="clear" w:color="auto" w:fill="auto"/>
            <w:vAlign w:val="center"/>
            <w:hideMark/>
          </w:tcPr>
          <w:p w14:paraId="6B9BDAB7" w14:textId="77777777" w:rsidR="00525E60" w:rsidRPr="00525E60" w:rsidRDefault="00525E60" w:rsidP="0052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5E60">
              <w:rPr>
                <w:rFonts w:ascii="Times New Roman" w:eastAsia="Times New Roman" w:hAnsi="Times New Roman" w:cs="Times New Roman"/>
                <w:bCs/>
                <w:lang w:eastAsia="pl-PL"/>
              </w:rPr>
              <w:t>Pakiet nr 11 - Gaz okulistyczny</w:t>
            </w:r>
          </w:p>
        </w:tc>
      </w:tr>
    </w:tbl>
    <w:p w14:paraId="70EA498A" w14:textId="5B62FB81" w:rsidR="003D2248" w:rsidRDefault="00A92EB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A92EB8">
        <w:rPr>
          <w:rFonts w:ascii="Times New Roman" w:eastAsia="Calibri" w:hAnsi="Times New Roman" w:cs="Times New Roman"/>
        </w:rPr>
        <w:t xml:space="preserve">Pakiet nr 12– Sterylne wkłady 150ml do strzykawki </w:t>
      </w:r>
      <w:proofErr w:type="spellStart"/>
      <w:r w:rsidRPr="00A92EB8">
        <w:rPr>
          <w:rFonts w:ascii="Times New Roman" w:eastAsia="Calibri" w:hAnsi="Times New Roman" w:cs="Times New Roman"/>
        </w:rPr>
        <w:t>Medrad</w:t>
      </w:r>
      <w:proofErr w:type="spellEnd"/>
      <w:r w:rsidRPr="00A92EB8">
        <w:rPr>
          <w:rFonts w:ascii="Times New Roman" w:eastAsia="Calibri" w:hAnsi="Times New Roman" w:cs="Times New Roman"/>
        </w:rPr>
        <w:t xml:space="preserve"> Mark 7</w:t>
      </w:r>
    </w:p>
    <w:p w14:paraId="7F576052" w14:textId="77777777" w:rsidR="00F807F9" w:rsidRDefault="00F807F9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41EA5E47" w14:textId="6B8BB3D9" w:rsidR="00F807F9" w:rsidRDefault="00F807F9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F807F9">
        <w:rPr>
          <w:rFonts w:ascii="Times New Roman" w:eastAsia="Calibri" w:hAnsi="Times New Roman" w:cs="Times New Roman"/>
        </w:rPr>
        <w:t>Pakiet nr 13 -   Wyroby medyczne stosowane w chemioterapii m.in. przyrządy do pobierania i aspiracji</w:t>
      </w:r>
    </w:p>
    <w:p w14:paraId="697F801E" w14:textId="01C52821" w:rsidR="00F807F9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14-</w:t>
      </w:r>
      <w:r w:rsidRPr="00165286">
        <w:rPr>
          <w:rFonts w:ascii="Times New Roman" w:eastAsia="Calibri" w:hAnsi="Times New Roman" w:cs="Times New Roman"/>
        </w:rPr>
        <w:t xml:space="preserve">  Wyroby medyczne stosowane w chemioterapi</w:t>
      </w:r>
      <w:r>
        <w:rPr>
          <w:rFonts w:ascii="Times New Roman" w:eastAsia="Calibri" w:hAnsi="Times New Roman" w:cs="Times New Roman"/>
        </w:rPr>
        <w:t>i</w:t>
      </w:r>
    </w:p>
    <w:p w14:paraId="77D2D4BF" w14:textId="03A122AE" w:rsidR="00165286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15-</w:t>
      </w:r>
      <w:r w:rsidRPr="00165286">
        <w:rPr>
          <w:rFonts w:ascii="Times New Roman" w:eastAsia="Calibri" w:hAnsi="Times New Roman" w:cs="Times New Roman"/>
        </w:rPr>
        <w:t xml:space="preserve">  Wyroby medyczne stosowane w chemioterapi</w:t>
      </w:r>
      <w:r>
        <w:rPr>
          <w:rFonts w:ascii="Times New Roman" w:eastAsia="Calibri" w:hAnsi="Times New Roman" w:cs="Times New Roman"/>
        </w:rPr>
        <w:t>i</w:t>
      </w:r>
    </w:p>
    <w:p w14:paraId="0B144A32" w14:textId="256CED3B" w:rsidR="00165286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16-</w:t>
      </w:r>
      <w:r w:rsidRPr="00165286">
        <w:rPr>
          <w:rFonts w:ascii="Times New Roman" w:eastAsia="Calibri" w:hAnsi="Times New Roman" w:cs="Times New Roman"/>
        </w:rPr>
        <w:t xml:space="preserve">  Wyroby medyczne stosowane w chemioterapi</w:t>
      </w:r>
      <w:r>
        <w:rPr>
          <w:rFonts w:ascii="Times New Roman" w:eastAsia="Calibri" w:hAnsi="Times New Roman" w:cs="Times New Roman"/>
        </w:rPr>
        <w:t>i</w:t>
      </w:r>
    </w:p>
    <w:p w14:paraId="55B5BC36" w14:textId="4B15F195" w:rsidR="00165286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Pakiet nr 17- </w:t>
      </w:r>
      <w:r w:rsidRPr="00165286">
        <w:rPr>
          <w:rFonts w:ascii="Times New Roman" w:eastAsia="Calibri" w:hAnsi="Times New Roman" w:cs="Times New Roman"/>
        </w:rPr>
        <w:t>Akcesoria do terapii podciśni</w:t>
      </w:r>
      <w:r>
        <w:rPr>
          <w:rFonts w:ascii="Times New Roman" w:eastAsia="Calibri" w:hAnsi="Times New Roman" w:cs="Times New Roman"/>
        </w:rPr>
        <w:t xml:space="preserve">eniowej </w:t>
      </w:r>
      <w:r w:rsidR="000D109A">
        <w:rPr>
          <w:rFonts w:ascii="Times New Roman" w:eastAsia="Calibri" w:hAnsi="Times New Roman" w:cs="Times New Roman"/>
        </w:rPr>
        <w:t>– Chirurgia Onkologiczna</w:t>
      </w:r>
    </w:p>
    <w:p w14:paraId="4CD396F2" w14:textId="7A763485" w:rsidR="00165286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Pakiet nr 18- </w:t>
      </w:r>
      <w:r w:rsidRPr="00165286">
        <w:rPr>
          <w:rFonts w:ascii="Times New Roman" w:eastAsia="Calibri" w:hAnsi="Times New Roman" w:cs="Times New Roman"/>
        </w:rPr>
        <w:t>Wyroby medyczne stosowane w okulistyce</w:t>
      </w:r>
    </w:p>
    <w:p w14:paraId="399DFC3B" w14:textId="3005A080" w:rsidR="00165286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Pakiet nr 19- </w:t>
      </w:r>
      <w:r w:rsidRPr="00165286">
        <w:rPr>
          <w:rFonts w:ascii="Times New Roman" w:eastAsia="Calibri" w:hAnsi="Times New Roman" w:cs="Times New Roman"/>
        </w:rPr>
        <w:t>Wyroby medyczne stosowane w okulistyce</w:t>
      </w:r>
    </w:p>
    <w:p w14:paraId="0FB9E812" w14:textId="4CDFC200" w:rsidR="00165286" w:rsidRPr="005D20B9" w:rsidRDefault="00165286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Pakiet nr 20- </w:t>
      </w:r>
      <w:r w:rsidRPr="00165286">
        <w:rPr>
          <w:rFonts w:ascii="Times New Roman" w:eastAsia="Calibri" w:hAnsi="Times New Roman" w:cs="Times New Roman"/>
        </w:rPr>
        <w:t>Wyroby medyczne stosowane w chemioterapii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BB0DE8" w14:textId="77777777" w:rsidR="007A49E8" w:rsidRPr="00E35192" w:rsidRDefault="007A49E8" w:rsidP="007A49E8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>
        <w:rPr>
          <w:rFonts w:ascii="Times New Roman" w:eastAsia="Times New Roman" w:hAnsi="Times New Roman" w:cs="Times New Roman"/>
          <w:lang w:eastAsia="ar-SA"/>
        </w:rPr>
        <w:t xml:space="preserve">przez 24 miesiące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6F115937" w:rsidR="00F3593A" w:rsidRPr="003D602F" w:rsidRDefault="007A49E8" w:rsidP="007A49E8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7A49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7A49E8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7A49E8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7A49E8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7A49E8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7A49E8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7A49E8">
      <w:pPr>
        <w:numPr>
          <w:ilvl w:val="0"/>
          <w:numId w:val="17"/>
        </w:num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153E56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23453E54" w14:textId="77777777" w:rsidR="00153E56" w:rsidRPr="00D06B3C" w:rsidRDefault="00153E5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01B46F55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="001B446B">
        <w:rPr>
          <w:rFonts w:ascii="Times New Roman" w:hAnsi="Times New Roman" w:cs="Times New Roman"/>
        </w:rPr>
        <w:t xml:space="preserve"> </w:t>
      </w:r>
      <w:r w:rsidR="001B446B">
        <w:rPr>
          <w:rFonts w:ascii="Times New Roman" w:eastAsia="Calibri" w:hAnsi="Times New Roman" w:cs="Times New Roman"/>
        </w:rPr>
        <w:t>Małgorzata Cierpka</w:t>
      </w:r>
      <w:r w:rsidR="0025107F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2E1A535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 w:rsidR="00FA55DC"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FA55DC">
        <w:rPr>
          <w:rFonts w:ascii="Times New Roman" w:hAnsi="Times New Roman" w:cs="Times New Roman"/>
          <w:bCs/>
        </w:rPr>
        <w:t>14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BE4D9A4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B0653">
        <w:rPr>
          <w:rFonts w:ascii="Times New Roman" w:eastAsia="Times New Roman" w:hAnsi="Times New Roman" w:cs="Times New Roman"/>
          <w:b/>
          <w:lang w:eastAsia="ar-SA"/>
        </w:rPr>
        <w:t>13.06</w:t>
      </w:r>
      <w:bookmarkStart w:id="21" w:name="_GoBack"/>
      <w:bookmarkEnd w:id="21"/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7A49E8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36FAD313" w:rsidR="004C5BFD" w:rsidRPr="00C62421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64AB8">
        <w:rPr>
          <w:rFonts w:ascii="Times New Roman" w:eastAsia="Calibri" w:hAnsi="Times New Roman" w:cs="Times New Roman"/>
          <w:b/>
          <w:color w:val="000000"/>
          <w:lang w:eastAsia="pl-PL"/>
        </w:rPr>
        <w:t>16</w:t>
      </w:r>
      <w:r w:rsidR="00C62421" w:rsidRPr="00C62421">
        <w:rPr>
          <w:rFonts w:ascii="Times New Roman" w:eastAsia="Calibri" w:hAnsi="Times New Roman" w:cs="Times New Roman"/>
          <w:b/>
          <w:color w:val="000000"/>
          <w:lang w:eastAsia="pl-PL"/>
        </w:rPr>
        <w:t>.03.2023</w:t>
      </w:r>
      <w:r w:rsidR="00D95629" w:rsidRPr="00C62421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C62421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28AB1F48" w:rsidR="0028681B" w:rsidRPr="00C62421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62421">
        <w:rPr>
          <w:rFonts w:ascii="Times New Roman" w:eastAsia="Times New Roman" w:hAnsi="Times New Roman" w:cs="Times New Roman"/>
          <w:lang w:eastAsia="ar-SA"/>
        </w:rPr>
        <w:t>Otwarcie</w:t>
      </w:r>
      <w:r w:rsidRPr="00C62421">
        <w:rPr>
          <w:rFonts w:ascii="Times New Roman" w:hAnsi="Times New Roman" w:cs="Times New Roman"/>
        </w:rPr>
        <w:t xml:space="preserve"> ofert nastąpi w dniu </w:t>
      </w:r>
      <w:r w:rsidR="00664AB8">
        <w:rPr>
          <w:rFonts w:ascii="Times New Roman" w:hAnsi="Times New Roman" w:cs="Times New Roman"/>
          <w:b/>
        </w:rPr>
        <w:t>16</w:t>
      </w:r>
      <w:r w:rsidR="00C62421" w:rsidRPr="00C62421">
        <w:rPr>
          <w:rFonts w:ascii="Times New Roman" w:hAnsi="Times New Roman" w:cs="Times New Roman"/>
          <w:b/>
        </w:rPr>
        <w:t>.03</w:t>
      </w:r>
      <w:r w:rsidR="0096689F" w:rsidRPr="00C62421">
        <w:rPr>
          <w:rFonts w:ascii="Times New Roman" w:hAnsi="Times New Roman" w:cs="Times New Roman"/>
          <w:b/>
        </w:rPr>
        <w:t>.202</w:t>
      </w:r>
      <w:r w:rsidR="0007365F" w:rsidRPr="00C62421">
        <w:rPr>
          <w:rFonts w:ascii="Times New Roman" w:hAnsi="Times New Roman" w:cs="Times New Roman"/>
          <w:b/>
        </w:rPr>
        <w:t>3</w:t>
      </w:r>
      <w:r w:rsidR="002B1DDD" w:rsidRPr="00C62421">
        <w:rPr>
          <w:rFonts w:ascii="Times New Roman" w:hAnsi="Times New Roman" w:cs="Times New Roman"/>
          <w:b/>
        </w:rPr>
        <w:t xml:space="preserve"> r.</w:t>
      </w:r>
      <w:r w:rsidRPr="00C62421">
        <w:rPr>
          <w:rFonts w:ascii="Times New Roman" w:hAnsi="Times New Roman" w:cs="Times New Roman"/>
          <w:b/>
        </w:rPr>
        <w:t xml:space="preserve">, o godzinie </w:t>
      </w:r>
      <w:r w:rsidR="001C5C4B" w:rsidRPr="00C62421">
        <w:rPr>
          <w:rFonts w:ascii="Times New Roman" w:hAnsi="Times New Roman" w:cs="Times New Roman"/>
          <w:b/>
        </w:rPr>
        <w:t>09:15</w:t>
      </w:r>
      <w:r w:rsidRPr="00C62421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39A0AF18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 xml:space="preserve">anowiących załączniki nr </w:t>
      </w:r>
      <w:r w:rsidR="0007365F" w:rsidRPr="0007365F">
        <w:rPr>
          <w:rFonts w:ascii="Times New Roman" w:eastAsia="Calibri" w:hAnsi="Times New Roman" w:cs="Times New Roman"/>
        </w:rPr>
        <w:t>1.1-1.20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23E1C0AA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0E186F">
        <w:rPr>
          <w:rFonts w:ascii="Times New Roman" w:eastAsia="Times New Roman" w:hAnsi="Times New Roman" w:cs="Times New Roman"/>
          <w:b/>
          <w:color w:val="000000"/>
          <w:lang w:eastAsia="pl-PL"/>
        </w:rPr>
        <w:t>Jakub</w:t>
      </w:r>
      <w:r w:rsidR="00A92EB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Betka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32F069EC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A92EB8" w:rsidRPr="00C62421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A92EB8" w:rsidRPr="00C62421">
        <w:rPr>
          <w:rFonts w:ascii="Times New Roman" w:eastAsia="Calibri" w:hAnsi="Times New Roman" w:cs="Times New Roman"/>
          <w:b/>
          <w:color w:val="000000"/>
        </w:rPr>
        <w:t>/</w:t>
      </w:r>
      <w:r w:rsidR="00E9779D" w:rsidRPr="00C62421">
        <w:rPr>
          <w:rFonts w:ascii="Times New Roman" w:eastAsia="Calibri" w:hAnsi="Times New Roman" w:cs="Times New Roman"/>
          <w:b/>
          <w:color w:val="000000"/>
        </w:rPr>
        <w:t>Z</w:t>
      </w:r>
      <w:r w:rsidR="00A92EB8" w:rsidRPr="00C62421">
        <w:rPr>
          <w:rFonts w:ascii="Times New Roman" w:eastAsia="Calibri" w:hAnsi="Times New Roman" w:cs="Times New Roman"/>
          <w:b/>
          <w:color w:val="000000"/>
        </w:rPr>
        <w:t>P</w:t>
      </w:r>
      <w:r w:rsidR="00E9779D" w:rsidRPr="00C62421">
        <w:rPr>
          <w:rFonts w:ascii="Times New Roman" w:eastAsia="Calibri" w:hAnsi="Times New Roman" w:cs="Times New Roman"/>
          <w:b/>
          <w:color w:val="000000"/>
        </w:rPr>
        <w:t>-</w:t>
      </w:r>
      <w:r w:rsidR="00C62421" w:rsidRPr="00C62421">
        <w:rPr>
          <w:rFonts w:ascii="Times New Roman" w:eastAsia="Calibri" w:hAnsi="Times New Roman" w:cs="Times New Roman"/>
          <w:b/>
          <w:color w:val="000000"/>
        </w:rPr>
        <w:t>10</w:t>
      </w:r>
      <w:r w:rsidRPr="00C62421">
        <w:rPr>
          <w:rFonts w:ascii="Times New Roman" w:eastAsia="Calibri" w:hAnsi="Times New Roman" w:cs="Times New Roman"/>
          <w:b/>
          <w:color w:val="000000"/>
        </w:rPr>
        <w:t>/202</w:t>
      </w:r>
      <w:r w:rsidR="00C62421" w:rsidRPr="00C62421">
        <w:rPr>
          <w:rFonts w:ascii="Times New Roman" w:eastAsia="Calibri" w:hAnsi="Times New Roman" w:cs="Times New Roman"/>
          <w:b/>
          <w:color w:val="000000"/>
        </w:rPr>
        <w:t>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0D6C77D9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z dnia 11 września 2019r. – Prawo zam</w:t>
      </w:r>
      <w:r w:rsidR="000D109A">
        <w:rPr>
          <w:rFonts w:ascii="Times New Roman" w:eastAsia="Times New Roman" w:hAnsi="Times New Roman" w:cs="Times New Roman"/>
          <w:color w:val="000000"/>
          <w:lang w:eastAsia="pl-PL"/>
        </w:rPr>
        <w:t>ówień publicznych (Dz. U. z 2022</w:t>
      </w:r>
      <w:r w:rsidR="008E5A41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1710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664AB8" w:rsidRDefault="00664AB8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664AB8" w:rsidRDefault="006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0C2442F1" w:rsidR="00664AB8" w:rsidRPr="00851403" w:rsidRDefault="00664AB8" w:rsidP="0025107F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C62421"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 w:rsidRPr="00C62421">
              <w:rPr>
                <w:rFonts w:ascii="Times New Roman" w:hAnsi="Times New Roman"/>
                <w:sz w:val="20"/>
                <w:szCs w:val="20"/>
                <w:lang w:val="pl-PL"/>
              </w:rPr>
              <w:t>/ZP-10/2023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B065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B065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664AB8" w:rsidRDefault="00664AB8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664AB8" w:rsidRDefault="0066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54"/>
  </w:num>
  <w:num w:numId="7">
    <w:abstractNumId w:val="46"/>
  </w:num>
  <w:num w:numId="8">
    <w:abstractNumId w:val="45"/>
  </w:num>
  <w:num w:numId="9">
    <w:abstractNumId w:val="50"/>
  </w:num>
  <w:num w:numId="10">
    <w:abstractNumId w:val="29"/>
  </w:num>
  <w:num w:numId="11">
    <w:abstractNumId w:val="28"/>
  </w:num>
  <w:num w:numId="12">
    <w:abstractNumId w:val="30"/>
  </w:num>
  <w:num w:numId="13">
    <w:abstractNumId w:val="8"/>
  </w:num>
  <w:num w:numId="14">
    <w:abstractNumId w:val="7"/>
  </w:num>
  <w:num w:numId="15">
    <w:abstractNumId w:val="10"/>
  </w:num>
  <w:num w:numId="16">
    <w:abstractNumId w:val="32"/>
  </w:num>
  <w:num w:numId="17">
    <w:abstractNumId w:val="43"/>
  </w:num>
  <w:num w:numId="18">
    <w:abstractNumId w:val="53"/>
  </w:num>
  <w:num w:numId="19">
    <w:abstractNumId w:val="27"/>
  </w:num>
  <w:num w:numId="20">
    <w:abstractNumId w:val="33"/>
  </w:num>
  <w:num w:numId="21">
    <w:abstractNumId w:val="47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42"/>
  </w:num>
  <w:num w:numId="32">
    <w:abstractNumId w:val="15"/>
  </w:num>
  <w:num w:numId="33">
    <w:abstractNumId w:val="34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7"/>
  </w:num>
  <w:num w:numId="40">
    <w:abstractNumId w:val="41"/>
  </w:num>
  <w:num w:numId="41">
    <w:abstractNumId w:val="57"/>
  </w:num>
  <w:num w:numId="42">
    <w:abstractNumId w:val="20"/>
  </w:num>
  <w:num w:numId="43">
    <w:abstractNumId w:val="18"/>
  </w:num>
  <w:num w:numId="44">
    <w:abstractNumId w:val="58"/>
  </w:num>
  <w:num w:numId="45">
    <w:abstractNumId w:val="48"/>
  </w:num>
  <w:num w:numId="46">
    <w:abstractNumId w:val="59"/>
  </w:num>
  <w:num w:numId="47">
    <w:abstractNumId w:val="25"/>
  </w:num>
  <w:num w:numId="48">
    <w:abstractNumId w:val="5"/>
  </w:num>
  <w:num w:numId="49">
    <w:abstractNumId w:val="2"/>
  </w:num>
  <w:num w:numId="50">
    <w:abstractNumId w:val="6"/>
  </w:num>
  <w:num w:numId="51">
    <w:abstractNumId w:val="19"/>
  </w:num>
  <w:num w:numId="52">
    <w:abstractNumId w:val="40"/>
  </w:num>
  <w:num w:numId="53">
    <w:abstractNumId w:val="13"/>
  </w:num>
  <w:num w:numId="54">
    <w:abstractNumId w:val="37"/>
  </w:num>
  <w:num w:numId="55">
    <w:abstractNumId w:val="12"/>
  </w:num>
  <w:num w:numId="56">
    <w:abstractNumId w:val="55"/>
  </w:num>
  <w:num w:numId="57">
    <w:abstractNumId w:val="56"/>
  </w:num>
  <w:num w:numId="58">
    <w:abstractNumId w:val="24"/>
  </w:num>
  <w:num w:numId="59">
    <w:abstractNumId w:val="51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365F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09A"/>
    <w:rsid w:val="000D13E8"/>
    <w:rsid w:val="000E186F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36BB8"/>
    <w:rsid w:val="00140D06"/>
    <w:rsid w:val="001412AC"/>
    <w:rsid w:val="00144B2D"/>
    <w:rsid w:val="00145541"/>
    <w:rsid w:val="00153E56"/>
    <w:rsid w:val="00161E19"/>
    <w:rsid w:val="00165286"/>
    <w:rsid w:val="00166389"/>
    <w:rsid w:val="001669DB"/>
    <w:rsid w:val="00172DE5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446B"/>
    <w:rsid w:val="001B6357"/>
    <w:rsid w:val="001B7055"/>
    <w:rsid w:val="001B705E"/>
    <w:rsid w:val="001C4385"/>
    <w:rsid w:val="001C5C4B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07F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1519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25E60"/>
    <w:rsid w:val="00534CAB"/>
    <w:rsid w:val="005411F7"/>
    <w:rsid w:val="005473AD"/>
    <w:rsid w:val="00551C0A"/>
    <w:rsid w:val="00552098"/>
    <w:rsid w:val="005615A0"/>
    <w:rsid w:val="00563E3B"/>
    <w:rsid w:val="00564F53"/>
    <w:rsid w:val="00565A59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64AB8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49E8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E5A41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33A"/>
    <w:rsid w:val="00947DE2"/>
    <w:rsid w:val="009547AC"/>
    <w:rsid w:val="00956152"/>
    <w:rsid w:val="00962BDD"/>
    <w:rsid w:val="0096689F"/>
    <w:rsid w:val="009750B6"/>
    <w:rsid w:val="00980977"/>
    <w:rsid w:val="00982032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0653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EB8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2421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A72EF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0F2B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449C0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07F9"/>
    <w:rsid w:val="00F81607"/>
    <w:rsid w:val="00F910EB"/>
    <w:rsid w:val="00F9638C"/>
    <w:rsid w:val="00FA2242"/>
    <w:rsid w:val="00FA3064"/>
    <w:rsid w:val="00FA55DC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A875BE-CBC9-4939-A697-CB1A28F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9467</Words>
  <Characters>56806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12</cp:revision>
  <cp:lastPrinted>2023-02-03T07:56:00Z</cp:lastPrinted>
  <dcterms:created xsi:type="dcterms:W3CDTF">2023-01-31T07:23:00Z</dcterms:created>
  <dcterms:modified xsi:type="dcterms:W3CDTF">2023-02-07T10:53:00Z</dcterms:modified>
</cp:coreProperties>
</file>