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5EAB" w14:textId="77777777" w:rsidR="00C65D81" w:rsidRPr="009F387A" w:rsidRDefault="00C65D81" w:rsidP="00C65D81">
      <w:pPr>
        <w:spacing w:line="276" w:lineRule="auto"/>
        <w:rPr>
          <w:rFonts w:ascii="Cambria" w:hAnsi="Cambria" w:cs="Arial"/>
          <w:b/>
          <w:caps/>
          <w:sz w:val="20"/>
          <w:szCs w:val="20"/>
        </w:rPr>
      </w:pPr>
    </w:p>
    <w:p w14:paraId="659C958B" w14:textId="77777777" w:rsidR="00C65D81" w:rsidRDefault="00C65D81" w:rsidP="00C65D81">
      <w:pPr>
        <w:tabs>
          <w:tab w:val="num" w:pos="0"/>
          <w:tab w:val="left" w:pos="6804"/>
        </w:tabs>
        <w:suppressAutoHyphens/>
        <w:spacing w:after="40" w:line="276" w:lineRule="auto"/>
        <w:rPr>
          <w:rFonts w:ascii="Cambria" w:hAnsi="Cambria" w:cs="Arial"/>
          <w:bCs/>
          <w:sz w:val="20"/>
          <w:szCs w:val="20"/>
          <w:u w:val="single"/>
        </w:rPr>
      </w:pPr>
      <w:r>
        <w:rPr>
          <w:rFonts w:ascii="Cambria" w:hAnsi="Cambria" w:cs="Arial"/>
          <w:bCs/>
          <w:sz w:val="20"/>
          <w:szCs w:val="20"/>
          <w:u w:val="single"/>
        </w:rPr>
        <w:t>ZAŁĄCZNIK NR 5</w:t>
      </w:r>
    </w:p>
    <w:p w14:paraId="4321E404" w14:textId="77777777" w:rsidR="00C65D81" w:rsidRDefault="00C65D81" w:rsidP="00C65D81">
      <w:pPr>
        <w:tabs>
          <w:tab w:val="num" w:pos="0"/>
          <w:tab w:val="left" w:pos="6804"/>
        </w:tabs>
        <w:suppressAutoHyphens/>
        <w:spacing w:after="40" w:line="276" w:lineRule="auto"/>
        <w:rPr>
          <w:rFonts w:ascii="Cambria" w:hAnsi="Cambria" w:cs="Arial"/>
          <w:bCs/>
          <w:sz w:val="20"/>
          <w:szCs w:val="20"/>
          <w:u w:val="single"/>
        </w:rPr>
      </w:pPr>
    </w:p>
    <w:p w14:paraId="06354439" w14:textId="77777777" w:rsidR="00C65D81" w:rsidRPr="00DC5E8C" w:rsidRDefault="00C65D81" w:rsidP="00C65D81">
      <w:pPr>
        <w:widowControl w:val="0"/>
        <w:pBdr>
          <w:bottom w:val="double" w:sz="4" w:space="1" w:color="auto"/>
        </w:pBdr>
        <w:shd w:val="clear" w:color="auto" w:fill="D9D9D9"/>
        <w:suppressAutoHyphens/>
        <w:jc w:val="center"/>
        <w:rPr>
          <w:rFonts w:ascii="Cambria" w:hAnsi="Cambria" w:cs="Calibri"/>
          <w:b/>
          <w:sz w:val="20"/>
          <w:szCs w:val="20"/>
          <w:lang w:eastAsia="ar-SA"/>
        </w:rPr>
      </w:pPr>
      <w:r>
        <w:rPr>
          <w:rFonts w:ascii="Cambria" w:hAnsi="Cambria" w:cs="Calibri"/>
          <w:b/>
          <w:sz w:val="20"/>
          <w:szCs w:val="20"/>
          <w:lang w:eastAsia="ar-SA"/>
        </w:rPr>
        <w:t>SZCZEGÓŁOWY OPIS PRZEDMIOTU ZAMÓWIENIA</w:t>
      </w:r>
    </w:p>
    <w:p w14:paraId="4486FF38" w14:textId="77777777" w:rsidR="00C65D81" w:rsidRDefault="00C65D81" w:rsidP="00C65D81">
      <w:pPr>
        <w:tabs>
          <w:tab w:val="num" w:pos="0"/>
          <w:tab w:val="left" w:pos="6804"/>
        </w:tabs>
        <w:suppressAutoHyphens/>
        <w:spacing w:after="40" w:line="276" w:lineRule="auto"/>
        <w:rPr>
          <w:rFonts w:ascii="Cambria" w:hAnsi="Cambria" w:cs="Arial"/>
          <w:bCs/>
          <w:sz w:val="20"/>
          <w:szCs w:val="20"/>
          <w:u w:val="single"/>
        </w:rPr>
      </w:pPr>
    </w:p>
    <w:p w14:paraId="09F9F03F" w14:textId="77777777" w:rsidR="00C65D81" w:rsidRPr="00A52121" w:rsidRDefault="00C65D81" w:rsidP="00C65D81">
      <w:pPr>
        <w:numPr>
          <w:ilvl w:val="0"/>
          <w:numId w:val="2"/>
        </w:numPr>
        <w:tabs>
          <w:tab w:val="left" w:pos="284"/>
        </w:tabs>
        <w:autoSpaceDE w:val="0"/>
        <w:autoSpaceDN w:val="0"/>
        <w:adjustRightInd w:val="0"/>
        <w:spacing w:after="160" w:line="288" w:lineRule="auto"/>
        <w:ind w:left="0" w:firstLine="0"/>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Przedmiotem zamówienia jest świadczenie usług pocztowych w obrocie krajowym i zagranicznym w zakresie przyjmowania, przemieszczania i doręczania przesyłek pocztowych, oraz zwrot do Zamawiającego przesyłek po wyczerpaniu możliwości ich doręczenia w rozumieniu ustawy z dnia 23 listopada 2012 r. - Prawo pocztowe (Dz. U. z 2023 r., poz. 1640). </w:t>
      </w:r>
    </w:p>
    <w:p w14:paraId="54825FC0" w14:textId="77777777" w:rsidR="00C65D81" w:rsidRPr="00A52121" w:rsidRDefault="00C65D81" w:rsidP="00C65D81">
      <w:pPr>
        <w:numPr>
          <w:ilvl w:val="0"/>
          <w:numId w:val="2"/>
        </w:numPr>
        <w:tabs>
          <w:tab w:val="left" w:pos="284"/>
          <w:tab w:val="left" w:pos="851"/>
        </w:tabs>
        <w:autoSpaceDE w:val="0"/>
        <w:autoSpaceDN w:val="0"/>
        <w:adjustRightInd w:val="0"/>
        <w:spacing w:after="126" w:line="288" w:lineRule="auto"/>
        <w:ind w:left="0" w:firstLine="0"/>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Zakres zamówienia obejmuje m.in.:</w:t>
      </w:r>
    </w:p>
    <w:p w14:paraId="28A031CD" w14:textId="77777777" w:rsidR="00C65D81" w:rsidRPr="00A52121" w:rsidRDefault="00C65D81" w:rsidP="00C65D81">
      <w:pPr>
        <w:numPr>
          <w:ilvl w:val="0"/>
          <w:numId w:val="3"/>
        </w:numPr>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Przesyłki nierejestrowane, niebędące przesyłkami najszybszej kategorii w obrocie krajowym (zwykłe); </w:t>
      </w:r>
    </w:p>
    <w:p w14:paraId="24A35247" w14:textId="77777777" w:rsidR="00C65D81" w:rsidRPr="00A52121" w:rsidRDefault="00C65D81" w:rsidP="00C65D81">
      <w:pPr>
        <w:numPr>
          <w:ilvl w:val="0"/>
          <w:numId w:val="3"/>
        </w:numPr>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 Przesyłki nierejestrowane najszybszej kategorii w obrocie krajowym (zwykłe priorytetowe); </w:t>
      </w:r>
    </w:p>
    <w:p w14:paraId="2898283D" w14:textId="77777777" w:rsidR="00C65D81" w:rsidRPr="00A52121" w:rsidRDefault="00C65D81" w:rsidP="00C65D81">
      <w:pPr>
        <w:numPr>
          <w:ilvl w:val="0"/>
          <w:numId w:val="3"/>
        </w:numPr>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Przesyłki rejestrowane, niebędące przesyłkami najszybszej kategorii w obrocie krajowym (polecone); </w:t>
      </w:r>
    </w:p>
    <w:p w14:paraId="704C79B5" w14:textId="77777777" w:rsidR="00C65D81" w:rsidRPr="00A52121" w:rsidRDefault="00C65D81" w:rsidP="00C65D81">
      <w:pPr>
        <w:numPr>
          <w:ilvl w:val="0"/>
          <w:numId w:val="3"/>
        </w:numPr>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Przesyłki rejestrowane najszybszej kategorii w obrocie krajowym (polecone priorytetowe); </w:t>
      </w:r>
    </w:p>
    <w:p w14:paraId="40E614E2" w14:textId="77777777" w:rsidR="00C65D81" w:rsidRPr="00A52121" w:rsidRDefault="00C65D81" w:rsidP="00C65D81">
      <w:pPr>
        <w:numPr>
          <w:ilvl w:val="0"/>
          <w:numId w:val="3"/>
        </w:numPr>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Zwrotne potwierdzenie odbioru; </w:t>
      </w:r>
    </w:p>
    <w:p w14:paraId="55BBECF4" w14:textId="77777777" w:rsidR="00C65D81" w:rsidRPr="00A52121" w:rsidRDefault="00C65D81" w:rsidP="00C65D81">
      <w:pPr>
        <w:numPr>
          <w:ilvl w:val="0"/>
          <w:numId w:val="3"/>
        </w:numPr>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Elektroniczne potwierdzenie odbioru (EPO); </w:t>
      </w:r>
    </w:p>
    <w:p w14:paraId="257E3817" w14:textId="77777777" w:rsidR="00C65D81" w:rsidRPr="00A52121" w:rsidRDefault="00C65D81" w:rsidP="00C65D81">
      <w:pPr>
        <w:numPr>
          <w:ilvl w:val="0"/>
          <w:numId w:val="3"/>
        </w:numPr>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Przesyłki rejestrowane, niebędące przesyłkami najszybszej kategorii ze zwrotnym potwierdzeniem odbioru w obrocie krajowym do 500 g z zadeklarowaną wartością 30 zł; </w:t>
      </w:r>
    </w:p>
    <w:p w14:paraId="763A8FF6" w14:textId="77777777" w:rsidR="00C65D81" w:rsidRPr="00A52121" w:rsidRDefault="00C65D81" w:rsidP="00C65D81">
      <w:pPr>
        <w:numPr>
          <w:ilvl w:val="0"/>
          <w:numId w:val="3"/>
        </w:numPr>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Przesyłki nierejestrowane najszybszej kategorii w obrocie zagranicznym obszar Europy (zwykłe priorytetowe); </w:t>
      </w:r>
    </w:p>
    <w:p w14:paraId="3FB1C6C1" w14:textId="77777777" w:rsidR="00C65D81" w:rsidRPr="00A52121" w:rsidRDefault="00C65D81" w:rsidP="00C65D81">
      <w:pPr>
        <w:numPr>
          <w:ilvl w:val="0"/>
          <w:numId w:val="3"/>
        </w:numPr>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Przesyłki nierejestrowane najszybszej kategorii w obrocie zagranicznym poza obszar Europy (zwykłe priorytetowe); </w:t>
      </w:r>
    </w:p>
    <w:p w14:paraId="2222B3A8" w14:textId="77777777" w:rsidR="00C65D81" w:rsidRPr="00A52121" w:rsidRDefault="00C65D81" w:rsidP="00C65D81">
      <w:pPr>
        <w:numPr>
          <w:ilvl w:val="0"/>
          <w:numId w:val="3"/>
        </w:numPr>
        <w:tabs>
          <w:tab w:val="left" w:pos="426"/>
        </w:tabs>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Przesyłki rejestrowane najszybszej kategorii w obrocie zagranicznym obszar Europy (polecone priorytetowe); </w:t>
      </w:r>
    </w:p>
    <w:p w14:paraId="2852E9D5" w14:textId="77777777" w:rsidR="00C65D81" w:rsidRPr="00A52121" w:rsidRDefault="00C65D81" w:rsidP="00C65D81">
      <w:pPr>
        <w:numPr>
          <w:ilvl w:val="0"/>
          <w:numId w:val="3"/>
        </w:numPr>
        <w:tabs>
          <w:tab w:val="left" w:pos="426"/>
        </w:tabs>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Przesyłki rejestrowane najszybszej kategorii w obrocie zagranicznym poza obszar Europy (polecone priorytetowe); </w:t>
      </w:r>
    </w:p>
    <w:p w14:paraId="0FE153E4" w14:textId="77777777" w:rsidR="00C65D81" w:rsidRPr="00A52121" w:rsidRDefault="00C65D81" w:rsidP="00C65D81">
      <w:pPr>
        <w:numPr>
          <w:ilvl w:val="0"/>
          <w:numId w:val="3"/>
        </w:numPr>
        <w:tabs>
          <w:tab w:val="left" w:pos="426"/>
        </w:tabs>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Paczki rejestrowane niebędące paczkami najszybszej kategorii w obrocie krajowym; </w:t>
      </w:r>
    </w:p>
    <w:p w14:paraId="525C1E8E" w14:textId="77777777" w:rsidR="00C65D81" w:rsidRPr="00A52121" w:rsidRDefault="00C65D81" w:rsidP="00C65D81">
      <w:pPr>
        <w:numPr>
          <w:ilvl w:val="0"/>
          <w:numId w:val="3"/>
        </w:numPr>
        <w:tabs>
          <w:tab w:val="left" w:pos="426"/>
        </w:tabs>
        <w:autoSpaceDE w:val="0"/>
        <w:autoSpaceDN w:val="0"/>
        <w:adjustRightInd w:val="0"/>
        <w:spacing w:after="128"/>
        <w:ind w:left="567" w:hanging="142"/>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Paczki rejestrowane najszybszej kategorii w obrocie krajowym (priorytetowe); </w:t>
      </w:r>
    </w:p>
    <w:p w14:paraId="330D076D" w14:textId="77777777" w:rsidR="00C65D81" w:rsidRPr="00A52121" w:rsidRDefault="00C65D81" w:rsidP="00C65D81">
      <w:pPr>
        <w:numPr>
          <w:ilvl w:val="0"/>
          <w:numId w:val="3"/>
        </w:numPr>
        <w:tabs>
          <w:tab w:val="left" w:pos="426"/>
        </w:tabs>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Paczki niebędące przesyłkami najszybszej kategorii w obrocie zagranicznym – obszar Europa; </w:t>
      </w:r>
    </w:p>
    <w:p w14:paraId="15E2B246" w14:textId="77777777" w:rsidR="00C65D81" w:rsidRPr="00A52121" w:rsidRDefault="00C65D81" w:rsidP="00C65D81">
      <w:pPr>
        <w:numPr>
          <w:ilvl w:val="0"/>
          <w:numId w:val="3"/>
        </w:numPr>
        <w:tabs>
          <w:tab w:val="left" w:pos="426"/>
        </w:tabs>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 Paczki niebędące przesyłkami najszybszej kategorii w obrocie zagranicznym – poza obszar Europy;</w:t>
      </w:r>
    </w:p>
    <w:p w14:paraId="34DDDA75" w14:textId="77777777" w:rsidR="00C65D81" w:rsidRPr="00A52121" w:rsidRDefault="00C65D81" w:rsidP="00C65D81">
      <w:pPr>
        <w:numPr>
          <w:ilvl w:val="0"/>
          <w:numId w:val="3"/>
        </w:numPr>
        <w:tabs>
          <w:tab w:val="left" w:pos="426"/>
        </w:tabs>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Paczki będące przesyłkami najszybszej kategorii w obrocie zagranicznym – obszar Europa (priorytetowe); </w:t>
      </w:r>
    </w:p>
    <w:p w14:paraId="3E1288BB" w14:textId="77777777" w:rsidR="00C65D81" w:rsidRPr="00A52121" w:rsidRDefault="00C65D81" w:rsidP="00C65D81">
      <w:pPr>
        <w:numPr>
          <w:ilvl w:val="0"/>
          <w:numId w:val="3"/>
        </w:numPr>
        <w:tabs>
          <w:tab w:val="left" w:pos="426"/>
        </w:tabs>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Paczki będące przesyłkami najszybszej kategorii w obrocie zagranicznym – poza obszar Europy (priorytetowe); </w:t>
      </w:r>
    </w:p>
    <w:p w14:paraId="681439AF" w14:textId="77777777" w:rsidR="00C65D81" w:rsidRPr="00A52121" w:rsidRDefault="00C65D81" w:rsidP="00C65D81">
      <w:pPr>
        <w:numPr>
          <w:ilvl w:val="0"/>
          <w:numId w:val="3"/>
        </w:numPr>
        <w:tabs>
          <w:tab w:val="left" w:pos="426"/>
        </w:tabs>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Usługę „zwrot niedoręczonej przesyłki rejestrowanej do siedziby zamawiającego” w obrocie krajowym; </w:t>
      </w:r>
    </w:p>
    <w:p w14:paraId="6AF5E0EA" w14:textId="77777777" w:rsidR="00C65D81" w:rsidRPr="00A52121" w:rsidRDefault="00C65D81" w:rsidP="00C65D81">
      <w:pPr>
        <w:numPr>
          <w:ilvl w:val="0"/>
          <w:numId w:val="3"/>
        </w:numPr>
        <w:tabs>
          <w:tab w:val="left" w:pos="426"/>
        </w:tabs>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Usługę „zwrot niedoręczonej przesyłki rejestrowanej do siedziby zamawiającego” w obrocie zagranicznym; </w:t>
      </w:r>
    </w:p>
    <w:p w14:paraId="75C251E3" w14:textId="77777777" w:rsidR="00C65D81" w:rsidRPr="00A52121" w:rsidRDefault="00C65D81" w:rsidP="00C65D81">
      <w:pPr>
        <w:numPr>
          <w:ilvl w:val="0"/>
          <w:numId w:val="3"/>
        </w:numPr>
        <w:tabs>
          <w:tab w:val="left" w:pos="426"/>
        </w:tabs>
        <w:autoSpaceDE w:val="0"/>
        <w:autoSpaceDN w:val="0"/>
        <w:adjustRightInd w:val="0"/>
        <w:spacing w:after="128"/>
        <w:ind w:left="567"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 Usługę „zwrot niedoręczonej paczki rejestrowanej do siedziby zamawiającego” w obrocie krajowym; </w:t>
      </w:r>
    </w:p>
    <w:p w14:paraId="3ACC6C6C" w14:textId="77777777" w:rsidR="00C65D81" w:rsidRPr="00CD6E7D" w:rsidRDefault="00C65D81" w:rsidP="00C65D81">
      <w:pPr>
        <w:numPr>
          <w:ilvl w:val="0"/>
          <w:numId w:val="3"/>
        </w:numPr>
        <w:tabs>
          <w:tab w:val="left" w:pos="426"/>
        </w:tabs>
        <w:autoSpaceDE w:val="0"/>
        <w:autoSpaceDN w:val="0"/>
        <w:adjustRightInd w:val="0"/>
        <w:spacing w:after="128"/>
        <w:ind w:left="567" w:hanging="284"/>
        <w:jc w:val="both"/>
        <w:rPr>
          <w:rFonts w:ascii="Cambria" w:eastAsia="Calibri" w:hAnsi="Cambria" w:cs="Calibri"/>
          <w:color w:val="000000"/>
          <w:sz w:val="20"/>
          <w:szCs w:val="22"/>
          <w:lang w:eastAsia="en-US"/>
        </w:rPr>
      </w:pPr>
      <w:r w:rsidRPr="00CD6E7D">
        <w:rPr>
          <w:rFonts w:ascii="Cambria" w:eastAsia="Calibri" w:hAnsi="Cambria" w:cs="Calibri"/>
          <w:color w:val="000000"/>
          <w:sz w:val="20"/>
          <w:szCs w:val="22"/>
          <w:lang w:eastAsia="en-US"/>
        </w:rPr>
        <w:t xml:space="preserve">Druki bezadresowe w obrocie krajowym z terminem doręczenia max 7 dniowym od daty odbioru druków; (termin 7 dni jest terminem deklarowanym, a usługa będzie świadczona dla Zamawiającego na </w:t>
      </w:r>
      <w:r w:rsidRPr="00CD6E7D">
        <w:rPr>
          <w:rFonts w:ascii="Cambria" w:eastAsia="Calibri" w:hAnsi="Cambria" w:cs="Calibri"/>
          <w:sz w:val="20"/>
          <w:szCs w:val="22"/>
          <w:lang w:eastAsia="en-US"/>
        </w:rPr>
        <w:t>podstawie</w:t>
      </w:r>
      <w:r w:rsidRPr="00CD6E7D">
        <w:rPr>
          <w:rFonts w:ascii="Cambria" w:eastAsia="Calibri" w:hAnsi="Cambria" w:cs="Calibri"/>
          <w:color w:val="000000"/>
          <w:sz w:val="20"/>
          <w:szCs w:val="22"/>
          <w:lang w:eastAsia="en-US"/>
        </w:rPr>
        <w:t xml:space="preserve"> Regulaminu Wykonawcy, aktualnego na dzień nadania druków)</w:t>
      </w:r>
    </w:p>
    <w:p w14:paraId="4F6847EC" w14:textId="77777777" w:rsidR="00C65D81" w:rsidRPr="00A52121" w:rsidRDefault="00C65D81" w:rsidP="00C65D81">
      <w:pPr>
        <w:numPr>
          <w:ilvl w:val="0"/>
          <w:numId w:val="3"/>
        </w:numPr>
        <w:tabs>
          <w:tab w:val="left" w:pos="426"/>
        </w:tabs>
        <w:autoSpaceDE w:val="0"/>
        <w:autoSpaceDN w:val="0"/>
        <w:adjustRightInd w:val="0"/>
        <w:spacing w:after="128"/>
        <w:ind w:left="567" w:hanging="284"/>
        <w:jc w:val="both"/>
        <w:rPr>
          <w:rFonts w:ascii="Cambria" w:eastAsia="Calibri" w:hAnsi="Cambria" w:cs="Calibri"/>
          <w:color w:val="000000"/>
          <w:sz w:val="20"/>
          <w:szCs w:val="22"/>
          <w:highlight w:val="yellow"/>
          <w:lang w:eastAsia="en-US"/>
        </w:rPr>
      </w:pPr>
      <w:r w:rsidRPr="00CD6E7D">
        <w:rPr>
          <w:rFonts w:ascii="Cambria" w:eastAsia="Calibri" w:hAnsi="Cambria" w:cs="Calibri"/>
          <w:color w:val="000000"/>
          <w:sz w:val="20"/>
          <w:szCs w:val="22"/>
          <w:lang w:eastAsia="en-US"/>
        </w:rPr>
        <w:t>Przesyłki marketingowe (będą świadczona dla Zamawiającego na podstawie Regulaminu Wykonawcy, aktualnego na dzień nadania druków dostępnego na stronie internetowej Wykonawcy).</w:t>
      </w:r>
    </w:p>
    <w:p w14:paraId="6E9BF6A8" w14:textId="77777777" w:rsidR="00C65D81" w:rsidRPr="00A52121" w:rsidRDefault="00C65D81" w:rsidP="00C65D81">
      <w:pPr>
        <w:numPr>
          <w:ilvl w:val="0"/>
          <w:numId w:val="2"/>
        </w:numPr>
        <w:tabs>
          <w:tab w:val="left" w:pos="426"/>
        </w:tabs>
        <w:autoSpaceDE w:val="0"/>
        <w:autoSpaceDN w:val="0"/>
        <w:adjustRightInd w:val="0"/>
        <w:spacing w:after="128" w:line="288" w:lineRule="auto"/>
        <w:ind w:left="284"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lastRenderedPageBreak/>
        <w:t xml:space="preserve">Przez przesyłki pocztowe, będące przedmiotem zamówienia rozumie się: </w:t>
      </w:r>
    </w:p>
    <w:p w14:paraId="705287A2" w14:textId="77777777" w:rsidR="00C65D81" w:rsidRPr="00A52121" w:rsidRDefault="00C65D81" w:rsidP="00C65D81">
      <w:pPr>
        <w:numPr>
          <w:ilvl w:val="0"/>
          <w:numId w:val="4"/>
        </w:numPr>
        <w:autoSpaceDE w:val="0"/>
        <w:autoSpaceDN w:val="0"/>
        <w:adjustRightInd w:val="0"/>
        <w:spacing w:after="126" w:line="288" w:lineRule="auto"/>
        <w:ind w:left="567" w:hanging="283"/>
        <w:jc w:val="both"/>
        <w:rPr>
          <w:rFonts w:ascii="Cambria" w:eastAsia="Calibri" w:hAnsi="Cambria" w:cs="Calibri"/>
          <w:color w:val="000000"/>
          <w:sz w:val="20"/>
          <w:szCs w:val="22"/>
          <w:lang w:eastAsia="en-US"/>
        </w:rPr>
      </w:pPr>
      <w:r>
        <w:rPr>
          <w:rFonts w:ascii="Cambria" w:eastAsia="Calibri" w:hAnsi="Cambria" w:cs="Calibri"/>
          <w:color w:val="000000"/>
          <w:sz w:val="20"/>
          <w:szCs w:val="22"/>
          <w:lang w:eastAsia="en-US"/>
        </w:rPr>
        <w:t xml:space="preserve"> </w:t>
      </w:r>
      <w:r w:rsidRPr="00A52121">
        <w:rPr>
          <w:rFonts w:ascii="Cambria" w:eastAsia="Calibri" w:hAnsi="Cambria" w:cs="Calibri"/>
          <w:color w:val="000000"/>
          <w:sz w:val="20"/>
          <w:szCs w:val="22"/>
          <w:lang w:eastAsia="en-US"/>
        </w:rPr>
        <w:t>przesyłki listowe o wadze do 2000 g:</w:t>
      </w:r>
    </w:p>
    <w:p w14:paraId="292A54C1" w14:textId="77777777" w:rsidR="00C65D81" w:rsidRPr="00A52121" w:rsidRDefault="00C65D81" w:rsidP="00C65D81">
      <w:pPr>
        <w:numPr>
          <w:ilvl w:val="0"/>
          <w:numId w:val="1"/>
        </w:numPr>
        <w:autoSpaceDE w:val="0"/>
        <w:autoSpaceDN w:val="0"/>
        <w:adjustRightInd w:val="0"/>
        <w:spacing w:after="126"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zwykłe – przesyłka nie rejestrowana nie będąca przesyłką najszybszej kategorii, </w:t>
      </w:r>
    </w:p>
    <w:p w14:paraId="5802302D" w14:textId="77777777" w:rsidR="00C65D81" w:rsidRPr="00A52121" w:rsidRDefault="00C65D81" w:rsidP="00C65D81">
      <w:pPr>
        <w:numPr>
          <w:ilvl w:val="0"/>
          <w:numId w:val="1"/>
        </w:numPr>
        <w:autoSpaceDE w:val="0"/>
        <w:autoSpaceDN w:val="0"/>
        <w:adjustRightInd w:val="0"/>
        <w:spacing w:after="126"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zwykłe priorytetowe – przesyłka nie rejestrowana listowa najszybszej kategorii, </w:t>
      </w:r>
    </w:p>
    <w:p w14:paraId="66FF13CC" w14:textId="77777777" w:rsidR="00C65D81" w:rsidRPr="00A52121" w:rsidRDefault="00C65D81" w:rsidP="00C65D81">
      <w:pPr>
        <w:numPr>
          <w:ilvl w:val="0"/>
          <w:numId w:val="1"/>
        </w:numPr>
        <w:autoSpaceDE w:val="0"/>
        <w:autoSpaceDN w:val="0"/>
        <w:adjustRightInd w:val="0"/>
        <w:spacing w:after="126"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polecone – przesyłka rejestrowana będąca przesyłką listową, przemieszczaną i doręczaną w sposób zabezpieczający ją przed utratą, ubytkiem zawartości lub uszkodzeniem, </w:t>
      </w:r>
    </w:p>
    <w:p w14:paraId="62A77710" w14:textId="77777777" w:rsidR="00C65D81" w:rsidRPr="00A52121" w:rsidRDefault="00C65D81" w:rsidP="00C65D81">
      <w:pPr>
        <w:numPr>
          <w:ilvl w:val="0"/>
          <w:numId w:val="1"/>
        </w:numPr>
        <w:autoSpaceDE w:val="0"/>
        <w:autoSpaceDN w:val="0"/>
        <w:adjustRightInd w:val="0"/>
        <w:spacing w:after="126"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polecone priorytetowe – przesyłka rejestrowana najszybszej kategorii, </w:t>
      </w:r>
    </w:p>
    <w:p w14:paraId="4D8F879D" w14:textId="77777777" w:rsidR="00C65D81" w:rsidRPr="00A52121" w:rsidRDefault="00C65D81" w:rsidP="00C65D81">
      <w:pPr>
        <w:numPr>
          <w:ilvl w:val="0"/>
          <w:numId w:val="1"/>
        </w:numPr>
        <w:autoSpaceDE w:val="0"/>
        <w:autoSpaceDN w:val="0"/>
        <w:adjustRightInd w:val="0"/>
        <w:spacing w:after="126"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polecone ze zwrotnym poświadczeniem odbioru (ZPO) – przesyłka przyjęta za potwierdzeniem nadania i doręczona za pokwitowaniem odbioru, </w:t>
      </w:r>
    </w:p>
    <w:p w14:paraId="165273F8" w14:textId="77777777" w:rsidR="00C65D81" w:rsidRPr="00A52121" w:rsidRDefault="00C65D81" w:rsidP="00C65D81">
      <w:pPr>
        <w:numPr>
          <w:ilvl w:val="0"/>
          <w:numId w:val="1"/>
        </w:numPr>
        <w:autoSpaceDE w:val="0"/>
        <w:autoSpaceDN w:val="0"/>
        <w:adjustRightInd w:val="0"/>
        <w:spacing w:after="126"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polecone priorytetowe ze zwrotnym poświadczeniem odbioru (ZPO) – przesyłka najszybszej kategorii przyjęta za potwierdzeniem nadania i doręczona za pokwitowaniem odbioru, </w:t>
      </w:r>
    </w:p>
    <w:p w14:paraId="7437B414" w14:textId="77777777" w:rsidR="00C65D81" w:rsidRPr="00A52121" w:rsidRDefault="00C65D81" w:rsidP="00C65D81">
      <w:pPr>
        <w:numPr>
          <w:ilvl w:val="0"/>
          <w:numId w:val="1"/>
        </w:numPr>
        <w:autoSpaceDE w:val="0"/>
        <w:autoSpaceDN w:val="0"/>
        <w:adjustRightInd w:val="0"/>
        <w:spacing w:after="126"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z zadeklarowaną wartością – przesyłka rejestrowana, za której utratę, ubytek zawartości lub uszkodzenie operator ponosi odpowiedzialność do wysokości wartości przesyłki podanej przez nadawcę. </w:t>
      </w:r>
    </w:p>
    <w:p w14:paraId="18044BF1" w14:textId="77777777" w:rsidR="00C65D81" w:rsidRPr="00A52121" w:rsidRDefault="00C65D81" w:rsidP="00C65D81">
      <w:pPr>
        <w:autoSpaceDE w:val="0"/>
        <w:autoSpaceDN w:val="0"/>
        <w:adjustRightInd w:val="0"/>
        <w:spacing w:line="288" w:lineRule="auto"/>
        <w:ind w:left="780"/>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Wymiary przesyłek listowych przyjmuje się z tolerancją +/- 2 mm i wynoszą one: </w:t>
      </w:r>
    </w:p>
    <w:p w14:paraId="77E22CF2" w14:textId="77777777" w:rsidR="00C65D81" w:rsidRPr="00A52121" w:rsidRDefault="00C65D81" w:rsidP="00C65D81">
      <w:pPr>
        <w:autoSpaceDE w:val="0"/>
        <w:autoSpaceDN w:val="0"/>
        <w:adjustRightInd w:val="0"/>
        <w:spacing w:after="126" w:line="288" w:lineRule="auto"/>
        <w:ind w:left="420" w:firstLine="288"/>
        <w:jc w:val="both"/>
        <w:rPr>
          <w:rFonts w:ascii="Cambria" w:eastAsia="Calibri" w:hAnsi="Cambria" w:cs="Calibri"/>
          <w:color w:val="000000"/>
          <w:sz w:val="20"/>
          <w:szCs w:val="22"/>
          <w:u w:val="single"/>
          <w:lang w:eastAsia="en-US"/>
        </w:rPr>
      </w:pPr>
      <w:r w:rsidRPr="00A52121">
        <w:rPr>
          <w:rFonts w:ascii="Cambria" w:eastAsia="Calibri" w:hAnsi="Cambria" w:cs="Calibri"/>
          <w:color w:val="000000"/>
          <w:sz w:val="20"/>
          <w:szCs w:val="22"/>
          <w:u w:val="single"/>
          <w:lang w:eastAsia="en-US"/>
        </w:rPr>
        <w:t xml:space="preserve"> - dla rozmiaru A (waga do 500 g): </w:t>
      </w:r>
    </w:p>
    <w:p w14:paraId="3AE33C4C" w14:textId="77777777" w:rsidR="00C65D81" w:rsidRPr="00A52121" w:rsidRDefault="00C65D81" w:rsidP="00C65D81">
      <w:pPr>
        <w:autoSpaceDE w:val="0"/>
        <w:autoSpaceDN w:val="0"/>
        <w:adjustRightInd w:val="0"/>
        <w:spacing w:line="288" w:lineRule="auto"/>
        <w:ind w:firstLine="708"/>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Minimum – wymiary strony adresowej nie mogą być mniejsze niż 90 x140 mm, </w:t>
      </w:r>
    </w:p>
    <w:p w14:paraId="3A8CF72B" w14:textId="77777777" w:rsidR="00C65D81" w:rsidRPr="00A52121" w:rsidRDefault="00C65D81" w:rsidP="00C65D81">
      <w:pPr>
        <w:autoSpaceDE w:val="0"/>
        <w:autoSpaceDN w:val="0"/>
        <w:adjustRightInd w:val="0"/>
        <w:spacing w:line="288" w:lineRule="auto"/>
        <w:ind w:left="708"/>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Maksimum – żaden z wymiarów nie może przekroczyć: wysokość 20 mm, długość 230 mm, szerokość 160 mm </w:t>
      </w:r>
    </w:p>
    <w:p w14:paraId="4CF2F201" w14:textId="77777777" w:rsidR="00C65D81" w:rsidRPr="00A52121" w:rsidRDefault="00C65D81" w:rsidP="00C65D81">
      <w:pPr>
        <w:autoSpaceDE w:val="0"/>
        <w:autoSpaceDN w:val="0"/>
        <w:adjustRightInd w:val="0"/>
        <w:spacing w:line="288" w:lineRule="auto"/>
        <w:jc w:val="both"/>
        <w:rPr>
          <w:rFonts w:ascii="Cambria" w:eastAsia="Calibri" w:hAnsi="Cambria" w:cs="Calibri"/>
          <w:color w:val="000000"/>
          <w:sz w:val="20"/>
          <w:szCs w:val="22"/>
          <w:u w:val="single"/>
          <w:lang w:eastAsia="en-US"/>
        </w:rPr>
      </w:pPr>
      <w:r w:rsidRPr="00A52121">
        <w:rPr>
          <w:rFonts w:ascii="Cambria" w:eastAsia="Calibri" w:hAnsi="Cambria" w:cs="Calibri"/>
          <w:color w:val="000000"/>
          <w:sz w:val="20"/>
          <w:szCs w:val="22"/>
          <w:lang w:eastAsia="en-US"/>
        </w:rPr>
        <w:t xml:space="preserve">            </w:t>
      </w:r>
      <w:r w:rsidRPr="00A52121">
        <w:rPr>
          <w:rFonts w:ascii="Cambria" w:eastAsia="Calibri" w:hAnsi="Cambria" w:cs="Calibri"/>
          <w:color w:val="000000"/>
          <w:sz w:val="20"/>
          <w:szCs w:val="22"/>
          <w:lang w:eastAsia="en-US"/>
        </w:rPr>
        <w:tab/>
      </w:r>
      <w:r w:rsidRPr="00A52121">
        <w:rPr>
          <w:rFonts w:ascii="Cambria" w:eastAsia="Calibri" w:hAnsi="Cambria" w:cs="Calibri"/>
          <w:color w:val="000000"/>
          <w:sz w:val="20"/>
          <w:szCs w:val="22"/>
          <w:u w:val="single"/>
          <w:lang w:eastAsia="en-US"/>
        </w:rPr>
        <w:t xml:space="preserve">- dla rozmiaru B (waga do 1000 g): </w:t>
      </w:r>
    </w:p>
    <w:p w14:paraId="1F3AF1D9" w14:textId="77777777" w:rsidR="00C65D81" w:rsidRPr="00A52121" w:rsidRDefault="00C65D81" w:rsidP="00C65D81">
      <w:pPr>
        <w:autoSpaceDE w:val="0"/>
        <w:autoSpaceDN w:val="0"/>
        <w:adjustRightInd w:val="0"/>
        <w:spacing w:line="288" w:lineRule="auto"/>
        <w:ind w:firstLine="708"/>
        <w:jc w:val="both"/>
        <w:rPr>
          <w:rFonts w:ascii="Cambria" w:eastAsia="Calibri" w:hAnsi="Cambria" w:cs="Calibri"/>
          <w:color w:val="000000"/>
          <w:sz w:val="20"/>
          <w:szCs w:val="22"/>
          <w:u w:val="single"/>
          <w:lang w:eastAsia="en-US"/>
        </w:rPr>
      </w:pPr>
      <w:r w:rsidRPr="00A52121">
        <w:rPr>
          <w:rFonts w:ascii="Cambria" w:eastAsia="Calibri" w:hAnsi="Cambria" w:cs="Calibri"/>
          <w:color w:val="000000"/>
          <w:sz w:val="20"/>
          <w:szCs w:val="22"/>
          <w:lang w:eastAsia="en-US"/>
        </w:rPr>
        <w:t xml:space="preserve">Minimum – wymiary strony adresowej nie mogą być mniejsze niż 90 x140 mm, </w:t>
      </w:r>
    </w:p>
    <w:p w14:paraId="335CD15F" w14:textId="77777777" w:rsidR="00C65D81" w:rsidRPr="00A52121" w:rsidRDefault="00C65D81" w:rsidP="00C65D81">
      <w:pPr>
        <w:autoSpaceDE w:val="0"/>
        <w:autoSpaceDN w:val="0"/>
        <w:adjustRightInd w:val="0"/>
        <w:spacing w:line="288" w:lineRule="auto"/>
        <w:ind w:left="708"/>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Maksimum – żaden z wymiarów nie może przekroczyć: wysokość 20 mm, długość 325 mm, szerokość 230 mm </w:t>
      </w:r>
    </w:p>
    <w:p w14:paraId="0AD9048E" w14:textId="77777777" w:rsidR="00C65D81" w:rsidRPr="00A52121" w:rsidRDefault="00C65D81" w:rsidP="00C65D81">
      <w:pPr>
        <w:autoSpaceDE w:val="0"/>
        <w:autoSpaceDN w:val="0"/>
        <w:adjustRightInd w:val="0"/>
        <w:spacing w:line="288" w:lineRule="auto"/>
        <w:ind w:firstLine="708"/>
        <w:jc w:val="both"/>
        <w:rPr>
          <w:rFonts w:ascii="Cambria" w:eastAsia="Calibri" w:hAnsi="Cambria" w:cs="Calibri"/>
          <w:color w:val="000000"/>
          <w:sz w:val="20"/>
          <w:szCs w:val="22"/>
          <w:u w:val="single"/>
          <w:lang w:eastAsia="en-US"/>
        </w:rPr>
      </w:pPr>
      <w:r w:rsidRPr="00A52121">
        <w:rPr>
          <w:rFonts w:ascii="Cambria" w:eastAsia="Calibri" w:hAnsi="Cambria" w:cs="Calibri"/>
          <w:color w:val="000000"/>
          <w:sz w:val="20"/>
          <w:szCs w:val="22"/>
          <w:u w:val="single"/>
          <w:lang w:eastAsia="en-US"/>
        </w:rPr>
        <w:t xml:space="preserve">- dla rozmiaru C (waga do 2000 g) </w:t>
      </w:r>
    </w:p>
    <w:p w14:paraId="4290634C" w14:textId="77777777" w:rsidR="00C65D81" w:rsidRPr="00A52121" w:rsidRDefault="00C65D81" w:rsidP="00C65D81">
      <w:pPr>
        <w:autoSpaceDE w:val="0"/>
        <w:autoSpaceDN w:val="0"/>
        <w:adjustRightInd w:val="0"/>
        <w:spacing w:line="288" w:lineRule="auto"/>
        <w:ind w:left="720"/>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Minimum – wymiary strony adresowej nie mogą być mniejsze niż 90 x140 mm, </w:t>
      </w:r>
    </w:p>
    <w:p w14:paraId="383E3ECA" w14:textId="77777777" w:rsidR="00C65D81" w:rsidRPr="00A52121" w:rsidRDefault="00C65D81" w:rsidP="00C65D81">
      <w:pPr>
        <w:tabs>
          <w:tab w:val="left" w:pos="1276"/>
        </w:tabs>
        <w:autoSpaceDE w:val="0"/>
        <w:autoSpaceDN w:val="0"/>
        <w:adjustRightInd w:val="0"/>
        <w:spacing w:line="288" w:lineRule="auto"/>
        <w:ind w:left="709"/>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Maksimum – suma długości, szerokości i wysokości wynosi 900 mm, przy czym największy z tych wymiarów (długość) nie może przekroczyć 600 mm.</w:t>
      </w:r>
    </w:p>
    <w:p w14:paraId="46FB9F9A" w14:textId="77777777" w:rsidR="00C65D81" w:rsidRPr="00A52121" w:rsidRDefault="00C65D81" w:rsidP="00C65D81">
      <w:pPr>
        <w:numPr>
          <w:ilvl w:val="0"/>
          <w:numId w:val="4"/>
        </w:numPr>
        <w:autoSpaceDE w:val="0"/>
        <w:autoSpaceDN w:val="0"/>
        <w:adjustRightInd w:val="0"/>
        <w:spacing w:after="160" w:line="288" w:lineRule="auto"/>
        <w:ind w:left="709" w:hanging="283"/>
        <w:jc w:val="both"/>
        <w:rPr>
          <w:rFonts w:ascii="Cambria" w:eastAsia="Calibri" w:hAnsi="Cambria" w:cs="Calibri"/>
          <w:color w:val="000000"/>
          <w:sz w:val="20"/>
          <w:szCs w:val="22"/>
          <w:lang w:eastAsia="en-US"/>
        </w:rPr>
      </w:pPr>
      <w:r>
        <w:rPr>
          <w:rFonts w:ascii="Cambria" w:eastAsia="Calibri" w:hAnsi="Cambria" w:cs="Calibri"/>
          <w:color w:val="000000"/>
          <w:sz w:val="20"/>
          <w:szCs w:val="22"/>
          <w:lang w:eastAsia="en-US"/>
        </w:rPr>
        <w:t xml:space="preserve"> </w:t>
      </w:r>
      <w:r w:rsidRPr="00A52121">
        <w:rPr>
          <w:rFonts w:ascii="Cambria" w:eastAsia="Calibri" w:hAnsi="Cambria" w:cs="Calibri"/>
          <w:color w:val="000000"/>
          <w:sz w:val="20"/>
          <w:szCs w:val="22"/>
          <w:lang w:eastAsia="en-US"/>
        </w:rPr>
        <w:t xml:space="preserve">paczki pocztowe o wadze do 10 000 g (Gabaryt A i B): </w:t>
      </w:r>
    </w:p>
    <w:p w14:paraId="3E26B714" w14:textId="77777777" w:rsidR="00C65D81" w:rsidRPr="00A52121" w:rsidRDefault="00C65D81" w:rsidP="00C65D81">
      <w:pPr>
        <w:numPr>
          <w:ilvl w:val="0"/>
          <w:numId w:val="5"/>
        </w:numPr>
        <w:autoSpaceDE w:val="0"/>
        <w:autoSpaceDN w:val="0"/>
        <w:adjustRightInd w:val="0"/>
        <w:spacing w:after="160" w:line="288" w:lineRule="auto"/>
        <w:ind w:left="851"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zwykłe – paczki rejestrowane nie będące paczkami najszybszej kategorii, </w:t>
      </w:r>
    </w:p>
    <w:p w14:paraId="6E4A55D3" w14:textId="77777777" w:rsidR="00C65D81" w:rsidRPr="00A52121" w:rsidRDefault="00C65D81" w:rsidP="00C65D81">
      <w:pPr>
        <w:numPr>
          <w:ilvl w:val="0"/>
          <w:numId w:val="5"/>
        </w:numPr>
        <w:autoSpaceDE w:val="0"/>
        <w:autoSpaceDN w:val="0"/>
        <w:adjustRightInd w:val="0"/>
        <w:spacing w:after="160" w:line="288" w:lineRule="auto"/>
        <w:ind w:left="851"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priorytetowe – paczki rejestrowane najszybszej kategorii, </w:t>
      </w:r>
    </w:p>
    <w:p w14:paraId="34CB7E82" w14:textId="77777777" w:rsidR="00C65D81" w:rsidRPr="00A52121" w:rsidRDefault="00C65D81" w:rsidP="00C65D81">
      <w:pPr>
        <w:numPr>
          <w:ilvl w:val="0"/>
          <w:numId w:val="5"/>
        </w:numPr>
        <w:autoSpaceDE w:val="0"/>
        <w:autoSpaceDN w:val="0"/>
        <w:adjustRightInd w:val="0"/>
        <w:spacing w:after="160" w:line="288" w:lineRule="auto"/>
        <w:ind w:left="851"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z zadeklarowaną wartością – przesyłki rejestrowane nie będące przesyłkami najszybszej kategorii z zadeklarowaną wartością, </w:t>
      </w:r>
    </w:p>
    <w:p w14:paraId="7DC108A1" w14:textId="77777777" w:rsidR="00C65D81" w:rsidRPr="00A52121" w:rsidRDefault="00C65D81" w:rsidP="00C65D81">
      <w:pPr>
        <w:numPr>
          <w:ilvl w:val="0"/>
          <w:numId w:val="5"/>
        </w:numPr>
        <w:autoSpaceDE w:val="0"/>
        <w:autoSpaceDN w:val="0"/>
        <w:adjustRightInd w:val="0"/>
        <w:spacing w:after="160" w:line="288" w:lineRule="auto"/>
        <w:ind w:left="851" w:hanging="284"/>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ze zwrotnym poświadczeniem odbioru. </w:t>
      </w:r>
    </w:p>
    <w:p w14:paraId="71750CA9" w14:textId="77777777" w:rsidR="00C65D81" w:rsidRPr="00A52121" w:rsidRDefault="00C65D81" w:rsidP="00C65D81">
      <w:pPr>
        <w:autoSpaceDE w:val="0"/>
        <w:autoSpaceDN w:val="0"/>
        <w:adjustRightInd w:val="0"/>
        <w:spacing w:line="288" w:lineRule="auto"/>
        <w:ind w:left="360" w:firstLine="20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Wymiary paczek pocztowych wynoszą: </w:t>
      </w:r>
    </w:p>
    <w:p w14:paraId="3273991F" w14:textId="77777777" w:rsidR="00C65D81" w:rsidRPr="00A52121" w:rsidRDefault="00C65D81" w:rsidP="00C65D81">
      <w:pPr>
        <w:autoSpaceDE w:val="0"/>
        <w:autoSpaceDN w:val="0"/>
        <w:adjustRightInd w:val="0"/>
        <w:spacing w:line="288" w:lineRule="auto"/>
        <w:ind w:left="56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Minimum – wymiary strony adresowej nie mogą być mniejsze niż 90 x 140 mm, z tolerancją +/- 2 mm, </w:t>
      </w:r>
    </w:p>
    <w:p w14:paraId="17C5F921" w14:textId="77777777" w:rsidR="00C65D81" w:rsidRPr="00A52121" w:rsidRDefault="00C65D81" w:rsidP="00C65D81">
      <w:pPr>
        <w:autoSpaceDE w:val="0"/>
        <w:autoSpaceDN w:val="0"/>
        <w:adjustRightInd w:val="0"/>
        <w:spacing w:line="288" w:lineRule="auto"/>
        <w:ind w:left="56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Maksimum – suma długości i największego obwodu mierzonego w innym kierunku niż długość nie może być większa niż 3000 mm, przy czym największy wymiar nie może przekroczyć 1500 mm, przy czym:</w:t>
      </w:r>
    </w:p>
    <w:p w14:paraId="20F329AD" w14:textId="77777777" w:rsidR="00C65D81" w:rsidRPr="00A52121" w:rsidRDefault="00C65D81" w:rsidP="00C65D81">
      <w:pPr>
        <w:autoSpaceDE w:val="0"/>
        <w:autoSpaceDN w:val="0"/>
        <w:adjustRightInd w:val="0"/>
        <w:spacing w:line="288" w:lineRule="auto"/>
        <w:ind w:firstLine="567"/>
        <w:jc w:val="both"/>
        <w:rPr>
          <w:rFonts w:ascii="Cambria" w:eastAsia="Calibri" w:hAnsi="Cambria" w:cs="Calibri"/>
          <w:color w:val="000000"/>
          <w:sz w:val="20"/>
          <w:szCs w:val="22"/>
          <w:u w:val="single"/>
          <w:lang w:eastAsia="en-US"/>
        </w:rPr>
      </w:pPr>
      <w:r w:rsidRPr="00A52121">
        <w:rPr>
          <w:rFonts w:ascii="Cambria" w:eastAsia="Calibri" w:hAnsi="Cambria" w:cs="Calibri"/>
          <w:b/>
          <w:bCs/>
          <w:color w:val="000000"/>
          <w:sz w:val="20"/>
          <w:szCs w:val="22"/>
          <w:u w:val="single"/>
          <w:lang w:eastAsia="en-US"/>
        </w:rPr>
        <w:t xml:space="preserve">Gabaryt A </w:t>
      </w:r>
      <w:r w:rsidRPr="00A52121">
        <w:rPr>
          <w:rFonts w:ascii="Cambria" w:eastAsia="Calibri" w:hAnsi="Cambria" w:cs="Calibri"/>
          <w:color w:val="000000"/>
          <w:sz w:val="20"/>
          <w:szCs w:val="22"/>
          <w:u w:val="single"/>
          <w:lang w:eastAsia="en-US"/>
        </w:rPr>
        <w:t xml:space="preserve">to paczka o wymiarach: </w:t>
      </w:r>
    </w:p>
    <w:p w14:paraId="2B929EA7" w14:textId="77777777" w:rsidR="00C65D81" w:rsidRPr="00A52121" w:rsidRDefault="00C65D81" w:rsidP="00C65D81">
      <w:pPr>
        <w:autoSpaceDE w:val="0"/>
        <w:autoSpaceDN w:val="0"/>
        <w:adjustRightInd w:val="0"/>
        <w:spacing w:line="288" w:lineRule="auto"/>
        <w:ind w:firstLine="56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Minimum – wymiary strony adresowej nie mogą być mniejsze niż 90 x 140 mm, </w:t>
      </w:r>
    </w:p>
    <w:p w14:paraId="32DD271D" w14:textId="77777777" w:rsidR="00C65D81" w:rsidRPr="00A52121" w:rsidRDefault="00C65D81" w:rsidP="00C65D81">
      <w:pPr>
        <w:autoSpaceDE w:val="0"/>
        <w:autoSpaceDN w:val="0"/>
        <w:adjustRightInd w:val="0"/>
        <w:spacing w:line="288" w:lineRule="auto"/>
        <w:ind w:left="56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Maksimum – żaden z wymiarów nie może przekroczyć długości 600 mm, szerokości 500 mm, wysokości 300 mm. </w:t>
      </w:r>
    </w:p>
    <w:p w14:paraId="69325115" w14:textId="77777777" w:rsidR="00C65D81" w:rsidRPr="00A52121" w:rsidRDefault="00C65D81" w:rsidP="00C65D81">
      <w:pPr>
        <w:autoSpaceDE w:val="0"/>
        <w:autoSpaceDN w:val="0"/>
        <w:adjustRightInd w:val="0"/>
        <w:spacing w:line="288" w:lineRule="auto"/>
        <w:ind w:firstLine="567"/>
        <w:jc w:val="both"/>
        <w:rPr>
          <w:rFonts w:ascii="Cambria" w:eastAsia="Calibri" w:hAnsi="Cambria" w:cs="Calibri"/>
          <w:color w:val="000000"/>
          <w:sz w:val="20"/>
          <w:szCs w:val="22"/>
          <w:u w:val="single"/>
          <w:lang w:eastAsia="en-US"/>
        </w:rPr>
      </w:pPr>
      <w:r w:rsidRPr="00A52121">
        <w:rPr>
          <w:rFonts w:ascii="Cambria" w:eastAsia="Calibri" w:hAnsi="Cambria" w:cs="Calibri"/>
          <w:b/>
          <w:bCs/>
          <w:color w:val="000000"/>
          <w:sz w:val="20"/>
          <w:szCs w:val="22"/>
          <w:u w:val="single"/>
          <w:lang w:eastAsia="en-US"/>
        </w:rPr>
        <w:t xml:space="preserve">Gabaryt B </w:t>
      </w:r>
      <w:r w:rsidRPr="00A52121">
        <w:rPr>
          <w:rFonts w:ascii="Cambria" w:eastAsia="Calibri" w:hAnsi="Cambria" w:cs="Calibri"/>
          <w:color w:val="000000"/>
          <w:sz w:val="20"/>
          <w:szCs w:val="22"/>
          <w:u w:val="single"/>
          <w:lang w:eastAsia="en-US"/>
        </w:rPr>
        <w:t xml:space="preserve">to paczka o wymiarach: </w:t>
      </w:r>
    </w:p>
    <w:p w14:paraId="4A5D92C2" w14:textId="77777777" w:rsidR="00C65D81" w:rsidRPr="00A52121" w:rsidRDefault="00C65D81" w:rsidP="00C65D81">
      <w:pPr>
        <w:autoSpaceDE w:val="0"/>
        <w:autoSpaceDN w:val="0"/>
        <w:adjustRightInd w:val="0"/>
        <w:spacing w:line="288" w:lineRule="auto"/>
        <w:ind w:left="56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lastRenderedPageBreak/>
        <w:t xml:space="preserve">Minimum – jeśli choć jeden z wymiarów przekracza długość 600 mm lub szerokość 500 mm lub wysokość 300 mm, </w:t>
      </w:r>
    </w:p>
    <w:p w14:paraId="02D3E72F" w14:textId="77777777" w:rsidR="00C65D81" w:rsidRPr="00A52121" w:rsidRDefault="00C65D81" w:rsidP="00C65D81">
      <w:pPr>
        <w:autoSpaceDE w:val="0"/>
        <w:autoSpaceDN w:val="0"/>
        <w:adjustRightInd w:val="0"/>
        <w:spacing w:line="288" w:lineRule="auto"/>
        <w:ind w:left="56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Maksimum – suma długości i największego obwodu mierzonego w innym kierunku niż długość – 3000 mm, przy czym największy wymiar nie może przekroczyć 1500 mm.</w:t>
      </w:r>
    </w:p>
    <w:p w14:paraId="1658AD39" w14:textId="77777777" w:rsidR="00C65D81" w:rsidRPr="00A52121" w:rsidRDefault="00C65D81" w:rsidP="00C65D81">
      <w:pPr>
        <w:autoSpaceDE w:val="0"/>
        <w:autoSpaceDN w:val="0"/>
        <w:adjustRightInd w:val="0"/>
        <w:spacing w:line="288" w:lineRule="auto"/>
        <w:jc w:val="both"/>
        <w:rPr>
          <w:rFonts w:ascii="Cambria" w:eastAsia="Calibri" w:hAnsi="Cambria" w:cs="Calibri"/>
          <w:color w:val="000000"/>
          <w:sz w:val="20"/>
          <w:szCs w:val="22"/>
          <w:lang w:eastAsia="en-US"/>
        </w:rPr>
      </w:pPr>
    </w:p>
    <w:p w14:paraId="62FA318F" w14:textId="77777777" w:rsidR="00C65D81" w:rsidRPr="00A52121" w:rsidRDefault="00C65D81" w:rsidP="00C65D81">
      <w:pPr>
        <w:numPr>
          <w:ilvl w:val="0"/>
          <w:numId w:val="6"/>
        </w:numPr>
        <w:autoSpaceDE w:val="0"/>
        <w:autoSpaceDN w:val="0"/>
        <w:adjustRightInd w:val="0"/>
        <w:spacing w:after="160"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u w:val="single"/>
          <w:lang w:eastAsia="en-US"/>
        </w:rPr>
        <w:t>druk bezadresowy</w:t>
      </w:r>
      <w:r w:rsidRPr="00A52121">
        <w:rPr>
          <w:rFonts w:ascii="Cambria" w:eastAsia="Calibri" w:hAnsi="Cambria" w:cs="Calibri"/>
          <w:color w:val="000000"/>
          <w:sz w:val="20"/>
          <w:szCs w:val="22"/>
          <w:lang w:eastAsia="en-US"/>
        </w:rPr>
        <w:t xml:space="preserve"> - nieopatrzoną oznaczeniem adresata i adresem informację pisemną lub graficzną, zwielokrotnioną za pomocą technik drukarskich lub podobnych, utrwaloną na papierze albo innym materiale używanym w drukarstwie, w tym książkę, katalog, dziennik lub czasopismo, doręczaną w terminie nie dłuższym niż 7 dni od daty odbioru druków od Zamawiającego (termin 7 dni jest terminem deklarowanym, a usługa będzie świadczona dla Zamawiającego na podstawie Regulaminu Wykonawcy, aktualnego na dzień nadania druków)</w:t>
      </w:r>
    </w:p>
    <w:p w14:paraId="334C213A" w14:textId="77777777" w:rsidR="00C65D81" w:rsidRPr="00A52121" w:rsidRDefault="00C65D81" w:rsidP="00C65D81">
      <w:pPr>
        <w:numPr>
          <w:ilvl w:val="0"/>
          <w:numId w:val="6"/>
        </w:numPr>
        <w:autoSpaceDE w:val="0"/>
        <w:autoSpaceDN w:val="0"/>
        <w:adjustRightInd w:val="0"/>
        <w:spacing w:after="160"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 </w:t>
      </w:r>
      <w:r w:rsidRPr="00A52121">
        <w:rPr>
          <w:rFonts w:ascii="Cambria" w:eastAsia="Calibri" w:hAnsi="Cambria" w:cs="Calibri"/>
          <w:color w:val="000000"/>
          <w:sz w:val="20"/>
          <w:szCs w:val="22"/>
          <w:u w:val="single"/>
          <w:lang w:eastAsia="en-US"/>
        </w:rPr>
        <w:t>przesyłka marketingowa</w:t>
      </w:r>
      <w:r w:rsidRPr="00A52121">
        <w:rPr>
          <w:rFonts w:ascii="Cambria" w:eastAsia="Calibri" w:hAnsi="Cambria" w:cs="Calibri"/>
          <w:color w:val="000000"/>
          <w:sz w:val="20"/>
          <w:szCs w:val="22"/>
          <w:lang w:eastAsia="en-US"/>
        </w:rPr>
        <w:t xml:space="preserve"> – to przesyłka pocztowa nierejestrowana, zawierająca różnorodne, własne materiały informacyjne nadawcy, wysyłana jednorazowo do co najmniej 30 adresatów (np. zaproszenia na wydarzenia i wystawy). Waga przesyłki o masie do 2000 g w poniższych wymiarach: </w:t>
      </w:r>
    </w:p>
    <w:p w14:paraId="0AA38597" w14:textId="77777777" w:rsidR="00C65D81" w:rsidRPr="00A52121" w:rsidRDefault="00C65D81" w:rsidP="00C65D81">
      <w:pPr>
        <w:autoSpaceDE w:val="0"/>
        <w:autoSpaceDN w:val="0"/>
        <w:adjustRightInd w:val="0"/>
        <w:spacing w:line="288" w:lineRule="auto"/>
        <w:ind w:left="780"/>
        <w:jc w:val="both"/>
        <w:rPr>
          <w:rFonts w:ascii="Cambria" w:eastAsia="Calibri" w:hAnsi="Cambria" w:cs="Calibri"/>
          <w:b/>
          <w:color w:val="000000"/>
          <w:sz w:val="20"/>
          <w:szCs w:val="22"/>
          <w:u w:val="single"/>
          <w:lang w:eastAsia="en-US"/>
        </w:rPr>
      </w:pPr>
      <w:r w:rsidRPr="00A52121">
        <w:rPr>
          <w:rFonts w:ascii="Cambria" w:eastAsia="Calibri" w:hAnsi="Cambria" w:cs="Calibri"/>
          <w:b/>
          <w:color w:val="000000"/>
          <w:sz w:val="20"/>
          <w:szCs w:val="22"/>
          <w:u w:val="single"/>
          <w:lang w:eastAsia="en-US"/>
        </w:rPr>
        <w:t>gabaryt A:</w:t>
      </w:r>
    </w:p>
    <w:p w14:paraId="3E48AB53" w14:textId="77777777" w:rsidR="00C65D81" w:rsidRPr="00A52121" w:rsidRDefault="00C65D81" w:rsidP="00C65D81">
      <w:pPr>
        <w:numPr>
          <w:ilvl w:val="0"/>
          <w:numId w:val="7"/>
        </w:numPr>
        <w:autoSpaceDE w:val="0"/>
        <w:autoSpaceDN w:val="0"/>
        <w:adjustRightInd w:val="0"/>
        <w:spacing w:after="160" w:line="288" w:lineRule="auto"/>
        <w:ind w:left="1134" w:hanging="283"/>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minimum: wymiary strony adresowej nie mogą być mniejsze niż 90 x 140 mm, </w:t>
      </w:r>
    </w:p>
    <w:p w14:paraId="04E17535" w14:textId="77777777" w:rsidR="00C65D81" w:rsidRPr="00A52121" w:rsidRDefault="00C65D81" w:rsidP="00C65D81">
      <w:pPr>
        <w:numPr>
          <w:ilvl w:val="0"/>
          <w:numId w:val="7"/>
        </w:numPr>
        <w:autoSpaceDE w:val="0"/>
        <w:autoSpaceDN w:val="0"/>
        <w:adjustRightInd w:val="0"/>
        <w:spacing w:after="160" w:line="288" w:lineRule="auto"/>
        <w:ind w:left="1134" w:hanging="283"/>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maksimum: żaden z wymiarów nie może przekroczyć wysokości 20 mm, długości 325 mm, szerokości 230 mm, </w:t>
      </w:r>
    </w:p>
    <w:p w14:paraId="585A34DD" w14:textId="77777777" w:rsidR="00C65D81" w:rsidRPr="00A52121" w:rsidRDefault="00C65D81" w:rsidP="00C65D81">
      <w:pPr>
        <w:autoSpaceDE w:val="0"/>
        <w:autoSpaceDN w:val="0"/>
        <w:adjustRightInd w:val="0"/>
        <w:spacing w:line="288" w:lineRule="auto"/>
        <w:ind w:firstLine="708"/>
        <w:jc w:val="both"/>
        <w:rPr>
          <w:rFonts w:ascii="Cambria" w:eastAsia="Calibri" w:hAnsi="Cambria" w:cs="Calibri"/>
          <w:b/>
          <w:color w:val="000000"/>
          <w:sz w:val="20"/>
          <w:szCs w:val="22"/>
          <w:u w:val="single"/>
          <w:lang w:eastAsia="en-US"/>
        </w:rPr>
      </w:pPr>
      <w:r w:rsidRPr="00A52121">
        <w:rPr>
          <w:rFonts w:ascii="Cambria" w:eastAsia="Calibri" w:hAnsi="Cambria" w:cs="Calibri"/>
          <w:b/>
          <w:color w:val="000000"/>
          <w:sz w:val="20"/>
          <w:szCs w:val="22"/>
          <w:u w:val="single"/>
          <w:lang w:eastAsia="en-US"/>
        </w:rPr>
        <w:t>gabaryt B:</w:t>
      </w:r>
    </w:p>
    <w:p w14:paraId="17AAEE7C" w14:textId="77777777" w:rsidR="00C65D81" w:rsidRPr="00A52121" w:rsidRDefault="00C65D81" w:rsidP="00C65D81">
      <w:pPr>
        <w:numPr>
          <w:ilvl w:val="0"/>
          <w:numId w:val="8"/>
        </w:numPr>
        <w:autoSpaceDE w:val="0"/>
        <w:autoSpaceDN w:val="0"/>
        <w:adjustRightInd w:val="0"/>
        <w:spacing w:after="126"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minimum: jeśli choć jeden z wymiarów przekracza wysokość 20 mm lub długość 325 mm lub szerokość 230 mm, </w:t>
      </w:r>
    </w:p>
    <w:p w14:paraId="138BC99D" w14:textId="77777777" w:rsidR="00C65D81" w:rsidRPr="00A52121" w:rsidRDefault="00C65D81" w:rsidP="00C65D81">
      <w:pPr>
        <w:numPr>
          <w:ilvl w:val="0"/>
          <w:numId w:val="8"/>
        </w:numPr>
        <w:autoSpaceDE w:val="0"/>
        <w:autoSpaceDN w:val="0"/>
        <w:adjustRightInd w:val="0"/>
        <w:spacing w:after="126"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maksimum: suma długości, szerokości i wysokości nie może przekroczyć 900 mm, przy czym największy z tych wymiarów (długość nie może przekroczyć 600 mm). </w:t>
      </w:r>
    </w:p>
    <w:p w14:paraId="74C25935"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Wykonawca będzie świadczył usługi pocztowe dla Zamawiającego w zakresie przyjmowania przesyłek oraz wydawania przesyłek nierejestrowanych, awizowanych oraz zwrotów. </w:t>
      </w:r>
    </w:p>
    <w:p w14:paraId="5EE549E7"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Zamawiający będzie dostarczał codziennie przesyłki pocztowe wraz z dokumentami nadawczymi do placówek nadawczych Wykonawcy. Nadanie przesyłek będących przedmiotem zamówienia następować będzie w dniu ich dostarczenia do wskazanego przez Wykonawcę punktu. Nadawanie przesyłek odbywać się będzie każdego dnia kalendarzowego, z wyłączeniem sobót i dni ustawowo wolnych od pracy. </w:t>
      </w:r>
    </w:p>
    <w:p w14:paraId="1D51024E" w14:textId="7D4AA603"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Wykonawca jest zobowiązany do wyznaczenia placówki nadawczej, usytuowanej w odległości nie większej niż 1 km od siedziby przy ul. Ceynowy 21, 83-314 Somonino</w:t>
      </w:r>
      <w:r w:rsidRPr="00D83ABF">
        <w:rPr>
          <w:rFonts w:ascii="Cambria" w:eastAsia="Calibri" w:hAnsi="Cambria" w:cs="Calibri"/>
          <w:color w:val="000000"/>
          <w:sz w:val="20"/>
          <w:szCs w:val="22"/>
          <w:lang w:eastAsia="en-US"/>
        </w:rPr>
        <w:t>,</w:t>
      </w:r>
      <w:r>
        <w:rPr>
          <w:rFonts w:ascii="Cambria" w:eastAsia="Calibri" w:hAnsi="Cambria" w:cs="Calibri"/>
          <w:color w:val="000000"/>
          <w:sz w:val="20"/>
          <w:szCs w:val="22"/>
          <w:lang w:eastAsia="en-US"/>
        </w:rPr>
        <w:t xml:space="preserve"> czynnych </w:t>
      </w:r>
      <w:r w:rsidRPr="00A52121">
        <w:rPr>
          <w:rFonts w:ascii="Cambria" w:eastAsia="Calibri" w:hAnsi="Cambria" w:cs="Calibri"/>
          <w:color w:val="000000"/>
          <w:sz w:val="20"/>
          <w:szCs w:val="22"/>
          <w:lang w:eastAsia="en-US"/>
        </w:rPr>
        <w:t xml:space="preserve">w dniach: poniedziałek –piątek </w:t>
      </w:r>
    </w:p>
    <w:p w14:paraId="47D22694"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Wszelkie druki niezbędne do prawidłowego nadania przesyłek w tym „potwierdzenie odbioru” ZPO zostaną wydane Zamawiającemu nieodpłatnie i bez zbędnej zwłoki w każdej placówce przyjmującej przesyłki do nadania z poszczególnych jednostek ujętych w umowie po wcześniejszym uzgodnieniu z placówką ilości i terminu ich dostarczenia. </w:t>
      </w:r>
    </w:p>
    <w:p w14:paraId="641ED71A" w14:textId="77777777" w:rsidR="00C65D81" w:rsidRPr="00A52121" w:rsidRDefault="00C65D81" w:rsidP="00C65D81">
      <w:pPr>
        <w:numPr>
          <w:ilvl w:val="0"/>
          <w:numId w:val="15"/>
        </w:numPr>
        <w:autoSpaceDE w:val="0"/>
        <w:autoSpaceDN w:val="0"/>
        <w:adjustRightInd w:val="0"/>
        <w:spacing w:after="160"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wymóg dostarczania druków potwierdzenia odbioru dotyczy  druków do przesyłek nadawanych na zasadach ogólnych tzw. żółtych zwrotek. Druki potwierdzenia nadania do przesyłek nadanych na zasadach specjalnych Zamawiający zapewni sobie we własnym zakresie . </w:t>
      </w:r>
    </w:p>
    <w:p w14:paraId="0E2EEA66" w14:textId="77777777" w:rsidR="00C65D81" w:rsidRPr="00A52121" w:rsidRDefault="00C65D81" w:rsidP="00C65D81">
      <w:pPr>
        <w:numPr>
          <w:ilvl w:val="0"/>
          <w:numId w:val="15"/>
        </w:numPr>
        <w:autoSpaceDE w:val="0"/>
        <w:autoSpaceDN w:val="0"/>
        <w:adjustRightInd w:val="0"/>
        <w:spacing w:after="160" w:line="288" w:lineRule="auto"/>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W przypadku przesyłek nadawanych przez Zamawiającego na zasadach specjalnych tzn., których doręczenie następuje w trybie przewidzianych przez ustawy, odpowiednio: kpc, </w:t>
      </w:r>
      <w:r w:rsidRPr="00A52121">
        <w:rPr>
          <w:rFonts w:ascii="Cambria" w:eastAsia="Calibri" w:hAnsi="Cambria" w:cs="Calibri"/>
          <w:color w:val="000000"/>
          <w:sz w:val="20"/>
          <w:szCs w:val="22"/>
          <w:lang w:eastAsia="en-US"/>
        </w:rPr>
        <w:lastRenderedPageBreak/>
        <w:t>kpk, kpa i ordynację  podatkową – Wykonawca jest obowiązany przyjąć do nadania oraz doręczyć przedmiotowe przesyłki w ww. trybach, bez żadnych odstępstw.</w:t>
      </w:r>
    </w:p>
    <w:p w14:paraId="38E2F863"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Zwrotne potwierdzenie odbioru (ZPO) może przybrać formę elektronicznego potwierdzenia odbioru (EPO). W przypadku nadawania przesyłki poleconej z EPO, Zamawiający zobowiązany będzie do umieszczenia na przesyłce wyróżnika „POLECONA-E”.  Przesyłki z EPO nadawane będą przy wykorzystaniu Aplikacji Wykonawcy.</w:t>
      </w:r>
    </w:p>
    <w:p w14:paraId="765FC3AE"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Elektroniczne potwierdzenie odbioru (EPO) polega na doręczeniu przesyłki na podstawie zapisu w systemie teleinformatycznym oraz złożeniu podpisu przez adresata na urządzeniu mobilnym (np. tablecie), w który wyposażony jest doręczyciel. </w:t>
      </w:r>
    </w:p>
    <w:p w14:paraId="52E2E29F"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EPO powinno zawierać informacje pozwalające na identyfikację doręczanej przesyłki, podpis odbierającego przesyłkę wraz ze wskazaniem czy potwierdzający odbiór przesyłki jest adresatem, dorosłym domownikiem czy też pełnomocnikiem oraz datę doręczenia. </w:t>
      </w:r>
    </w:p>
    <w:p w14:paraId="651CC3B4"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 EPO (elektroniczne potwierdzenie odbioru) stanowi oryginał dowodu doręczenia przesyłki. </w:t>
      </w:r>
    </w:p>
    <w:p w14:paraId="1B8CB758"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Zasady realizacji usługi Elektroniczne Potwierdzenie Odbioru w obrocie krajowym zostaną załączone do umowy z Wykonawcą. </w:t>
      </w:r>
    </w:p>
    <w:p w14:paraId="0062747A"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color w:val="000000"/>
          <w:sz w:val="20"/>
          <w:szCs w:val="22"/>
          <w:lang w:eastAsia="en-US"/>
        </w:rPr>
      </w:pPr>
      <w:r w:rsidRPr="00A52121">
        <w:rPr>
          <w:rFonts w:ascii="Cambria" w:eastAsia="Calibri" w:hAnsi="Cambria" w:cs="Calibri"/>
          <w:color w:val="000000"/>
          <w:sz w:val="20"/>
          <w:szCs w:val="22"/>
          <w:lang w:eastAsia="en-US"/>
        </w:rPr>
        <w:t xml:space="preserve">Realizacja przedmiotowych usług odbywać się będzie poprzez właściwe przygotowanie przez Zamawiającego przesyłek do nadania oraz sporządzenie zestawienia ilościowego nadanych przesyłek nierejestrowanych oraz pocztowej książki nadawczej lub wydruku komputerowego dla przesyłek rejestrowanych. Zestawienie ilościowe oraz pocztowa książka nadawcza sporządzane będą w dwóch egzemplarzach, jeden dla Wykonawcy, drugi dla Zamawiającego. </w:t>
      </w:r>
    </w:p>
    <w:p w14:paraId="5C1B2710"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b/>
          <w:color w:val="000000"/>
          <w:sz w:val="20"/>
          <w:szCs w:val="22"/>
          <w:lang w:eastAsia="en-US"/>
        </w:rPr>
      </w:pPr>
      <w:r w:rsidRPr="00A52121">
        <w:rPr>
          <w:rFonts w:ascii="Cambria" w:eastAsia="Calibri" w:hAnsi="Cambria" w:cs="Calibri"/>
          <w:color w:val="000000"/>
          <w:sz w:val="20"/>
          <w:szCs w:val="22"/>
          <w:lang w:eastAsia="en-US"/>
        </w:rPr>
        <w:t xml:space="preserve">Potwierdzone Pocztowe Książki Nadawcze i zestawienia ilościowo-kwotowe zostaną zwrócone Zamawiającemu w dniu nadania przesyłek, </w:t>
      </w:r>
      <w:r w:rsidRPr="00A52121">
        <w:rPr>
          <w:rFonts w:ascii="Cambria" w:eastAsia="Calibri" w:hAnsi="Cambria" w:cs="Calibri"/>
          <w:b/>
          <w:color w:val="000000"/>
          <w:sz w:val="20"/>
          <w:szCs w:val="22"/>
          <w:lang w:eastAsia="en-US"/>
        </w:rPr>
        <w:t>a najpóźniej w następnym dniu podczas nadawania przesyłek przez Zamawiającego.</w:t>
      </w:r>
    </w:p>
    <w:p w14:paraId="18B67A3E"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b/>
          <w:color w:val="000000"/>
          <w:sz w:val="22"/>
          <w:szCs w:val="22"/>
          <w:lang w:eastAsia="en-US"/>
        </w:rPr>
      </w:pPr>
      <w:r w:rsidRPr="00A52121">
        <w:rPr>
          <w:rFonts w:ascii="Cambria" w:eastAsia="Calibri" w:hAnsi="Cambria" w:cs="Calibri"/>
          <w:color w:val="000000"/>
          <w:sz w:val="20"/>
          <w:szCs w:val="20"/>
          <w:lang w:eastAsia="en-US"/>
        </w:rPr>
        <w:t xml:space="preserve">Wykonawca zobowiązany jest do potwierdzenia realizowanej usługi w książce nadawczej poprzez wpisanie nr przesyłki rejestrowanej. Wykonawca zapewni opcję śledzenia online przesyłek rejestrowanych w obrocie krajowym bez ponoszenia dodatkowych kosztów z tym związanych przez Zamawiającego (usługa powinna być ogólnie dostępna dla Zamawiającego bez konieczności zakupu dodatkowego sprzętu, oprogramowania, uprawnień itp.). </w:t>
      </w:r>
    </w:p>
    <w:p w14:paraId="2B7C4DD4"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b/>
          <w:color w:val="000000"/>
          <w:sz w:val="22"/>
          <w:szCs w:val="22"/>
          <w:lang w:eastAsia="en-US"/>
        </w:rPr>
      </w:pPr>
      <w:r w:rsidRPr="00A52121">
        <w:rPr>
          <w:rFonts w:ascii="Cambria" w:eastAsia="Calibri" w:hAnsi="Cambria" w:cs="Calibri"/>
          <w:color w:val="000000"/>
          <w:sz w:val="20"/>
          <w:szCs w:val="20"/>
          <w:lang w:eastAsia="en-US"/>
        </w:rPr>
        <w:t xml:space="preserve">Zamawiający zobowiązuje się do nadawania przesyłek w stanie uporządkowanym i zgodnym z zapisami w przygotowanych rejestrach i zestawieniach przesyłek przeznaczonych do wysłania. </w:t>
      </w:r>
    </w:p>
    <w:p w14:paraId="5AC2856C"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b/>
          <w:color w:val="000000"/>
          <w:sz w:val="22"/>
          <w:szCs w:val="22"/>
          <w:lang w:eastAsia="en-US"/>
        </w:rPr>
      </w:pPr>
      <w:r w:rsidRPr="00A52121">
        <w:rPr>
          <w:rFonts w:ascii="Cambria" w:eastAsia="Calibri" w:hAnsi="Cambria" w:cs="Calibri"/>
          <w:color w:val="000000"/>
          <w:sz w:val="20"/>
          <w:szCs w:val="20"/>
          <w:lang w:eastAsia="en-US"/>
        </w:rPr>
        <w:t xml:space="preserve">Reklamacje z tytułu niewykonania usługi Zamawiający może zgłosić do Wykonawcy w formie pisemnej po upływie 14 dni od nadania przesyłki rejestrowanej, nie później niż 12 miesięcy w obrocie krajowym i 6 miesięcy w obrocie zagranicznym od dnia jej nadania. Termin udzielenia odpowiedzi na reklamacje nie może przekroczyć 30 dni od dnia otrzymania reklamacji w przypadku reklamacji przesyłki krajowej i 90 dni od dnia otrzymania reklamacji w przypadku reklamacji przesyłki zagranicznej. </w:t>
      </w:r>
    </w:p>
    <w:p w14:paraId="73855E0B" w14:textId="77777777" w:rsidR="00C65D81" w:rsidRPr="00A52121" w:rsidRDefault="00C65D81" w:rsidP="00C65D81">
      <w:pPr>
        <w:numPr>
          <w:ilvl w:val="0"/>
          <w:numId w:val="9"/>
        </w:numPr>
        <w:autoSpaceDE w:val="0"/>
        <w:autoSpaceDN w:val="0"/>
        <w:adjustRightInd w:val="0"/>
        <w:spacing w:after="160" w:line="288" w:lineRule="auto"/>
        <w:ind w:left="714" w:hanging="357"/>
        <w:jc w:val="both"/>
        <w:rPr>
          <w:rFonts w:ascii="Cambria" w:eastAsia="Calibri" w:hAnsi="Cambria" w:cs="Calibri"/>
          <w:b/>
          <w:color w:val="000000"/>
          <w:sz w:val="22"/>
          <w:szCs w:val="22"/>
          <w:lang w:eastAsia="en-US"/>
        </w:rPr>
      </w:pPr>
      <w:r w:rsidRPr="00A52121">
        <w:rPr>
          <w:rFonts w:ascii="Cambria" w:eastAsia="Calibri" w:hAnsi="Cambria" w:cs="Calibri"/>
          <w:color w:val="000000"/>
          <w:sz w:val="20"/>
          <w:szCs w:val="20"/>
          <w:lang w:eastAsia="en-US"/>
        </w:rPr>
        <w:t xml:space="preserve">Zamawiający wymaga, aby data nadania przesyłek pocztowych potwierdzona była przez umieszczenie odcisku datownika placówki nadawczej na przesyłkach oraz na dowodzie ich nadania (w pocztowej książce nadawczej) oraz by nadanie przesyłki w danym dniu w placówce pocztowej Wykonawcy gwarantowała Zamawiającemu zachowanie terminów wynikających z przepisów powszechnie obowiązującego prawa (w tym było równoznaczne z wniesieniem pisma procesowego do sądu), a w szczególności wynikających z następujących przepisów: </w:t>
      </w:r>
    </w:p>
    <w:p w14:paraId="5E75B5B8" w14:textId="77777777" w:rsidR="00C65D81" w:rsidRPr="00A52121" w:rsidRDefault="00C65D81" w:rsidP="00C65D81">
      <w:pPr>
        <w:numPr>
          <w:ilvl w:val="0"/>
          <w:numId w:val="10"/>
        </w:numPr>
        <w:autoSpaceDE w:val="0"/>
        <w:autoSpaceDN w:val="0"/>
        <w:adjustRightInd w:val="0"/>
        <w:spacing w:after="160" w:line="288" w:lineRule="auto"/>
        <w:jc w:val="both"/>
        <w:rPr>
          <w:rFonts w:ascii="Cambria" w:eastAsia="Calibri" w:hAnsi="Cambria" w:cs="Calibri"/>
          <w:b/>
          <w:color w:val="000000"/>
          <w:sz w:val="22"/>
          <w:szCs w:val="22"/>
          <w:lang w:eastAsia="en-US"/>
        </w:rPr>
      </w:pPr>
      <w:r w:rsidRPr="00A52121">
        <w:rPr>
          <w:rFonts w:ascii="Cambria" w:eastAsia="Calibri" w:hAnsi="Cambria" w:cs="Calibri"/>
          <w:color w:val="000000"/>
          <w:sz w:val="20"/>
          <w:szCs w:val="20"/>
          <w:lang w:eastAsia="en-US"/>
        </w:rPr>
        <w:t xml:space="preserve">Kodeksu postępowania cywilnego, </w:t>
      </w:r>
    </w:p>
    <w:p w14:paraId="64C93912" w14:textId="77777777" w:rsidR="00C65D81" w:rsidRPr="00A52121" w:rsidRDefault="00C65D81" w:rsidP="00C65D81">
      <w:pPr>
        <w:numPr>
          <w:ilvl w:val="0"/>
          <w:numId w:val="10"/>
        </w:numPr>
        <w:autoSpaceDE w:val="0"/>
        <w:autoSpaceDN w:val="0"/>
        <w:adjustRightInd w:val="0"/>
        <w:spacing w:after="160" w:line="288" w:lineRule="auto"/>
        <w:jc w:val="both"/>
        <w:rPr>
          <w:rFonts w:ascii="Cambria" w:eastAsia="Calibri" w:hAnsi="Cambria" w:cs="Calibri"/>
          <w:b/>
          <w:color w:val="000000"/>
          <w:sz w:val="22"/>
          <w:szCs w:val="22"/>
          <w:lang w:eastAsia="en-US"/>
        </w:rPr>
      </w:pPr>
      <w:r w:rsidRPr="00A52121">
        <w:rPr>
          <w:rFonts w:ascii="Cambria" w:eastAsia="Calibri" w:hAnsi="Cambria" w:cs="Calibri"/>
          <w:color w:val="000000"/>
          <w:sz w:val="20"/>
          <w:szCs w:val="20"/>
          <w:lang w:eastAsia="en-US"/>
        </w:rPr>
        <w:t xml:space="preserve">Kodeksu postępowania administracyjnego, </w:t>
      </w:r>
    </w:p>
    <w:p w14:paraId="169F5097" w14:textId="77777777" w:rsidR="00C65D81" w:rsidRPr="00A52121" w:rsidRDefault="00C65D81" w:rsidP="00C65D81">
      <w:pPr>
        <w:numPr>
          <w:ilvl w:val="0"/>
          <w:numId w:val="10"/>
        </w:numPr>
        <w:autoSpaceDE w:val="0"/>
        <w:autoSpaceDN w:val="0"/>
        <w:adjustRightInd w:val="0"/>
        <w:spacing w:after="160" w:line="288" w:lineRule="auto"/>
        <w:jc w:val="both"/>
        <w:rPr>
          <w:rFonts w:ascii="Cambria" w:eastAsia="Calibri" w:hAnsi="Cambria" w:cs="Calibri"/>
          <w:b/>
          <w:color w:val="000000"/>
          <w:sz w:val="22"/>
          <w:szCs w:val="22"/>
          <w:lang w:eastAsia="en-US"/>
        </w:rPr>
      </w:pPr>
      <w:r w:rsidRPr="00A52121">
        <w:rPr>
          <w:rFonts w:ascii="Cambria" w:eastAsia="Calibri" w:hAnsi="Cambria" w:cs="Calibri"/>
          <w:color w:val="000000"/>
          <w:sz w:val="20"/>
          <w:szCs w:val="20"/>
          <w:lang w:eastAsia="en-US"/>
        </w:rPr>
        <w:lastRenderedPageBreak/>
        <w:t xml:space="preserve">Ordynacji podatkowej. </w:t>
      </w:r>
    </w:p>
    <w:p w14:paraId="78E37DA7" w14:textId="77777777" w:rsidR="00C65D81" w:rsidRPr="00A52121" w:rsidRDefault="00C65D81" w:rsidP="00C65D81">
      <w:pPr>
        <w:numPr>
          <w:ilvl w:val="0"/>
          <w:numId w:val="12"/>
        </w:numPr>
        <w:autoSpaceDE w:val="0"/>
        <w:autoSpaceDN w:val="0"/>
        <w:adjustRightInd w:val="0"/>
        <w:spacing w:after="160" w:line="288" w:lineRule="auto"/>
        <w:ind w:left="709" w:hanging="283"/>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 xml:space="preserve">Zamawiający zobowiązany będzie do właściwego przygotowania przesyłek oraz sporządzania zestawień dla przesyłek. </w:t>
      </w:r>
    </w:p>
    <w:p w14:paraId="4A5876D7" w14:textId="77777777" w:rsidR="00C65D81" w:rsidRPr="00A52121" w:rsidRDefault="00C65D81" w:rsidP="00C65D81">
      <w:pPr>
        <w:numPr>
          <w:ilvl w:val="0"/>
          <w:numId w:val="12"/>
        </w:numPr>
        <w:autoSpaceDE w:val="0"/>
        <w:autoSpaceDN w:val="0"/>
        <w:adjustRightInd w:val="0"/>
        <w:spacing w:after="160" w:line="288" w:lineRule="auto"/>
        <w:ind w:left="709" w:hanging="283"/>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Zamawiający zobowiązany będzie do nadawania przesyłek w stanie uporządkowanym, przez co należy rozumieć:</w:t>
      </w:r>
    </w:p>
    <w:p w14:paraId="3ED3E3A8" w14:textId="77777777" w:rsidR="00C65D81" w:rsidRPr="00A52121" w:rsidRDefault="00C65D81" w:rsidP="00C65D81">
      <w:pPr>
        <w:numPr>
          <w:ilvl w:val="0"/>
          <w:numId w:val="11"/>
        </w:numPr>
        <w:autoSpaceDE w:val="0"/>
        <w:autoSpaceDN w:val="0"/>
        <w:adjustRightInd w:val="0"/>
        <w:spacing w:after="160" w:line="288" w:lineRule="auto"/>
        <w:ind w:left="1559" w:hanging="357"/>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dla przesyłek rejestrowanych – wpisanie każdej przesyłki do pocztowej książki nadawczej lub poprzez dołączenie zestawienia w dwóch egzemplarzach, z których oryginał będzie przeznaczony dla Wykonawcy w celach rozliczeniowych, a kopia stanowić będzie dla Zamawiającego potwierdzenie nadania danej partii przesyłek,</w:t>
      </w:r>
    </w:p>
    <w:p w14:paraId="61D17DCB" w14:textId="77777777" w:rsidR="00C65D81" w:rsidRPr="00A52121" w:rsidRDefault="00C65D81" w:rsidP="00C65D81">
      <w:pPr>
        <w:numPr>
          <w:ilvl w:val="0"/>
          <w:numId w:val="11"/>
        </w:numPr>
        <w:autoSpaceDE w:val="0"/>
        <w:autoSpaceDN w:val="0"/>
        <w:adjustRightInd w:val="0"/>
        <w:spacing w:after="160" w:line="288" w:lineRule="auto"/>
        <w:ind w:left="1559" w:hanging="357"/>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 xml:space="preserve"> 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t>
      </w:r>
    </w:p>
    <w:p w14:paraId="3CD3C5D0" w14:textId="77777777" w:rsidR="00C65D81" w:rsidRPr="00A52121" w:rsidRDefault="00C65D81" w:rsidP="00C65D81">
      <w:pPr>
        <w:numPr>
          <w:ilvl w:val="0"/>
          <w:numId w:val="13"/>
        </w:numPr>
        <w:autoSpaceDE w:val="0"/>
        <w:autoSpaceDN w:val="0"/>
        <w:adjustRightInd w:val="0"/>
        <w:spacing w:after="160" w:line="288" w:lineRule="auto"/>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 xml:space="preserve">Zamawiający będzie odpowiedzialny za nadawanie przesyłek pocztowych w stanie umożliwiającym Wykonawcy doręczenie bez ubytku i uszkodzenia do miejsca zgodnie z adresem przeznaczenia. </w:t>
      </w:r>
    </w:p>
    <w:p w14:paraId="23589A13" w14:textId="77777777" w:rsidR="00C65D81" w:rsidRPr="00A52121" w:rsidRDefault="00C65D81" w:rsidP="00C65D81">
      <w:pPr>
        <w:numPr>
          <w:ilvl w:val="0"/>
          <w:numId w:val="13"/>
        </w:numPr>
        <w:autoSpaceDE w:val="0"/>
        <w:autoSpaceDN w:val="0"/>
        <w:adjustRightInd w:val="0"/>
        <w:spacing w:after="160" w:line="288" w:lineRule="auto"/>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 xml:space="preserve">Opakowanie przesyłek listowych stanowi koperta Zamawiającego, odpowiednio zabezpieczona (zaklejona lub zalakowana). </w:t>
      </w:r>
    </w:p>
    <w:p w14:paraId="191B98C1" w14:textId="77777777" w:rsidR="00C65D81" w:rsidRPr="00A52121" w:rsidRDefault="00C65D81" w:rsidP="00C65D81">
      <w:pPr>
        <w:numPr>
          <w:ilvl w:val="0"/>
          <w:numId w:val="13"/>
        </w:numPr>
        <w:autoSpaceDE w:val="0"/>
        <w:autoSpaceDN w:val="0"/>
        <w:adjustRightInd w:val="0"/>
        <w:spacing w:after="160" w:line="288" w:lineRule="auto"/>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Zamawiający nie dopuszcza jakiejkolwiek ingerencji przez Wykonawcę w zewnętrzne opakowanie przesyłki mogące naruszyć jej pierwotny format, kształt lub wagę.</w:t>
      </w:r>
    </w:p>
    <w:p w14:paraId="52BFF363" w14:textId="77777777" w:rsidR="00C65D81" w:rsidRPr="00A52121" w:rsidRDefault="00C65D81" w:rsidP="00C65D81">
      <w:pPr>
        <w:numPr>
          <w:ilvl w:val="0"/>
          <w:numId w:val="13"/>
        </w:numPr>
        <w:autoSpaceDE w:val="0"/>
        <w:autoSpaceDN w:val="0"/>
        <w:adjustRightInd w:val="0"/>
        <w:spacing w:after="160" w:line="288" w:lineRule="auto"/>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Wykonawca zobowiązany jest do świadczenia usługi doręczenia przesyłek do każdego wskazanego przez Zamawiającego adresu w Polsce i poza granicami kraju objętego Porozumieniem ze Światowym Związkiem Pocztowym, z uwzględnieniem wszelkich ograniczeń, zawieszenia wymiany międzynarodowej ze względu na stan pandemii, wojny oraz pozostałych czynników siły wyższej.</w:t>
      </w:r>
    </w:p>
    <w:p w14:paraId="28E8FD8D" w14:textId="77777777" w:rsidR="00C65D81" w:rsidRPr="00A52121" w:rsidRDefault="00C65D81" w:rsidP="00C65D81">
      <w:pPr>
        <w:numPr>
          <w:ilvl w:val="0"/>
          <w:numId w:val="13"/>
        </w:numPr>
        <w:autoSpaceDE w:val="0"/>
        <w:autoSpaceDN w:val="0"/>
        <w:adjustRightInd w:val="0"/>
        <w:spacing w:after="160" w:line="288" w:lineRule="auto"/>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 xml:space="preserve"> Przewidywany czas doręczania przesyłek pocztowych za wyjątkiem przesyłek zagranicznych winien być zgodny z Rozporządzeniem Ministra Administracji i Cyfryzacji z dnia 29 kwietnia 2013 r. w sprawie warunków wykonywania usług powszechnych przez operatora wyznaczonego. </w:t>
      </w:r>
    </w:p>
    <w:p w14:paraId="0D53C2DF" w14:textId="77777777" w:rsidR="00C65D81" w:rsidRPr="00A52121" w:rsidRDefault="00C65D81" w:rsidP="00C65D81">
      <w:pPr>
        <w:numPr>
          <w:ilvl w:val="0"/>
          <w:numId w:val="13"/>
        </w:numPr>
        <w:autoSpaceDE w:val="0"/>
        <w:autoSpaceDN w:val="0"/>
        <w:adjustRightInd w:val="0"/>
        <w:spacing w:after="160" w:line="288" w:lineRule="auto"/>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 xml:space="preserve">W sytuacji, kiedy Wykonawca w regulaminie świadczenia usług pocztowych określił korzystniejsze wskaźniki terminowości doręczeń (terminy doręczeń), stosuje się postanowienia tego regulaminu. </w:t>
      </w:r>
    </w:p>
    <w:p w14:paraId="6167A4C6" w14:textId="77777777" w:rsidR="00C65D81" w:rsidRPr="00A52121" w:rsidRDefault="00C65D81" w:rsidP="00C65D81">
      <w:pPr>
        <w:numPr>
          <w:ilvl w:val="0"/>
          <w:numId w:val="13"/>
        </w:numPr>
        <w:autoSpaceDE w:val="0"/>
        <w:autoSpaceDN w:val="0"/>
        <w:adjustRightInd w:val="0"/>
        <w:spacing w:after="160" w:line="288" w:lineRule="auto"/>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 xml:space="preserve">Przesyłki pocztowe zagraniczne powinny być niezwłocznie przekazane do doręczenia odpowiednim operatorom zagranicznym. </w:t>
      </w:r>
    </w:p>
    <w:p w14:paraId="60292FDF" w14:textId="77777777" w:rsidR="00C65D81" w:rsidRPr="00A52121" w:rsidRDefault="00C65D81" w:rsidP="00C65D81">
      <w:pPr>
        <w:numPr>
          <w:ilvl w:val="0"/>
          <w:numId w:val="13"/>
        </w:numPr>
        <w:autoSpaceDE w:val="0"/>
        <w:autoSpaceDN w:val="0"/>
        <w:adjustRightInd w:val="0"/>
        <w:spacing w:after="160" w:line="288" w:lineRule="auto"/>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Placówki Wykonawcy, które doręczają adresatom przesyłki pocztowe, winne być czynne we wszystkie dni robocze, z wyjątkiem sobót, co najmniej 5 dni w tygodniu, a jeżeli w tygodniu  przypada dzień ustawowo wolny od pracy, liczba ta może być odpowiednio niższa.</w:t>
      </w:r>
    </w:p>
    <w:p w14:paraId="271E6617" w14:textId="77777777" w:rsidR="00C65D81" w:rsidRPr="00A52121" w:rsidRDefault="00C65D81" w:rsidP="00C65D81">
      <w:pPr>
        <w:numPr>
          <w:ilvl w:val="0"/>
          <w:numId w:val="13"/>
        </w:numPr>
        <w:autoSpaceDE w:val="0"/>
        <w:autoSpaceDN w:val="0"/>
        <w:adjustRightInd w:val="0"/>
        <w:spacing w:after="160" w:line="288" w:lineRule="auto"/>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 xml:space="preserve">W przypadku przesyłek rejestrowanych za zwrotnym potwierdzeniem odbioru, niezwłocznie po dokonaniu doręczenia przesyłki, Wykonawca będzie doręczał Zamawiającemu prawidłowo pokwitowane przez adresata lub osobę upoważnioną potwierdzenie odbioru przesyłki rejestrowanej.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w:t>
      </w:r>
      <w:r w:rsidRPr="00A52121">
        <w:rPr>
          <w:rFonts w:ascii="Cambria" w:eastAsia="Calibri" w:hAnsi="Cambria" w:cs="Calibri"/>
          <w:color w:val="000000"/>
          <w:sz w:val="20"/>
          <w:szCs w:val="20"/>
          <w:lang w:eastAsia="en-US"/>
        </w:rPr>
        <w:lastRenderedPageBreak/>
        <w:t xml:space="preserve">odbiorcy, datę odbioru i odcisk stempla firmowego, a w przypadku braku stempla firmowego – informację o dokumencie potwierdzającym uprawnienie do odbioru przesyłki. </w:t>
      </w:r>
    </w:p>
    <w:p w14:paraId="543F3F4B" w14:textId="77777777" w:rsidR="00C65D81" w:rsidRPr="00A52121" w:rsidRDefault="00C65D81" w:rsidP="00C65D81">
      <w:pPr>
        <w:numPr>
          <w:ilvl w:val="0"/>
          <w:numId w:val="13"/>
        </w:numPr>
        <w:autoSpaceDE w:val="0"/>
        <w:autoSpaceDN w:val="0"/>
        <w:adjustRightInd w:val="0"/>
        <w:spacing w:after="160" w:line="288" w:lineRule="auto"/>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Wykonawca będzie doręczał do siedziby Zamawiającego pokwitowane przez Adresata „potwierdzenie odbioru” niezwłocznie po dokonaniu doręczenia przesyłki. W przypadku nieobecności adresata, przedstawiciel Wykonawcy pozostawia zawiadomienie o próbie doręczenia przesyłki wraz ze wskazaniem gdzie i kiedy adresat może odebrać przesyłkę. Termin odbioru takiej przesyłki wynosi 14 dni kalendarzowych liczonych od dnia następnego po dniu pozostawienia pierwszego zawiadomienia. W tym czasie zawiadomienie o nadejściu przesyłki pozostawiane jest dwukrotnie. Po upływie terminu odbioru przesyłka zwracana jest Zamawiającemu wraz z podaniem przyczyny nie odebrania jej przez adresata.  W przypadku kierowanie przesyłek do kraju w którym nie jest realizowana usługa zwrotnego potwierdzenia odbioru, Zamawiający nie będzie korzystał z takiej usługi.</w:t>
      </w:r>
    </w:p>
    <w:p w14:paraId="196C1044" w14:textId="77777777" w:rsidR="00C65D81" w:rsidRPr="00A52121" w:rsidRDefault="00C65D81" w:rsidP="00C65D81">
      <w:pPr>
        <w:numPr>
          <w:ilvl w:val="0"/>
          <w:numId w:val="13"/>
        </w:numPr>
        <w:autoSpaceDE w:val="0"/>
        <w:autoSpaceDN w:val="0"/>
        <w:adjustRightInd w:val="0"/>
        <w:spacing w:after="160" w:line="288" w:lineRule="auto"/>
        <w:jc w:val="both"/>
        <w:rPr>
          <w:rFonts w:ascii="Cambria" w:eastAsia="Calibri" w:hAnsi="Cambria" w:cs="Calibri"/>
          <w:color w:val="000000"/>
          <w:sz w:val="20"/>
          <w:szCs w:val="20"/>
          <w:lang w:eastAsia="en-US"/>
        </w:rPr>
      </w:pPr>
      <w:r w:rsidRPr="00A52121">
        <w:rPr>
          <w:rFonts w:ascii="Cambria" w:eastAsia="Calibri" w:hAnsi="Cambria" w:cs="Calibri"/>
          <w:color w:val="000000"/>
          <w:sz w:val="20"/>
          <w:szCs w:val="20"/>
          <w:lang w:eastAsia="en-US"/>
        </w:rPr>
        <w:t xml:space="preserve">Wykonawca musi zapewnić świadczenie usług pocztowych poprzez sieć placówek oddawczo-awizacyjnych w celu odbioru awizowanej przesyłki, zlokalizowanych na terenie całego kraju – minimum po jednej placówce na terenie każdej Gminy lub Powiatu. Wszystkie placówki oddawczo-awizacyjne muszą być dostosowane dla osób niepełnosprawnych, posiadać wyodrębnione, zadaszone, osłonięte od wiatru, dedykowane do obsługi przesyłek pocztowych miejsca, spełniać wymogi gwarantujące zabezpieczenie i ochronę danych osobowych oraz zawartych w przesyłkach informacji, spełniać wymogi Prawa pocztowego. Miejsce dedykowane do obsługi przesyłek pocztowych winno być w pomieszczeniu zamkniętym, ogrzewanym, chroniącym przed deszczem i chłodem odbierającego przesyłkę. </w:t>
      </w:r>
    </w:p>
    <w:p w14:paraId="61B8C962" w14:textId="77777777" w:rsidR="00C65D81" w:rsidRPr="00A52121" w:rsidRDefault="00C65D81" w:rsidP="00C65D81">
      <w:pPr>
        <w:numPr>
          <w:ilvl w:val="0"/>
          <w:numId w:val="14"/>
        </w:numPr>
        <w:autoSpaceDE w:val="0"/>
        <w:autoSpaceDN w:val="0"/>
        <w:adjustRightInd w:val="0"/>
        <w:spacing w:after="160" w:line="288" w:lineRule="auto"/>
        <w:ind w:left="709" w:hanging="283"/>
        <w:contextualSpacing/>
        <w:jc w:val="both"/>
        <w:rPr>
          <w:rFonts w:ascii="Cambria" w:eastAsia="Calibri" w:hAnsi="Cambria" w:cs="Calibri"/>
          <w:color w:val="000000"/>
          <w:sz w:val="20"/>
          <w:szCs w:val="20"/>
          <w:lang w:eastAsia="en-US"/>
        </w:rPr>
      </w:pPr>
      <w:r w:rsidRPr="00A52121">
        <w:rPr>
          <w:rFonts w:ascii="Cambria" w:eastAsia="Calibri" w:hAnsi="Cambria"/>
          <w:sz w:val="20"/>
          <w:szCs w:val="20"/>
          <w:lang w:eastAsia="en-US"/>
        </w:rPr>
        <w:t xml:space="preserve">W przypadku utraty, ubytku, uszkodzenia przesyłki bądź niewykonania lub nienależytego wykonania przedmiotu zamówienia Wykonawca zapłaci Zamawiającemu należne odszkodowanie i inne roszczenia, zgodne z rozporządzeniem Ministra Administracji i Cyfryzacji z dnia 26 listopada 2013 r. w sprawie reklamacji usługi pocztowej (Dz.U. z 2019 r., poz. 474 ze zm.) oraz powszechnie obowiązującymi przepisami prawa. </w:t>
      </w:r>
    </w:p>
    <w:p w14:paraId="091295CA" w14:textId="77777777" w:rsidR="00C65D81" w:rsidRPr="00A52121" w:rsidRDefault="00C65D81" w:rsidP="00C65D81">
      <w:pPr>
        <w:numPr>
          <w:ilvl w:val="0"/>
          <w:numId w:val="14"/>
        </w:numPr>
        <w:autoSpaceDE w:val="0"/>
        <w:autoSpaceDN w:val="0"/>
        <w:adjustRightInd w:val="0"/>
        <w:spacing w:after="160" w:line="288" w:lineRule="auto"/>
        <w:ind w:left="709" w:hanging="283"/>
        <w:contextualSpacing/>
        <w:jc w:val="both"/>
        <w:rPr>
          <w:rFonts w:ascii="Cambria" w:eastAsia="Calibri" w:hAnsi="Cambria" w:cs="Calibri"/>
          <w:color w:val="000000"/>
          <w:sz w:val="20"/>
          <w:szCs w:val="20"/>
          <w:lang w:eastAsia="en-US"/>
        </w:rPr>
      </w:pPr>
      <w:r w:rsidRPr="00A52121">
        <w:rPr>
          <w:rFonts w:ascii="Cambria" w:eastAsia="Calibri" w:hAnsi="Cambria"/>
          <w:sz w:val="20"/>
          <w:szCs w:val="20"/>
          <w:lang w:eastAsia="en-US"/>
        </w:rPr>
        <w:t xml:space="preserve">Szacunkowe ilości przesyłek i paczek w okresie świadczenia usługi podane zostały w formularzu cenowym. </w:t>
      </w:r>
    </w:p>
    <w:p w14:paraId="29090A0D" w14:textId="77777777" w:rsidR="00C65D81" w:rsidRPr="00A52121" w:rsidRDefault="00C65D81" w:rsidP="00C65D81">
      <w:pPr>
        <w:numPr>
          <w:ilvl w:val="0"/>
          <w:numId w:val="14"/>
        </w:numPr>
        <w:autoSpaceDE w:val="0"/>
        <w:autoSpaceDN w:val="0"/>
        <w:adjustRightInd w:val="0"/>
        <w:spacing w:after="160" w:line="288" w:lineRule="auto"/>
        <w:ind w:left="709" w:hanging="283"/>
        <w:contextualSpacing/>
        <w:jc w:val="both"/>
        <w:rPr>
          <w:rFonts w:ascii="Cambria" w:eastAsia="Calibri" w:hAnsi="Cambria" w:cs="Calibri"/>
          <w:color w:val="000000"/>
          <w:sz w:val="20"/>
          <w:szCs w:val="20"/>
          <w:lang w:eastAsia="en-US"/>
        </w:rPr>
      </w:pPr>
      <w:r w:rsidRPr="00A52121">
        <w:rPr>
          <w:rFonts w:ascii="Cambria" w:eastAsia="Calibri" w:hAnsi="Cambria"/>
          <w:sz w:val="20"/>
          <w:szCs w:val="20"/>
          <w:lang w:eastAsia="en-US"/>
        </w:rPr>
        <w:t xml:space="preserve"> Podane w formularzu cenowym szacunkowe ilości przesyłek pocztowych sporządzone zostały w oparciu o analizę dotychczas prowadzonej korespondencji oraz prognozowanych potrzeb </w:t>
      </w:r>
      <w:r w:rsidR="003436C4">
        <w:rPr>
          <w:rFonts w:ascii="Cambria" w:eastAsia="Calibri" w:hAnsi="Cambria"/>
          <w:sz w:val="20"/>
          <w:szCs w:val="20"/>
          <w:lang w:eastAsia="en-US"/>
        </w:rPr>
        <w:t xml:space="preserve">Zamawiającego </w:t>
      </w:r>
      <w:r w:rsidRPr="00A52121">
        <w:rPr>
          <w:rFonts w:ascii="Cambria" w:eastAsia="Calibri" w:hAnsi="Cambria"/>
          <w:sz w:val="20"/>
          <w:szCs w:val="20"/>
          <w:lang w:eastAsia="en-US"/>
        </w:rPr>
        <w:t xml:space="preserve">i które należy przyjąć do obliczenia ceny oferty. Podane ilości służą jedynie orientacyjnemu określeniu wielkości przedmiotu zamówienia. Ilość przesyłek pocztowych może być mniejsza od ilości szacunkowej podanej w formularzu cenowym, przy czym Zamawiający jest w stanie zagwarantować minimum 70% szacowanych ilości przesyłek pocztowych, wskazanych w formularzu cenowym. W stosunku do niewykorzystanych – maksymalnie 30% ilości przesyłek pocztowych, Wykonawcy nie będą przysługiwały żadne roszczenia odszkodowawcze. </w:t>
      </w:r>
    </w:p>
    <w:p w14:paraId="5AD359E1" w14:textId="77777777" w:rsidR="00C65D81" w:rsidRPr="00A52121" w:rsidRDefault="00C65D81" w:rsidP="00C65D81">
      <w:pPr>
        <w:numPr>
          <w:ilvl w:val="0"/>
          <w:numId w:val="14"/>
        </w:numPr>
        <w:autoSpaceDE w:val="0"/>
        <w:autoSpaceDN w:val="0"/>
        <w:adjustRightInd w:val="0"/>
        <w:spacing w:after="160" w:line="288" w:lineRule="auto"/>
        <w:ind w:left="709" w:hanging="283"/>
        <w:contextualSpacing/>
        <w:jc w:val="both"/>
        <w:rPr>
          <w:rFonts w:ascii="Cambria" w:eastAsia="Calibri" w:hAnsi="Cambria" w:cs="Calibri"/>
          <w:color w:val="000000"/>
          <w:sz w:val="20"/>
          <w:szCs w:val="20"/>
          <w:lang w:eastAsia="en-US"/>
        </w:rPr>
      </w:pPr>
      <w:r w:rsidRPr="00A52121">
        <w:rPr>
          <w:rFonts w:ascii="Cambria" w:eastAsia="Calibri" w:hAnsi="Cambria"/>
          <w:sz w:val="20"/>
          <w:szCs w:val="20"/>
          <w:lang w:eastAsia="en-US"/>
        </w:rPr>
        <w:t xml:space="preserve"> Zamawiający zastrzega sobie możliwość nadawania przesyłek nieujętych w formularzu cenowym (np. innych typów lub uwzględniających usługi dodatkowe, takie jak np.: pobranie, zwrotne potwierdzenie odbioru itp.). W przypadku nadawania przez Zamawiającego przesyłek oraz korzystania z usług nieujętych w formularzu cenowym, podstawą rozliczenia będą ceny z cennika usług Wykonawcy, obowiązujące w dniu nadania/zwrotu przesyłki, a usługi te będą świadczone na podstawie aktualnie obowiązującego regulaminu świadczenia usług Wykonawcy. </w:t>
      </w:r>
    </w:p>
    <w:p w14:paraId="792BFFAD" w14:textId="77777777" w:rsidR="00C65D81" w:rsidRPr="00A52121" w:rsidRDefault="00C65D81" w:rsidP="00C65D81">
      <w:pPr>
        <w:numPr>
          <w:ilvl w:val="0"/>
          <w:numId w:val="14"/>
        </w:numPr>
        <w:autoSpaceDE w:val="0"/>
        <w:autoSpaceDN w:val="0"/>
        <w:adjustRightInd w:val="0"/>
        <w:spacing w:after="160" w:line="288" w:lineRule="auto"/>
        <w:ind w:left="709" w:hanging="283"/>
        <w:contextualSpacing/>
        <w:jc w:val="both"/>
        <w:rPr>
          <w:rFonts w:ascii="Cambria" w:eastAsia="Calibri" w:hAnsi="Cambria" w:cs="Calibri"/>
          <w:color w:val="000000"/>
          <w:sz w:val="20"/>
          <w:szCs w:val="20"/>
          <w:lang w:eastAsia="en-US"/>
        </w:rPr>
      </w:pPr>
      <w:r w:rsidRPr="00A52121">
        <w:rPr>
          <w:rFonts w:ascii="Cambria" w:eastAsia="Calibri" w:hAnsi="Cambria"/>
          <w:sz w:val="20"/>
          <w:szCs w:val="20"/>
          <w:lang w:eastAsia="en-US"/>
        </w:rPr>
        <w:t xml:space="preserve">Usługi pocztowe będące przedmiotem niniejszego zamówienia mogą być realizowane w sposób określony w regulaminach. </w:t>
      </w:r>
    </w:p>
    <w:p w14:paraId="27FC821D" w14:textId="77777777" w:rsidR="00C65D81" w:rsidRPr="00A52121" w:rsidRDefault="00C65D81" w:rsidP="00C65D81">
      <w:pPr>
        <w:numPr>
          <w:ilvl w:val="0"/>
          <w:numId w:val="14"/>
        </w:numPr>
        <w:autoSpaceDE w:val="0"/>
        <w:autoSpaceDN w:val="0"/>
        <w:adjustRightInd w:val="0"/>
        <w:spacing w:after="160" w:line="288" w:lineRule="auto"/>
        <w:ind w:left="709" w:hanging="283"/>
        <w:contextualSpacing/>
        <w:jc w:val="both"/>
        <w:rPr>
          <w:rFonts w:ascii="Cambria" w:eastAsia="Calibri" w:hAnsi="Cambria" w:cs="Calibri"/>
          <w:color w:val="000000"/>
          <w:sz w:val="20"/>
          <w:szCs w:val="20"/>
          <w:lang w:eastAsia="en-US"/>
        </w:rPr>
      </w:pPr>
      <w:r w:rsidRPr="00A52121">
        <w:rPr>
          <w:rFonts w:ascii="Cambria" w:eastAsia="Calibri" w:hAnsi="Cambria"/>
          <w:sz w:val="20"/>
          <w:szCs w:val="20"/>
          <w:lang w:eastAsia="en-US"/>
        </w:rPr>
        <w:t xml:space="preserve">Zamawiający zobowiązany będzie do umieszczenia na przesyłce pocztowej lub paczce nazwy odbiorcy wraz z jego adresem (podany jednocześnie w pocztowej książce nadawczej), określając rodzaj przesyłki (zwykła, polecona, polecona ze zwrotnym potwierdzeniem odbioru, polecona-E, a w przypadku przesyłek będących przesyłkami najszybszej kategorii – odpowiedniego wyróżnika) oraz umieszczania na stronie adresowej każdej nadawanej przesyłki nadruku (pieczątki) </w:t>
      </w:r>
      <w:r w:rsidRPr="00A52121">
        <w:rPr>
          <w:rFonts w:ascii="Cambria" w:eastAsia="Calibri" w:hAnsi="Cambria"/>
          <w:sz w:val="20"/>
          <w:szCs w:val="20"/>
          <w:lang w:eastAsia="en-US"/>
        </w:rPr>
        <w:lastRenderedPageBreak/>
        <w:t xml:space="preserve">określającej pełną nazwę i adres Zamawiającego. Brak określenia rodzaju przesyłki na kopercie oznacza przesyłkę zwykłą (nierejestrowaną). </w:t>
      </w:r>
    </w:p>
    <w:p w14:paraId="1D186C87" w14:textId="77777777" w:rsidR="00C65D81" w:rsidRPr="00A52121" w:rsidRDefault="00C65D81" w:rsidP="00C65D81">
      <w:pPr>
        <w:numPr>
          <w:ilvl w:val="0"/>
          <w:numId w:val="14"/>
        </w:numPr>
        <w:autoSpaceDE w:val="0"/>
        <w:autoSpaceDN w:val="0"/>
        <w:adjustRightInd w:val="0"/>
        <w:spacing w:after="160" w:line="288" w:lineRule="auto"/>
        <w:ind w:left="709" w:hanging="283"/>
        <w:contextualSpacing/>
        <w:jc w:val="both"/>
        <w:rPr>
          <w:rFonts w:ascii="Cambria" w:eastAsia="Calibri" w:hAnsi="Cambria" w:cs="Calibri"/>
          <w:color w:val="000000"/>
          <w:sz w:val="20"/>
          <w:szCs w:val="20"/>
          <w:lang w:eastAsia="en-US"/>
        </w:rPr>
      </w:pPr>
      <w:r w:rsidRPr="00A52121">
        <w:rPr>
          <w:rFonts w:ascii="Cambria" w:eastAsia="Calibri" w:hAnsi="Cambria"/>
          <w:sz w:val="20"/>
          <w:szCs w:val="20"/>
          <w:lang w:eastAsia="en-US"/>
        </w:rPr>
        <w:t xml:space="preserve">Zamawiający zobowiązuje się do umieszczania na stronie adresowej przesyłki w miejscu przeznaczonym na znak opłaty pocztowej m.in.: napisu, odcisku maszyny frankującej, odcisku pieczęci lub nadruku o treści uzgodnionej z Wykonawcą. Zamawiający przy nadawaniu przesyłek będzie korzystał z własnego opakowania – koperty odpowiednio zabezpieczonej (zaklejonej), opakowanie paczki powinno stanowić zabezpieczenie przed dostępem do zawartości oraz aby uniemożliwiało uszkodzenie przesyłki w czasie przemieszczania. </w:t>
      </w:r>
    </w:p>
    <w:p w14:paraId="4D08304A" w14:textId="77777777" w:rsidR="00C65D81" w:rsidRPr="00A52121" w:rsidRDefault="00C65D81" w:rsidP="00C65D81">
      <w:pPr>
        <w:numPr>
          <w:ilvl w:val="0"/>
          <w:numId w:val="14"/>
        </w:numPr>
        <w:autoSpaceDE w:val="0"/>
        <w:autoSpaceDN w:val="0"/>
        <w:adjustRightInd w:val="0"/>
        <w:spacing w:after="160" w:line="288" w:lineRule="auto"/>
        <w:ind w:left="709" w:hanging="283"/>
        <w:contextualSpacing/>
        <w:jc w:val="both"/>
        <w:rPr>
          <w:rFonts w:ascii="Cambria" w:eastAsia="Calibri" w:hAnsi="Cambria" w:cs="Calibri"/>
          <w:color w:val="000000"/>
          <w:sz w:val="20"/>
          <w:szCs w:val="20"/>
          <w:lang w:eastAsia="en-US"/>
        </w:rPr>
      </w:pPr>
      <w:r w:rsidRPr="00A52121">
        <w:rPr>
          <w:rFonts w:ascii="Cambria" w:eastAsia="Calibri" w:hAnsi="Cambria"/>
          <w:sz w:val="20"/>
          <w:szCs w:val="20"/>
          <w:lang w:eastAsia="en-US"/>
        </w:rPr>
        <w:t>Zamawiający wymaga, aby osoby wskazane przez Wykonawcę w umowie jako upoważnione do kontaktu z Zamawiającym, odpowiadały na kontakt ze strony Zamawiającego (nieudany telefoniczny lub mailowy – zgodnie z zapisami w umowie) w czasie nie dłuższym niż 6 godzin od kontaktu ze strony Zamawiającego, w dni robocze 8.00-16.00. Zamawiający pod pojęciem „odpowiedzi na kontakt ze strony Zamawiającego” oczekuje stałej współpracy osób wyznaczonych do kontaktu z obu Stron i załatwienia spraw w możliwie najkrótszym terminie.</w:t>
      </w:r>
    </w:p>
    <w:p w14:paraId="4E315808" w14:textId="107BF1F7" w:rsidR="00C65D81" w:rsidRPr="00360A62" w:rsidRDefault="00C65D81" w:rsidP="00C65D81">
      <w:pPr>
        <w:numPr>
          <w:ilvl w:val="0"/>
          <w:numId w:val="14"/>
        </w:numPr>
        <w:autoSpaceDE w:val="0"/>
        <w:autoSpaceDN w:val="0"/>
        <w:adjustRightInd w:val="0"/>
        <w:spacing w:after="160" w:line="288" w:lineRule="auto"/>
        <w:ind w:left="709" w:hanging="283"/>
        <w:contextualSpacing/>
        <w:jc w:val="both"/>
        <w:rPr>
          <w:rFonts w:ascii="Cambria" w:eastAsia="Calibri" w:hAnsi="Cambria" w:cs="Calibri"/>
          <w:color w:val="000000"/>
          <w:sz w:val="20"/>
          <w:szCs w:val="20"/>
          <w:lang w:eastAsia="en-US"/>
        </w:rPr>
        <w:sectPr w:rsidR="00C65D81" w:rsidRPr="00360A62" w:rsidSect="00AF4DFF">
          <w:headerReference w:type="default" r:id="rId7"/>
          <w:footerReference w:type="default" r:id="rId8"/>
          <w:headerReference w:type="first" r:id="rId9"/>
          <w:pgSz w:w="11906" w:h="16838"/>
          <w:pgMar w:top="97" w:right="1417" w:bottom="1417" w:left="1417" w:header="0"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sidRPr="00A52121">
        <w:rPr>
          <w:rFonts w:ascii="Cambria" w:eastAsia="Calibri" w:hAnsi="Cambria"/>
          <w:sz w:val="20"/>
          <w:szCs w:val="20"/>
          <w:lang w:eastAsia="en-US"/>
        </w:rPr>
        <w:t>Termin realizacji zamówienia: 1</w:t>
      </w:r>
      <w:r w:rsidR="0069190E">
        <w:rPr>
          <w:rFonts w:ascii="Cambria" w:eastAsia="Calibri" w:hAnsi="Cambria"/>
          <w:sz w:val="20"/>
          <w:szCs w:val="20"/>
          <w:lang w:eastAsia="en-US"/>
        </w:rPr>
        <w:t>1</w:t>
      </w:r>
      <w:r w:rsidRPr="00A52121">
        <w:rPr>
          <w:rFonts w:ascii="Cambria" w:eastAsia="Calibri" w:hAnsi="Cambria"/>
          <w:sz w:val="20"/>
          <w:szCs w:val="20"/>
          <w:lang w:eastAsia="en-US"/>
        </w:rPr>
        <w:t xml:space="preserve"> miesięcy tj. od 01.0</w:t>
      </w:r>
      <w:r w:rsidR="0069190E">
        <w:rPr>
          <w:rFonts w:ascii="Cambria" w:eastAsia="Calibri" w:hAnsi="Cambria"/>
          <w:sz w:val="20"/>
          <w:szCs w:val="20"/>
          <w:lang w:eastAsia="en-US"/>
        </w:rPr>
        <w:t>2</w:t>
      </w:r>
      <w:r w:rsidRPr="00A52121">
        <w:rPr>
          <w:rFonts w:ascii="Cambria" w:eastAsia="Calibri" w:hAnsi="Cambria"/>
          <w:sz w:val="20"/>
          <w:szCs w:val="20"/>
          <w:lang w:eastAsia="en-US"/>
        </w:rPr>
        <w:t>.2024 r. do 31.12.2024 r</w:t>
      </w:r>
    </w:p>
    <w:p w14:paraId="560AF9E1" w14:textId="77777777" w:rsidR="007C6FD5" w:rsidRDefault="007C6FD5"/>
    <w:sectPr w:rsidR="007C6F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FA49" w14:textId="77777777" w:rsidR="005822E3" w:rsidRDefault="005822E3">
      <w:r>
        <w:separator/>
      </w:r>
    </w:p>
  </w:endnote>
  <w:endnote w:type="continuationSeparator" w:id="0">
    <w:p w14:paraId="4561A461" w14:textId="77777777" w:rsidR="005822E3" w:rsidRDefault="0058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A709" w14:textId="77777777" w:rsidR="007C6FD5" w:rsidRPr="007B17EA" w:rsidRDefault="00C65D8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3436C4">
      <w:rPr>
        <w:rFonts w:ascii="Arial" w:hAnsi="Arial" w:cs="Arial"/>
        <w:b/>
        <w:bCs/>
        <w:noProof/>
        <w:sz w:val="16"/>
        <w:szCs w:val="16"/>
      </w:rPr>
      <w:t>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3436C4">
      <w:rPr>
        <w:rFonts w:ascii="Arial" w:hAnsi="Arial" w:cs="Arial"/>
        <w:b/>
        <w:bCs/>
        <w:noProof/>
        <w:sz w:val="16"/>
        <w:szCs w:val="16"/>
      </w:rPr>
      <w:t>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A361" w14:textId="77777777" w:rsidR="005822E3" w:rsidRDefault="005822E3">
      <w:r>
        <w:separator/>
      </w:r>
    </w:p>
  </w:footnote>
  <w:footnote w:type="continuationSeparator" w:id="0">
    <w:p w14:paraId="56CBC3EA" w14:textId="77777777" w:rsidR="005822E3" w:rsidRDefault="00582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8D35" w14:textId="77777777" w:rsidR="007C6FD5" w:rsidRDefault="00C65D81" w:rsidP="009F572B">
    <w:pPr>
      <w:pStyle w:val="Nagwek"/>
      <w:tabs>
        <w:tab w:val="clear" w:pos="4536"/>
        <w:tab w:val="clear" w:pos="9072"/>
      </w:tabs>
      <w:ind w:firstLine="2127"/>
      <w:rPr>
        <w:noProof/>
        <w:lang w:eastAsia="x-none"/>
      </w:rPr>
    </w:pPr>
    <w:r>
      <w:rPr>
        <w:rFonts w:ascii="Arial" w:hAnsi="Arial" w:cs="Arial"/>
        <w:sz w:val="16"/>
        <w:szCs w:val="16"/>
      </w:rPr>
      <w:tab/>
    </w:r>
  </w:p>
  <w:p w14:paraId="499CF7A8" w14:textId="77777777" w:rsidR="007C6FD5" w:rsidRDefault="007C6FD5" w:rsidP="009F572B">
    <w:pPr>
      <w:pStyle w:val="Nagwek"/>
      <w:tabs>
        <w:tab w:val="clear" w:pos="4536"/>
        <w:tab w:val="clear" w:pos="9072"/>
      </w:tabs>
      <w:ind w:firstLine="2127"/>
      <w:rPr>
        <w:noProof/>
        <w:lang w:eastAsia="x-none"/>
      </w:rPr>
    </w:pPr>
  </w:p>
  <w:p w14:paraId="25D5B3DC" w14:textId="77777777" w:rsidR="007C6FD5" w:rsidRPr="00457068" w:rsidRDefault="007C6FD5" w:rsidP="009F572B">
    <w:pPr>
      <w:pStyle w:val="Nagwek"/>
      <w:tabs>
        <w:tab w:val="clear" w:pos="4536"/>
        <w:tab w:val="clear" w:pos="9072"/>
      </w:tabs>
      <w:ind w:firstLine="2127"/>
      <w:rPr>
        <w:rFonts w:ascii="Arial" w:hAnsi="Arial" w:cs="Arial"/>
        <w:sz w:val="16"/>
        <w:szCs w:val="16"/>
      </w:rPr>
    </w:pPr>
  </w:p>
  <w:p w14:paraId="1261D1DF" w14:textId="77777777" w:rsidR="007C6FD5" w:rsidRPr="00DC1FAC" w:rsidRDefault="007C6FD5" w:rsidP="006204E8">
    <w:pPr>
      <w:pStyle w:val="Nagwek"/>
      <w:jc w:val="both"/>
      <w:rPr>
        <w:rFonts w:ascii="Arial" w:hAnsi="Arial" w:cs="Arial"/>
        <w:sz w:val="1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54F3" w14:textId="77777777" w:rsidR="007C6FD5" w:rsidRDefault="007C6FD5" w:rsidP="009F572B">
    <w:pPr>
      <w:tabs>
        <w:tab w:val="center" w:pos="4536"/>
        <w:tab w:val="right" w:pos="9072"/>
      </w:tabs>
      <w:ind w:firstLine="2127"/>
      <w:rPr>
        <w:noProof/>
        <w:lang w:eastAsia="x-none"/>
      </w:rPr>
    </w:pPr>
  </w:p>
  <w:p w14:paraId="0FEACA25" w14:textId="77777777" w:rsidR="007C6FD5" w:rsidRDefault="007C6FD5" w:rsidP="009F572B">
    <w:pPr>
      <w:tabs>
        <w:tab w:val="center" w:pos="4536"/>
        <w:tab w:val="right" w:pos="9072"/>
      </w:tabs>
      <w:ind w:firstLine="2127"/>
      <w:rPr>
        <w:noProof/>
        <w:lang w:eastAsia="x-none"/>
      </w:rPr>
    </w:pPr>
  </w:p>
  <w:p w14:paraId="3D599514" w14:textId="77777777" w:rsidR="007C6FD5" w:rsidRPr="00FD1558" w:rsidRDefault="007C6FD5" w:rsidP="00FD1558">
    <w:pPr>
      <w:tabs>
        <w:tab w:val="center" w:pos="4536"/>
        <w:tab w:val="right" w:pos="9072"/>
      </w:tabs>
      <w:ind w:firstLine="2127"/>
      <w:rPr>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1F9"/>
    <w:multiLevelType w:val="hybridMultilevel"/>
    <w:tmpl w:val="543CD2B6"/>
    <w:lvl w:ilvl="0" w:tplc="0C74129A">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15:restartNumberingAfterBreak="0">
    <w:nsid w:val="04420473"/>
    <w:multiLevelType w:val="hybridMultilevel"/>
    <w:tmpl w:val="E02447C0"/>
    <w:lvl w:ilvl="0" w:tplc="0C74129A">
      <w:start w:val="1"/>
      <w:numFmt w:val="bullet"/>
      <w:lvlText w:val=""/>
      <w:lvlJc w:val="left"/>
      <w:pPr>
        <w:ind w:left="2425" w:hanging="360"/>
      </w:pPr>
      <w:rPr>
        <w:rFonts w:ascii="Symbol" w:hAnsi="Symbol" w:hint="default"/>
      </w:rPr>
    </w:lvl>
    <w:lvl w:ilvl="1" w:tplc="04150003" w:tentative="1">
      <w:start w:val="1"/>
      <w:numFmt w:val="bullet"/>
      <w:lvlText w:val="o"/>
      <w:lvlJc w:val="left"/>
      <w:pPr>
        <w:ind w:left="3145" w:hanging="360"/>
      </w:pPr>
      <w:rPr>
        <w:rFonts w:ascii="Courier New" w:hAnsi="Courier New" w:cs="Courier New" w:hint="default"/>
      </w:rPr>
    </w:lvl>
    <w:lvl w:ilvl="2" w:tplc="04150005" w:tentative="1">
      <w:start w:val="1"/>
      <w:numFmt w:val="bullet"/>
      <w:lvlText w:val=""/>
      <w:lvlJc w:val="left"/>
      <w:pPr>
        <w:ind w:left="3865" w:hanging="360"/>
      </w:pPr>
      <w:rPr>
        <w:rFonts w:ascii="Wingdings" w:hAnsi="Wingdings" w:hint="default"/>
      </w:rPr>
    </w:lvl>
    <w:lvl w:ilvl="3" w:tplc="04150001" w:tentative="1">
      <w:start w:val="1"/>
      <w:numFmt w:val="bullet"/>
      <w:lvlText w:val=""/>
      <w:lvlJc w:val="left"/>
      <w:pPr>
        <w:ind w:left="4585" w:hanging="360"/>
      </w:pPr>
      <w:rPr>
        <w:rFonts w:ascii="Symbol" w:hAnsi="Symbol" w:hint="default"/>
      </w:rPr>
    </w:lvl>
    <w:lvl w:ilvl="4" w:tplc="04150003" w:tentative="1">
      <w:start w:val="1"/>
      <w:numFmt w:val="bullet"/>
      <w:lvlText w:val="o"/>
      <w:lvlJc w:val="left"/>
      <w:pPr>
        <w:ind w:left="5305" w:hanging="360"/>
      </w:pPr>
      <w:rPr>
        <w:rFonts w:ascii="Courier New" w:hAnsi="Courier New" w:cs="Courier New" w:hint="default"/>
      </w:rPr>
    </w:lvl>
    <w:lvl w:ilvl="5" w:tplc="04150005" w:tentative="1">
      <w:start w:val="1"/>
      <w:numFmt w:val="bullet"/>
      <w:lvlText w:val=""/>
      <w:lvlJc w:val="left"/>
      <w:pPr>
        <w:ind w:left="6025" w:hanging="360"/>
      </w:pPr>
      <w:rPr>
        <w:rFonts w:ascii="Wingdings" w:hAnsi="Wingdings" w:hint="default"/>
      </w:rPr>
    </w:lvl>
    <w:lvl w:ilvl="6" w:tplc="04150001" w:tentative="1">
      <w:start w:val="1"/>
      <w:numFmt w:val="bullet"/>
      <w:lvlText w:val=""/>
      <w:lvlJc w:val="left"/>
      <w:pPr>
        <w:ind w:left="6745" w:hanging="360"/>
      </w:pPr>
      <w:rPr>
        <w:rFonts w:ascii="Symbol" w:hAnsi="Symbol" w:hint="default"/>
      </w:rPr>
    </w:lvl>
    <w:lvl w:ilvl="7" w:tplc="04150003" w:tentative="1">
      <w:start w:val="1"/>
      <w:numFmt w:val="bullet"/>
      <w:lvlText w:val="o"/>
      <w:lvlJc w:val="left"/>
      <w:pPr>
        <w:ind w:left="7465" w:hanging="360"/>
      </w:pPr>
      <w:rPr>
        <w:rFonts w:ascii="Courier New" w:hAnsi="Courier New" w:cs="Courier New" w:hint="default"/>
      </w:rPr>
    </w:lvl>
    <w:lvl w:ilvl="8" w:tplc="04150005" w:tentative="1">
      <w:start w:val="1"/>
      <w:numFmt w:val="bullet"/>
      <w:lvlText w:val=""/>
      <w:lvlJc w:val="left"/>
      <w:pPr>
        <w:ind w:left="8185" w:hanging="360"/>
      </w:pPr>
      <w:rPr>
        <w:rFonts w:ascii="Wingdings" w:hAnsi="Wingdings" w:hint="default"/>
      </w:rPr>
    </w:lvl>
  </w:abstractNum>
  <w:abstractNum w:abstractNumId="2" w15:restartNumberingAfterBreak="0">
    <w:nsid w:val="185C2FCC"/>
    <w:multiLevelType w:val="hybridMultilevel"/>
    <w:tmpl w:val="AD3A4000"/>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 w15:restartNumberingAfterBreak="0">
    <w:nsid w:val="1D087065"/>
    <w:multiLevelType w:val="hybridMultilevel"/>
    <w:tmpl w:val="9D7C1C16"/>
    <w:lvl w:ilvl="0" w:tplc="B81ED3C2">
      <w:start w:val="1"/>
      <w:numFmt w:val="decimal"/>
      <w:lvlText w:val="%1)"/>
      <w:lvlJc w:val="left"/>
      <w:pPr>
        <w:ind w:left="502" w:hanging="360"/>
      </w:pPr>
      <w:rPr>
        <w:sz w:val="18"/>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22597187"/>
    <w:multiLevelType w:val="hybridMultilevel"/>
    <w:tmpl w:val="8876A452"/>
    <w:lvl w:ilvl="0" w:tplc="5FA8370C">
      <w:start w:val="21"/>
      <w:numFmt w:val="decimal"/>
      <w:lvlText w:val="%1."/>
      <w:lvlJc w:val="left"/>
      <w:pPr>
        <w:ind w:left="778" w:hanging="360"/>
      </w:pPr>
      <w:rPr>
        <w:rFonts w:hint="default"/>
        <w:b/>
        <w:sz w:val="18"/>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5" w15:restartNumberingAfterBreak="0">
    <w:nsid w:val="30637149"/>
    <w:multiLevelType w:val="hybridMultilevel"/>
    <w:tmpl w:val="E3B88FC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31A95E3B"/>
    <w:multiLevelType w:val="hybridMultilevel"/>
    <w:tmpl w:val="7D6AED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3A0F185E"/>
    <w:multiLevelType w:val="hybridMultilevel"/>
    <w:tmpl w:val="42B0EB04"/>
    <w:lvl w:ilvl="0" w:tplc="79088BCE">
      <w:start w:val="4"/>
      <w:numFmt w:val="decimal"/>
      <w:lvlText w:val="%1."/>
      <w:lvlJc w:val="left"/>
      <w:pPr>
        <w:ind w:left="72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55465D"/>
    <w:multiLevelType w:val="hybridMultilevel"/>
    <w:tmpl w:val="296ED93C"/>
    <w:lvl w:ilvl="0" w:tplc="04150011">
      <w:start w:val="1"/>
      <w:numFmt w:val="decimal"/>
      <w:lvlText w:val="%1)"/>
      <w:lvlJc w:val="left"/>
      <w:pPr>
        <w:ind w:left="1561" w:hanging="360"/>
      </w:pPr>
    </w:lvl>
    <w:lvl w:ilvl="1" w:tplc="04150019" w:tentative="1">
      <w:start w:val="1"/>
      <w:numFmt w:val="lowerLetter"/>
      <w:lvlText w:val="%2."/>
      <w:lvlJc w:val="left"/>
      <w:pPr>
        <w:ind w:left="2281" w:hanging="360"/>
      </w:pPr>
    </w:lvl>
    <w:lvl w:ilvl="2" w:tplc="0415001B" w:tentative="1">
      <w:start w:val="1"/>
      <w:numFmt w:val="lowerRoman"/>
      <w:lvlText w:val="%3."/>
      <w:lvlJc w:val="right"/>
      <w:pPr>
        <w:ind w:left="3001" w:hanging="180"/>
      </w:pPr>
    </w:lvl>
    <w:lvl w:ilvl="3" w:tplc="0415000F" w:tentative="1">
      <w:start w:val="1"/>
      <w:numFmt w:val="decimal"/>
      <w:lvlText w:val="%4."/>
      <w:lvlJc w:val="left"/>
      <w:pPr>
        <w:ind w:left="3721" w:hanging="360"/>
      </w:pPr>
    </w:lvl>
    <w:lvl w:ilvl="4" w:tplc="04150019" w:tentative="1">
      <w:start w:val="1"/>
      <w:numFmt w:val="lowerLetter"/>
      <w:lvlText w:val="%5."/>
      <w:lvlJc w:val="left"/>
      <w:pPr>
        <w:ind w:left="4441" w:hanging="360"/>
      </w:pPr>
    </w:lvl>
    <w:lvl w:ilvl="5" w:tplc="0415001B" w:tentative="1">
      <w:start w:val="1"/>
      <w:numFmt w:val="lowerRoman"/>
      <w:lvlText w:val="%6."/>
      <w:lvlJc w:val="right"/>
      <w:pPr>
        <w:ind w:left="5161" w:hanging="180"/>
      </w:pPr>
    </w:lvl>
    <w:lvl w:ilvl="6" w:tplc="0415000F" w:tentative="1">
      <w:start w:val="1"/>
      <w:numFmt w:val="decimal"/>
      <w:lvlText w:val="%7."/>
      <w:lvlJc w:val="left"/>
      <w:pPr>
        <w:ind w:left="5881" w:hanging="360"/>
      </w:pPr>
    </w:lvl>
    <w:lvl w:ilvl="7" w:tplc="04150019" w:tentative="1">
      <w:start w:val="1"/>
      <w:numFmt w:val="lowerLetter"/>
      <w:lvlText w:val="%8."/>
      <w:lvlJc w:val="left"/>
      <w:pPr>
        <w:ind w:left="6601" w:hanging="360"/>
      </w:pPr>
    </w:lvl>
    <w:lvl w:ilvl="8" w:tplc="0415001B" w:tentative="1">
      <w:start w:val="1"/>
      <w:numFmt w:val="lowerRoman"/>
      <w:lvlText w:val="%9."/>
      <w:lvlJc w:val="right"/>
      <w:pPr>
        <w:ind w:left="7321" w:hanging="180"/>
      </w:pPr>
    </w:lvl>
  </w:abstractNum>
  <w:abstractNum w:abstractNumId="9" w15:restartNumberingAfterBreak="0">
    <w:nsid w:val="48CB5B76"/>
    <w:multiLevelType w:val="hybridMultilevel"/>
    <w:tmpl w:val="1494F3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CFD2FC4"/>
    <w:multiLevelType w:val="hybridMultilevel"/>
    <w:tmpl w:val="7DE09FB2"/>
    <w:lvl w:ilvl="0" w:tplc="F11A3048">
      <w:start w:val="3"/>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060904"/>
    <w:multiLevelType w:val="hybridMultilevel"/>
    <w:tmpl w:val="69A0B35E"/>
    <w:lvl w:ilvl="0" w:tplc="B3C631C0">
      <w:start w:val="1"/>
      <w:numFmt w:val="decimal"/>
      <w:lvlText w:val="%1."/>
      <w:lvlJc w:val="left"/>
      <w:pPr>
        <w:ind w:left="780" w:hanging="360"/>
      </w:pPr>
      <w:rPr>
        <w:b/>
        <w:sz w:val="18"/>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65536AD5"/>
    <w:multiLevelType w:val="hybridMultilevel"/>
    <w:tmpl w:val="701A123E"/>
    <w:lvl w:ilvl="0" w:tplc="5A92F202">
      <w:start w:val="33"/>
      <w:numFmt w:val="decimal"/>
      <w:lvlText w:val="%1."/>
      <w:lvlJc w:val="left"/>
      <w:pPr>
        <w:ind w:left="1571" w:hanging="360"/>
      </w:pPr>
      <w:rPr>
        <w:rFonts w:hint="default"/>
        <w:b/>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663130AA"/>
    <w:multiLevelType w:val="hybridMultilevel"/>
    <w:tmpl w:val="A25E9834"/>
    <w:lvl w:ilvl="0" w:tplc="AA9810FE">
      <w:start w:val="19"/>
      <w:numFmt w:val="decimal"/>
      <w:lvlText w:val="%1."/>
      <w:lvlJc w:val="left"/>
      <w:pPr>
        <w:ind w:left="1506" w:hanging="360"/>
      </w:pPr>
      <w:rPr>
        <w:rFonts w:hint="default"/>
        <w:b/>
        <w:sz w:val="18"/>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6BF314EC"/>
    <w:multiLevelType w:val="hybridMultilevel"/>
    <w:tmpl w:val="D9C0383E"/>
    <w:lvl w:ilvl="0" w:tplc="F73EA62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81394820">
    <w:abstractNumId w:val="5"/>
  </w:num>
  <w:num w:numId="2" w16cid:durableId="1940723108">
    <w:abstractNumId w:val="11"/>
  </w:num>
  <w:num w:numId="3" w16cid:durableId="1208832590">
    <w:abstractNumId w:val="3"/>
  </w:num>
  <w:num w:numId="4" w16cid:durableId="8798024">
    <w:abstractNumId w:val="14"/>
  </w:num>
  <w:num w:numId="5" w16cid:durableId="734818766">
    <w:abstractNumId w:val="6"/>
  </w:num>
  <w:num w:numId="6" w16cid:durableId="1463956569">
    <w:abstractNumId w:val="10"/>
  </w:num>
  <w:num w:numId="7" w16cid:durableId="466944558">
    <w:abstractNumId w:val="2"/>
  </w:num>
  <w:num w:numId="8" w16cid:durableId="141193744">
    <w:abstractNumId w:val="9"/>
  </w:num>
  <w:num w:numId="9" w16cid:durableId="1703624838">
    <w:abstractNumId w:val="7"/>
  </w:num>
  <w:num w:numId="10" w16cid:durableId="305399389">
    <w:abstractNumId w:val="1"/>
  </w:num>
  <w:num w:numId="11" w16cid:durableId="324745541">
    <w:abstractNumId w:val="8"/>
  </w:num>
  <w:num w:numId="12" w16cid:durableId="1157916714">
    <w:abstractNumId w:val="13"/>
  </w:num>
  <w:num w:numId="13" w16cid:durableId="558787699">
    <w:abstractNumId w:val="4"/>
  </w:num>
  <w:num w:numId="14" w16cid:durableId="754670501">
    <w:abstractNumId w:val="12"/>
  </w:num>
  <w:num w:numId="15" w16cid:durableId="185194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81"/>
    <w:rsid w:val="003436C4"/>
    <w:rsid w:val="00383A36"/>
    <w:rsid w:val="00466610"/>
    <w:rsid w:val="005822E3"/>
    <w:rsid w:val="0069190E"/>
    <w:rsid w:val="007A6028"/>
    <w:rsid w:val="007C3838"/>
    <w:rsid w:val="007C6FD5"/>
    <w:rsid w:val="00941C66"/>
    <w:rsid w:val="009B760C"/>
    <w:rsid w:val="009F0CED"/>
    <w:rsid w:val="00AD060B"/>
    <w:rsid w:val="00C65D81"/>
    <w:rsid w:val="00CA32E6"/>
    <w:rsid w:val="00CD6E7D"/>
    <w:rsid w:val="00D33B82"/>
    <w:rsid w:val="00D47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4F40"/>
  <w15:chartTrackingRefBased/>
  <w15:docId w15:val="{1CFB35DE-3C42-41D6-B413-98D50B71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5D8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C65D81"/>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C65D81"/>
    <w:rPr>
      <w:rFonts w:ascii="Tahoma" w:eastAsia="Times New Roman" w:hAnsi="Tahoma" w:cs="Times New Roman"/>
      <w:sz w:val="20"/>
      <w:szCs w:val="20"/>
      <w:lang w:eastAsia="pl-PL"/>
    </w:rPr>
  </w:style>
  <w:style w:type="paragraph" w:styleId="Nagwek">
    <w:name w:val="header"/>
    <w:basedOn w:val="Normalny"/>
    <w:link w:val="NagwekZnak"/>
    <w:rsid w:val="00C65D81"/>
    <w:pPr>
      <w:tabs>
        <w:tab w:val="center" w:pos="4536"/>
        <w:tab w:val="right" w:pos="9072"/>
      </w:tabs>
    </w:pPr>
  </w:style>
  <w:style w:type="character" w:customStyle="1" w:styleId="NagwekZnak">
    <w:name w:val="Nagłówek Znak"/>
    <w:basedOn w:val="Domylnaczcionkaakapitu"/>
    <w:link w:val="Nagwek"/>
    <w:rsid w:val="00C65D81"/>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33B82"/>
    <w:rPr>
      <w:sz w:val="16"/>
      <w:szCs w:val="16"/>
    </w:rPr>
  </w:style>
  <w:style w:type="paragraph" w:styleId="Tekstkomentarza">
    <w:name w:val="annotation text"/>
    <w:basedOn w:val="Normalny"/>
    <w:link w:val="TekstkomentarzaZnak"/>
    <w:uiPriority w:val="99"/>
    <w:semiHidden/>
    <w:unhideWhenUsed/>
    <w:rsid w:val="00D33B82"/>
    <w:rPr>
      <w:sz w:val="20"/>
      <w:szCs w:val="20"/>
    </w:rPr>
  </w:style>
  <w:style w:type="character" w:customStyle="1" w:styleId="TekstkomentarzaZnak">
    <w:name w:val="Tekst komentarza Znak"/>
    <w:basedOn w:val="Domylnaczcionkaakapitu"/>
    <w:link w:val="Tekstkomentarza"/>
    <w:uiPriority w:val="99"/>
    <w:semiHidden/>
    <w:rsid w:val="00D33B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3B82"/>
    <w:rPr>
      <w:b/>
      <w:bCs/>
    </w:rPr>
  </w:style>
  <w:style w:type="character" w:customStyle="1" w:styleId="TematkomentarzaZnak">
    <w:name w:val="Temat komentarza Znak"/>
    <w:basedOn w:val="TekstkomentarzaZnak"/>
    <w:link w:val="Tematkomentarza"/>
    <w:uiPriority w:val="99"/>
    <w:semiHidden/>
    <w:rsid w:val="00D33B8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2914</Words>
  <Characters>17485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Gliwa</dc:creator>
  <cp:keywords/>
  <dc:description/>
  <cp:lastModifiedBy>Justyna Brylowska</cp:lastModifiedBy>
  <cp:revision>4</cp:revision>
  <dcterms:created xsi:type="dcterms:W3CDTF">2023-12-12T05:06:00Z</dcterms:created>
  <dcterms:modified xsi:type="dcterms:W3CDTF">2024-01-04T11:31:00Z</dcterms:modified>
</cp:coreProperties>
</file>