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hanging="426" w:left="360"/>
        <w:jc w:val="right"/>
        <w:rPr>
          <w:rFonts w:eastAsia="Times New Roman" w:cs="Arial"/>
          <w:b/>
          <w:bCs/>
          <w:sz w:val="18"/>
          <w:szCs w:val="18"/>
          <w:lang w:eastAsia="ar-SA"/>
        </w:rPr>
      </w:pPr>
      <w:r>
        <w:rPr>
          <w:rFonts w:eastAsia="Times New Roman" w:cs="Arial"/>
          <w:b/>
          <w:sz w:val="20"/>
          <w:szCs w:val="20"/>
          <w:lang w:eastAsia="pl-PL"/>
        </w:rPr>
        <w:t>Z</w:t>
      </w:r>
      <w:r>
        <w:rPr>
          <w:rFonts w:eastAsia="Times New Roman" w:cs="Arial"/>
          <w:b/>
          <w:bCs/>
          <w:sz w:val="18"/>
          <w:szCs w:val="18"/>
          <w:lang w:eastAsia="ar-SA"/>
        </w:rPr>
        <w:t>ałącznik nr 2 do SWZ</w:t>
      </w:r>
    </w:p>
    <w:p>
      <w:pPr>
        <w:pStyle w:val="Normal"/>
        <w:spacing w:before="0" w:after="0"/>
        <w:jc w:val="right"/>
        <w:rPr>
          <w:rFonts w:eastAsia="Times New Roman" w:cs="Arial"/>
          <w:b/>
          <w:bCs/>
          <w:sz w:val="18"/>
          <w:szCs w:val="18"/>
          <w:lang w:eastAsia="ar-SA"/>
        </w:rPr>
      </w:pPr>
      <w:r>
        <w:rPr>
          <w:rFonts w:eastAsia="Times New Roman" w:cs="Arial"/>
          <w:b/>
          <w:bCs/>
          <w:sz w:val="18"/>
          <w:szCs w:val="18"/>
          <w:lang w:eastAsia="ar-SA"/>
        </w:rPr>
        <w:t xml:space="preserve">               </w:t>
      </w:r>
      <w:r>
        <w:rPr>
          <w:rFonts w:eastAsia="Times New Roman" w:cs="Arial"/>
          <w:b/>
          <w:bCs/>
          <w:sz w:val="18"/>
          <w:szCs w:val="18"/>
          <w:lang w:eastAsia="ar-SA"/>
        </w:rPr>
        <w:t>FZ-2380/23/24/RK</w:t>
      </w:r>
    </w:p>
    <w:p>
      <w:pPr>
        <w:pStyle w:val="Normal"/>
        <w:spacing w:lineRule="exact" w:line="240"/>
        <w:jc w:val="right"/>
        <w:rPr>
          <w:rFonts w:cs="Arial"/>
          <w:b/>
          <w:bCs/>
          <w:sz w:val="20"/>
          <w:szCs w:val="20"/>
          <w:lang w:eastAsia="ar-SA"/>
        </w:rPr>
      </w:pPr>
      <w:r>
        <w:rPr>
          <w:rFonts w:cs="Arial"/>
          <w:b/>
          <w:bCs/>
          <w:sz w:val="20"/>
          <w:szCs w:val="20"/>
          <w:lang w:eastAsia="ar-SA"/>
        </w:rPr>
        <w:t xml:space="preserve">               </w:t>
      </w:r>
    </w:p>
    <w:p>
      <w:pPr>
        <w:pStyle w:val="Normal"/>
        <w:spacing w:lineRule="auto" w:line="2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Opis przedmiotu zamówienia</w:t>
      </w:r>
    </w:p>
    <w:p>
      <w:pPr>
        <w:pStyle w:val="Normal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>na dostawę sprzętu łączności w ramach I wyposażenia nowej siedziby CBZC.</w:t>
      </w:r>
    </w:p>
    <w:p>
      <w:pPr>
        <w:pStyle w:val="Normal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Postanowienia ogólne.</w:t>
      </w:r>
    </w:p>
    <w:p>
      <w:pPr>
        <w:pStyle w:val="NoSpacing"/>
        <w:rPr/>
      </w:pPr>
      <w:r>
        <w:rPr/>
      </w:r>
    </w:p>
    <w:p>
      <w:pPr>
        <w:pStyle w:val="Normal"/>
        <w:spacing w:lineRule="auto" w:line="240"/>
        <w:jc w:val="both"/>
        <w:rPr>
          <w:b/>
          <w:szCs w:val="24"/>
        </w:rPr>
      </w:pPr>
      <w:r>
        <w:rPr>
          <w:b/>
          <w:szCs w:val="24"/>
        </w:rPr>
        <w:t>Wykonawca udziela Zamawiającemu gwarancji na dostarczone urządzenia wg zasad: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szCs w:val="24"/>
        </w:rPr>
      </w:pPr>
      <w:r>
        <w:rPr>
          <w:szCs w:val="24"/>
        </w:rPr>
        <w:t>Do dostarczonego sprzętu będą dołączone karty gwarancyjne zawierające numer seryjny, termin i warunki ważności gwarancji, adresy i numery telefonów punktów serwisowych świadczących usługi gwarancyjne (dopuszcza się zastosowanie jednej gwarancji zbiorczej)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szCs w:val="24"/>
        </w:rPr>
      </w:pPr>
      <w:r>
        <w:rPr>
          <w:szCs w:val="24"/>
        </w:rPr>
        <w:t xml:space="preserve">W okresie gwarancji Wykonawca zapewnia nieodpłatne usługi serwisowe, autoryzowanego przez producenta urządzenia punktu serwisowego (lub jego oficjalnego przedstawiciela w Polsce). 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szCs w:val="24"/>
        </w:rPr>
      </w:pPr>
      <w:r>
        <w:rPr>
          <w:szCs w:val="24"/>
        </w:rPr>
        <w:t>Wykonawca zobowiązuje się do dokonania naprawy gwarancyjnej w ciągu maksymalnie 14 dni (zgodnie ze złożoną ofertą) od chwili pisemnego zgłoszenia uszkodzenia. W przypadku gdy naprawa w tym terminie nie jest możliwa, Wykonawca dostarczy Zamawiającemu urządzenie zastępcze o takich samych lub lepszych parametrach technicznych co naprawiany sprzęt.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szCs w:val="24"/>
        </w:rPr>
      </w:pPr>
      <w:r>
        <w:rPr>
          <w:szCs w:val="24"/>
        </w:rPr>
        <w:t xml:space="preserve">Wykonawca dokona nieodpłatnej wymiany urządzenia na nowe w terminie 7 dni, gdy urządzenie po dwóch kolejnych naprawach tego samego elementu lub zespołu wykaże wady w działaniu. 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szCs w:val="24"/>
        </w:rPr>
      </w:pPr>
      <w:r>
        <w:rPr>
          <w:szCs w:val="24"/>
        </w:rPr>
        <w:t>Wymiana urządzenia automatycznie powoduje obowiązek Wykonawcy wystawienia nowej karty gwarancyjnej z określonym terminem gwarancji , począwszy od dnia wymiany.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szCs w:val="24"/>
        </w:rPr>
      </w:pPr>
      <w:r>
        <w:rPr>
          <w:szCs w:val="24"/>
        </w:rPr>
        <w:t>Wszelkie zgłoszenia związane z wykonaniem warunków gwarancji, dokonywane w formie pisemnej będą przyjmowane w dni robocze. Wykonawca w karcie gwarancyjnej zamieści adres i numer faksu autoryzowanego punktu serwisowego.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sz w:val="22"/>
        </w:rPr>
      </w:pPr>
      <w:r>
        <w:rPr>
          <w:szCs w:val="24"/>
        </w:rPr>
        <w:t>Wszelkie koszty związane ze świadczeniem zobowiązań gwarancyjnych, w tym dojazdów i transportu w okresie gwarancji ponosi Wykonawca.</w:t>
      </w:r>
    </w:p>
    <w:p>
      <w:pPr>
        <w:pStyle w:val="NoSpacing"/>
        <w:rPr/>
      </w:pPr>
      <w:r>
        <w:rPr/>
      </w:r>
    </w:p>
    <w:p>
      <w:pPr>
        <w:pStyle w:val="Normal"/>
        <w:rPr>
          <w:rFonts w:cs="Arial"/>
          <w:b/>
          <w:sz w:val="40"/>
          <w:szCs w:val="40"/>
          <w:u w:val="single"/>
        </w:rPr>
      </w:pPr>
      <w:r>
        <w:rPr>
          <w:rFonts w:cs="Arial"/>
          <w:b/>
          <w:sz w:val="40"/>
          <w:szCs w:val="40"/>
          <w:u w:val="single"/>
        </w:rPr>
      </w:r>
      <w:r>
        <w:br w:type="page"/>
      </w:r>
    </w:p>
    <w:p>
      <w:pPr>
        <w:pStyle w:val="Bezodstpw1"/>
        <w:spacing w:before="0" w:after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Bezodstpw1"/>
        <w:ind w:left="36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Dostawa urządzeń wraz z licencjami telefonii VoIP</w:t>
      </w:r>
    </w:p>
    <w:p>
      <w:pPr>
        <w:pStyle w:val="Bezodstpw1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420"/>
          <w:tab w:val="left" w:pos="1680" w:leader="none"/>
        </w:tabs>
        <w:spacing w:lineRule="auto" w:line="240" w:before="0" w:after="0"/>
        <w:ind w:hanging="453" w:left="430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Ref350430265"/>
      <w:bookmarkEnd w:id="0"/>
      <w:r>
        <w:rPr>
          <w:rFonts w:cs="Arial" w:ascii="Arial" w:hAnsi="Arial"/>
          <w:b/>
          <w:sz w:val="24"/>
          <w:szCs w:val="24"/>
        </w:rPr>
        <w:t>Wszystkie dostarczone przez Wykonawcę urządzenia:</w:t>
      </w:r>
    </w:p>
    <w:p>
      <w:pPr>
        <w:pStyle w:val="ListParagraph"/>
        <w:widowControl w:val="false"/>
        <w:spacing w:lineRule="auto" w:line="240" w:before="0" w:after="0"/>
        <w:ind w:left="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1"/>
          <w:numId w:val="2"/>
        </w:numPr>
        <w:tabs>
          <w:tab w:val="clear" w:pos="420"/>
          <w:tab w:val="left" w:pos="1680" w:leader="none"/>
        </w:tabs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Muszą być fabrycznie nowe. Nie dopuszcza się dostaw pochodzących z demontażu, używanych lub uprzednio naprawianych.</w:t>
      </w:r>
    </w:p>
    <w:p>
      <w:pPr>
        <w:pStyle w:val="ListParagraph"/>
        <w:numPr>
          <w:ilvl w:val="1"/>
          <w:numId w:val="2"/>
        </w:numPr>
        <w:tabs>
          <w:tab w:val="clear" w:pos="420"/>
          <w:tab w:val="left" w:pos="1680" w:leader="none"/>
        </w:tabs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Urządzenia muszą być dostarczony przez Wykonawcę w oryginalnych opakowaniach producenta wraz z  instrukcją obsługi w języku polskim lub angielskim (instrukcja może być w formie elektronicznej).</w:t>
      </w:r>
    </w:p>
    <w:p>
      <w:pPr>
        <w:pStyle w:val="ListParagraph"/>
        <w:numPr>
          <w:ilvl w:val="1"/>
          <w:numId w:val="2"/>
        </w:numPr>
        <w:tabs>
          <w:tab w:val="clear" w:pos="420"/>
          <w:tab w:val="left" w:pos="1680" w:leader="none"/>
        </w:tabs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Nie mogą być starsze niż 6 miesięcy od daty dostawy.</w:t>
      </w:r>
    </w:p>
    <w:p>
      <w:pPr>
        <w:pStyle w:val="ListParagraph"/>
        <w:numPr>
          <w:ilvl w:val="1"/>
          <w:numId w:val="2"/>
        </w:numPr>
        <w:tabs>
          <w:tab w:val="clear" w:pos="420"/>
          <w:tab w:val="left" w:pos="1680" w:leader="none"/>
        </w:tabs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Muszą pochodzić z  autoryzowanego kanału dystrybucji producenta.</w:t>
      </w:r>
    </w:p>
    <w:p>
      <w:pPr>
        <w:pStyle w:val="ListParagraph"/>
        <w:numPr>
          <w:ilvl w:val="1"/>
          <w:numId w:val="2"/>
        </w:numPr>
        <w:tabs>
          <w:tab w:val="clear" w:pos="420"/>
          <w:tab w:val="left" w:pos="1680" w:leader="none"/>
        </w:tabs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Muszą być produktem przeznaczonym na rynek polski lub na rynek Unii Europejskiej</w:t>
      </w:r>
    </w:p>
    <w:p>
      <w:pPr>
        <w:pStyle w:val="ListParagraph"/>
        <w:numPr>
          <w:ilvl w:val="1"/>
          <w:numId w:val="2"/>
        </w:numPr>
        <w:tabs>
          <w:tab w:val="clear" w:pos="420"/>
          <w:tab w:val="left" w:pos="1680" w:leader="none"/>
        </w:tabs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Muszą posiadać nie mniej niż </w:t>
      </w:r>
      <w:bookmarkStart w:id="1" w:name="_Hlk80185586"/>
      <w:r>
        <w:rPr>
          <w:rFonts w:cs="Arial" w:ascii="Arial" w:hAnsi="Arial"/>
          <w:sz w:val="20"/>
          <w:szCs w:val="20"/>
        </w:rPr>
        <w:t>24 miesiące gwarancji producenta realizowanej na terenie Polski przez autoryzowany serwis</w:t>
      </w:r>
      <w:bookmarkEnd w:id="1"/>
      <w:r>
        <w:rPr>
          <w:rFonts w:cs="Arial" w:ascii="Arial" w:hAnsi="Arial"/>
          <w:sz w:val="20"/>
          <w:szCs w:val="20"/>
        </w:rPr>
        <w:t>.</w:t>
      </w:r>
    </w:p>
    <w:p>
      <w:pPr>
        <w:pStyle w:val="ListParagraph"/>
        <w:numPr>
          <w:ilvl w:val="1"/>
          <w:numId w:val="2"/>
        </w:numPr>
        <w:tabs>
          <w:tab w:val="clear" w:pos="420"/>
          <w:tab w:val="left" w:pos="1680" w:leader="none"/>
        </w:tabs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Korzystanie przez Zamawiającego z  zakupionych urządzeń i oprogramowania nie może naruszać majątkowych praw autorskich osób trzecich.</w:t>
      </w:r>
    </w:p>
    <w:p>
      <w:pPr>
        <w:pStyle w:val="ListParagraph"/>
        <w:numPr>
          <w:ilvl w:val="1"/>
          <w:numId w:val="2"/>
        </w:numPr>
        <w:tabs>
          <w:tab w:val="clear" w:pos="420"/>
          <w:tab w:val="left" w:pos="1680" w:leader="none"/>
        </w:tabs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 wymaga, by w chwili nabycia licencji stał się ich jedynym właścicielem z  pełnymi prawami oraz pełnymi prawami do korzystania z oprogramowania.</w:t>
      </w:r>
    </w:p>
    <w:p>
      <w:pPr>
        <w:pStyle w:val="ListParagraph"/>
        <w:numPr>
          <w:ilvl w:val="1"/>
          <w:numId w:val="2"/>
        </w:numPr>
        <w:tabs>
          <w:tab w:val="clear" w:pos="420"/>
          <w:tab w:val="left" w:pos="1680" w:leader="none"/>
        </w:tabs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 posiada wiedzę na temat nadzoru i konfiguracji oraz używa w swojej infrastrukturze VoIP produktów marki Cisco. W związku z tym dostarczony sprzęt musi być w pełni kompatybilny z urządzeniami posiadanymi przez Zamawiającego oraz dawać możliwość wykorzystywania wszystkich funkcjonalności posiadanego oraz dostarczonego przez Wykonawcę sprzętu</w:t>
      </w:r>
    </w:p>
    <w:p>
      <w:pPr>
        <w:pStyle w:val="ListParagraph"/>
        <w:numPr>
          <w:ilvl w:val="1"/>
          <w:numId w:val="2"/>
        </w:numPr>
        <w:tabs>
          <w:tab w:val="clear" w:pos="420"/>
          <w:tab w:val="left" w:pos="1680" w:leader="none"/>
        </w:tabs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przypadku zaoferowania produktów innej firmy koniecznym jest by Wykonawca :</w:t>
      </w:r>
    </w:p>
    <w:p>
      <w:pPr>
        <w:pStyle w:val="ListParagraph"/>
        <w:numPr>
          <w:ilvl w:val="2"/>
          <w:numId w:val="2"/>
        </w:numPr>
        <w:tabs>
          <w:tab w:val="clear" w:pos="420"/>
          <w:tab w:val="left" w:pos="1680" w:leader="none"/>
        </w:tabs>
        <w:spacing w:lineRule="auto" w:line="240" w:before="0" w:after="0"/>
        <w:ind w:hanging="453" w:left="127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dołączył do oferty szczegółowe parametry techniczne w formie opisowej wraz z kartami katalogowymi produktu</w:t>
      </w:r>
    </w:p>
    <w:p>
      <w:pPr>
        <w:pStyle w:val="ListParagraph"/>
        <w:numPr>
          <w:ilvl w:val="2"/>
          <w:numId w:val="2"/>
        </w:numPr>
        <w:tabs>
          <w:tab w:val="clear" w:pos="420"/>
          <w:tab w:val="left" w:pos="1680" w:leader="none"/>
        </w:tabs>
        <w:spacing w:lineRule="auto" w:line="240" w:before="0" w:after="0"/>
        <w:ind w:hanging="453" w:left="127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zainstalował i uruchomił urządzenia,</w:t>
      </w:r>
    </w:p>
    <w:p>
      <w:pPr>
        <w:pStyle w:val="ListParagraph"/>
        <w:numPr>
          <w:ilvl w:val="2"/>
          <w:numId w:val="2"/>
        </w:numPr>
        <w:tabs>
          <w:tab w:val="clear" w:pos="420"/>
          <w:tab w:val="left" w:pos="1680" w:leader="none"/>
        </w:tabs>
        <w:spacing w:lineRule="auto" w:line="240" w:before="0" w:after="0"/>
        <w:ind w:hanging="453" w:left="127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przypadku urządzeń zarządzalnych dostarczył komplet oprogramowania i okablowania do konfiguracji,</w:t>
      </w:r>
    </w:p>
    <w:p>
      <w:pPr>
        <w:pStyle w:val="ListParagraph"/>
        <w:numPr>
          <w:ilvl w:val="2"/>
          <w:numId w:val="2"/>
        </w:numPr>
        <w:tabs>
          <w:tab w:val="clear" w:pos="420"/>
          <w:tab w:val="left" w:pos="1680" w:leader="none"/>
        </w:tabs>
        <w:spacing w:lineRule="auto" w:line="240" w:before="0" w:after="0"/>
        <w:ind w:hanging="453" w:left="1270"/>
        <w:contextualSpacing/>
        <w:jc w:val="both"/>
        <w:rPr>
          <w:rFonts w:ascii="Arial" w:hAnsi="Arial" w:cs="Arial"/>
          <w:sz w:val="20"/>
          <w:szCs w:val="20"/>
        </w:rPr>
      </w:pPr>
      <w:bookmarkStart w:id="2" w:name="_Hlk76629202"/>
      <w:r>
        <w:rPr>
          <w:rFonts w:cs="Arial" w:ascii="Arial" w:hAnsi="Arial"/>
          <w:sz w:val="20"/>
          <w:szCs w:val="20"/>
        </w:rPr>
        <w:t>przeszkolił 4 administratorów w zakresie konfiguracji i zarządzania urządzeniami. (szkolenie powinno zapewnić poziom wiedzy pozwalający na wykorzystanie wszystkich funkcjonalności dostarczonych urządzeń).</w:t>
      </w:r>
      <w:bookmarkEnd w:id="2"/>
    </w:p>
    <w:p>
      <w:pPr>
        <w:pStyle w:val="Normal"/>
        <w:spacing w:lineRule="auto" w:line="240" w:before="0" w:after="0"/>
        <w:ind w:left="340"/>
        <w:jc w:val="both"/>
        <w:rPr>
          <w:rFonts w:cs="Arial"/>
          <w:szCs w:val="24"/>
        </w:rPr>
      </w:pPr>
      <w:r>
        <w:rPr>
          <w:rFonts w:cs="Arial"/>
          <w:szCs w:val="24"/>
        </w:rPr>
      </w:r>
      <w:bookmarkStart w:id="3" w:name="_Ref350430265_kopia_1"/>
      <w:bookmarkStart w:id="4" w:name="_Ref350430265_kopia_1"/>
      <w:bookmarkEnd w:id="4"/>
    </w:p>
    <w:p>
      <w:pPr>
        <w:pStyle w:val="ListParagraph"/>
        <w:numPr>
          <w:ilvl w:val="0"/>
          <w:numId w:val="2"/>
        </w:numPr>
        <w:tabs>
          <w:tab w:val="clear" w:pos="420"/>
          <w:tab w:val="left" w:pos="1680" w:leader="none"/>
        </w:tabs>
        <w:spacing w:lineRule="auto" w:line="240" w:before="0" w:after="0"/>
        <w:ind w:hanging="453" w:left="43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Aparaty – wymagania dla wszystkich aparatów VoIP:</w:t>
      </w:r>
    </w:p>
    <w:p>
      <w:pPr>
        <w:pStyle w:val="ListParagraph"/>
        <w:spacing w:lineRule="auto" w:line="240" w:before="0" w:after="0"/>
        <w:ind w:left="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Obsługa cyfrowych łączy Ethernet 10/100/1000 Mb/s z protokołem sygnalizacyjnym SCCP lub SIP (RFC 3261).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Obsługa kodeków G.711a, G.729a, G.722, iLBC.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Adres IP telefonu ustawiany statycznie lub przydzielany dynamicznie poprzez DHCP;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Zabezpieczenie transmisji poprzez zastosowanie protokołów Transport Layer Security (TLS) i Secure Real-Time Protocol (SRTP);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>Zaimplementowane mechanizmy Quality Of Service (QOS) bazujące na protokole IEEE 802.1p oraz na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  <w:lang w:val="en-US"/>
        </w:rPr>
        <w:t>Differentiated Services Code Point (DSCP).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Obsługa RTCP.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Obsługa protokołów IEEE 802.1Q, 802.1p, ICMP.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Pełna współpraca z  klastrem (CUCM) Cisco Unified Communication Manager wersja </w:t>
      </w:r>
      <w:r>
        <w:rPr>
          <w:rFonts w:cs="Arial" w:ascii="Arial" w:hAnsi="Arial"/>
          <w:sz w:val="20"/>
          <w:szCs w:val="20"/>
        </w:rPr>
        <w:t>14.0.1</w:t>
      </w:r>
      <w:r>
        <w:rPr>
          <w:rFonts w:cs="Arial" w:ascii="Arial" w:hAnsi="Arial"/>
          <w:sz w:val="20"/>
          <w:szCs w:val="20"/>
        </w:rPr>
        <w:t xml:space="preserve"> (właściwa sygnalizacja zwrotna, BLF itp.).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Obsługa wszystkich funkcji oferowanych przez serwer VoIP a w szczególności:</w:t>
      </w:r>
    </w:p>
    <w:p>
      <w:pPr>
        <w:pStyle w:val="ListParagraph"/>
        <w:numPr>
          <w:ilvl w:val="2"/>
          <w:numId w:val="2"/>
        </w:numPr>
        <w:spacing w:lineRule="auto" w:line="240" w:before="0" w:after="0"/>
        <w:ind w:hanging="1136" w:left="187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identyfikacja numeru dla połączeń przychodzących,</w:t>
      </w:r>
    </w:p>
    <w:p>
      <w:pPr>
        <w:pStyle w:val="ListParagraph"/>
        <w:numPr>
          <w:ilvl w:val="2"/>
          <w:numId w:val="2"/>
        </w:numPr>
        <w:spacing w:lineRule="auto" w:line="240" w:before="0" w:after="0"/>
        <w:ind w:hanging="1136" w:left="187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warunkowe i bezwarunkowe przenoszenie wywołań,</w:t>
      </w:r>
    </w:p>
    <w:p>
      <w:pPr>
        <w:pStyle w:val="ListParagraph"/>
        <w:numPr>
          <w:ilvl w:val="2"/>
          <w:numId w:val="2"/>
        </w:numPr>
        <w:spacing w:lineRule="auto" w:line="240" w:before="0" w:after="0"/>
        <w:ind w:hanging="1136" w:left="187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parkowanie połączeń, </w:t>
      </w:r>
    </w:p>
    <w:p>
      <w:pPr>
        <w:pStyle w:val="ListParagraph"/>
        <w:numPr>
          <w:ilvl w:val="2"/>
          <w:numId w:val="2"/>
        </w:numPr>
        <w:spacing w:lineRule="auto" w:line="240" w:before="0" w:after="0"/>
        <w:ind w:hanging="1136" w:left="187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połączenia oczekujące,</w:t>
      </w:r>
    </w:p>
    <w:p>
      <w:pPr>
        <w:pStyle w:val="ListParagraph"/>
        <w:numPr>
          <w:ilvl w:val="2"/>
          <w:numId w:val="2"/>
        </w:numPr>
        <w:spacing w:lineRule="auto" w:line="240" w:before="0" w:after="0"/>
        <w:ind w:hanging="1136" w:left="187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transferowanie połączeń,</w:t>
      </w:r>
    </w:p>
    <w:p>
      <w:pPr>
        <w:pStyle w:val="ListParagraph"/>
        <w:numPr>
          <w:ilvl w:val="2"/>
          <w:numId w:val="2"/>
        </w:numPr>
        <w:spacing w:lineRule="auto" w:line="240" w:before="0" w:after="0"/>
        <w:ind w:hanging="1136" w:left="187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funkcja sygnalizacji zajętości (BLF) </w:t>
      </w:r>
    </w:p>
    <w:p>
      <w:pPr>
        <w:pStyle w:val="ListParagraph"/>
        <w:numPr>
          <w:ilvl w:val="2"/>
          <w:numId w:val="2"/>
        </w:numPr>
        <w:spacing w:lineRule="auto" w:line="240" w:before="0" w:after="0"/>
        <w:ind w:hanging="1136" w:left="187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zestawianie telekonferencji.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Telefon musi posiadać następujące przyciski funkcyjne zdefiniowane jako klawisze stałe lub programowe (softkey):</w:t>
      </w:r>
    </w:p>
    <w:p>
      <w:pPr>
        <w:pStyle w:val="ListParagraph"/>
        <w:numPr>
          <w:ilvl w:val="2"/>
          <w:numId w:val="2"/>
        </w:numPr>
        <w:spacing w:lineRule="auto" w:line="240" w:before="0" w:after="0"/>
        <w:ind w:hanging="1136" w:left="187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dostęp do listy kontaktów,</w:t>
      </w:r>
    </w:p>
    <w:p>
      <w:pPr>
        <w:pStyle w:val="ListParagraph"/>
        <w:numPr>
          <w:ilvl w:val="2"/>
          <w:numId w:val="2"/>
        </w:numPr>
        <w:spacing w:lineRule="auto" w:line="240" w:before="0" w:after="0"/>
        <w:ind w:hanging="1136" w:left="187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dostęp do ustawień urządzenia,</w:t>
      </w:r>
    </w:p>
    <w:p>
      <w:pPr>
        <w:pStyle w:val="ListParagraph"/>
        <w:numPr>
          <w:ilvl w:val="2"/>
          <w:numId w:val="2"/>
        </w:numPr>
        <w:spacing w:lineRule="auto" w:line="240" w:before="0" w:after="0"/>
        <w:ind w:hanging="1136" w:left="187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transfer rozmowy,</w:t>
      </w:r>
    </w:p>
    <w:p>
      <w:pPr>
        <w:pStyle w:val="ListParagraph"/>
        <w:numPr>
          <w:ilvl w:val="2"/>
          <w:numId w:val="2"/>
        </w:numPr>
        <w:spacing w:lineRule="auto" w:line="240" w:before="0" w:after="0"/>
        <w:ind w:hanging="1136" w:left="187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dostęp do konferencji,</w:t>
      </w:r>
    </w:p>
    <w:p>
      <w:pPr>
        <w:pStyle w:val="ListParagraph"/>
        <w:numPr>
          <w:ilvl w:val="2"/>
          <w:numId w:val="2"/>
        </w:numPr>
        <w:spacing w:lineRule="auto" w:line="240" w:before="0" w:after="0"/>
        <w:ind w:hanging="1136" w:left="187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zawieszenie połączenia,</w:t>
      </w:r>
    </w:p>
    <w:p>
      <w:pPr>
        <w:pStyle w:val="ListParagraph"/>
        <w:numPr>
          <w:ilvl w:val="2"/>
          <w:numId w:val="2"/>
        </w:numPr>
        <w:spacing w:lineRule="auto" w:line="240" w:before="0" w:after="0"/>
        <w:ind w:hanging="1136" w:left="187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dostępu do poczty głosowej,</w:t>
      </w:r>
    </w:p>
    <w:p>
      <w:pPr>
        <w:pStyle w:val="ListParagraph"/>
        <w:numPr>
          <w:ilvl w:val="2"/>
          <w:numId w:val="2"/>
        </w:numPr>
        <w:spacing w:lineRule="auto" w:line="240" w:before="0" w:after="0"/>
        <w:ind w:hanging="1136" w:left="187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sterowanie głośnością,</w:t>
      </w:r>
    </w:p>
    <w:p>
      <w:pPr>
        <w:pStyle w:val="ListParagraph"/>
        <w:numPr>
          <w:ilvl w:val="2"/>
          <w:numId w:val="2"/>
        </w:numPr>
        <w:spacing w:lineRule="auto" w:line="240" w:before="0" w:after="0"/>
        <w:ind w:hanging="1136" w:left="187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włączenie/wyłączenie mikrofonu,</w:t>
      </w:r>
    </w:p>
    <w:p>
      <w:pPr>
        <w:pStyle w:val="ListParagraph"/>
        <w:numPr>
          <w:ilvl w:val="2"/>
          <w:numId w:val="2"/>
        </w:numPr>
        <w:spacing w:lineRule="auto" w:line="240" w:before="0" w:after="0"/>
        <w:ind w:hanging="1136" w:left="187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włączenie/wyłączenie zestawu nagłownego,</w:t>
      </w:r>
    </w:p>
    <w:p>
      <w:pPr>
        <w:pStyle w:val="ListParagraph"/>
        <w:numPr>
          <w:ilvl w:val="2"/>
          <w:numId w:val="2"/>
        </w:numPr>
        <w:spacing w:lineRule="auto" w:line="240" w:before="0" w:after="0"/>
        <w:ind w:hanging="1136" w:left="187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włączenie/wyłączenie trybu głośnomówiącego.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Zdalne wykonywanie zmian konfiguracyjnych oraz nadzoru z poziomu CUCM (poprzez interfejs zarządzania CUCM).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Automatyczny upgrade/downgrade firmware-u i pobieranie konfiguracji z serwera TFTP wbudowanego w CUCM (nie dopuszcza się innych serwerów wymiany plików dostępnych w sieci IP przeznaczonej dla telefonów).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Szyfrowanie plików konfiguracyjnych.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Uwierzytelnienie przy użyciu podpisu elektronicznego plików firmware i konfiguracyjnych.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Obsługa uwierzytelniania za pomocą mechanizmu IEEE 802.1X zarówno telefonu jak i komputera podłączonego do sieci poprzez telefon.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Wbudowana przeglądarka XML.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Zasilanie przez PoE w standardzie IEEE 802.3af lub 802.3at oraz z sieci elektroenergetycznej ~230V (zasilacz sieciowy 230V nie jest wymagany).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Dodatkowe gniazdo Ethernet RJ-45 10/100/1000 BASE-T do podłączenia komputera.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Transmisja głosu z  telefonu i danych z  komputera PC musi być przesyłana w dwóch różnych sieciach VLAN, przy czym konfiguracja VLAN-ów powinna być pobierana ze switcha dostępowego przy wykorzystaniu protokołu CDP.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Połączenie pomiędzy telefonem a przełącznikiem dostępowym powinno być realizowane przy wykorzystaniu trunku w standardzie IEEE 802.1Q.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Identyfikacja numeru dla połączeń przychodzących.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Wyświetlacz niedotykowy, z  podświetleniem.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Ciemny kolor obudowy (czarny,grafit, antracyt itp.)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Dedykowane gniazdo do podłączenia zestawu nagłownego.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System głośnomówiący dwukierunkowy, działający w trybie pełnego dupleksu.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Niezależna regulacja głośności słuchawki i systemu głośnomówiącego.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Obsługa w języku polskim.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Instrukcja obsługi w języku polskim.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Możliwość montażu na ścianie (opcjonalny zestaw do montażu na ścianie nie jest wymagany);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Obsługa protokołu CDP (Cisco Discovery Protocol).</w:t>
      </w:r>
    </w:p>
    <w:p>
      <w:pPr>
        <w:pStyle w:val="Normal"/>
        <w:spacing w:lineRule="auto" w:line="240" w:before="0" w:after="0"/>
        <w:jc w:val="both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420"/>
          <w:tab w:val="left" w:pos="1680" w:leader="none"/>
        </w:tabs>
        <w:spacing w:lineRule="auto" w:line="240" w:before="0" w:after="0"/>
        <w:ind w:hanging="453" w:left="43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Aparat sekretarsko-dyrektorski </w:t>
        <w:noBreakHyphen/>
        <w:t> 4 szt. - aparat VoIP wraz z licencjami spełniający poniższe wymagania :</w:t>
      </w:r>
    </w:p>
    <w:p>
      <w:pPr>
        <w:pStyle w:val="ListParagraph"/>
        <w:spacing w:lineRule="auto" w:line="240" w:before="0" w:after="0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Spełnia wymagania opisane w punkcie </w:t>
      </w:r>
      <w:r>
        <w:rPr>
          <w:rFonts w:ascii="Arial" w:hAnsi="Arial"/>
          <w:sz w:val="20"/>
          <w:szCs w:val="20"/>
        </w:rPr>
        <w:t>2</w:t>
      </w:r>
      <w:r>
        <w:rPr>
          <w:rFonts w:cs="Arial" w:ascii="Arial" w:hAnsi="Arial"/>
          <w:sz w:val="20"/>
          <w:szCs w:val="20"/>
        </w:rPr>
        <w:t xml:space="preserve"> - ” Aparaty – wymagania dla wszystkich aparatów VoIP”.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Obsługa nie mniej niż pięciu (5) linii (numerów) telefonicznych.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Nie mniej niż trzydzieści dwa (32) klawisze szybkiego wyboru z  możliwością zaprogramowania funkcji BLF.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Jeżeli klawiszy linii telefonicznych można używać zamiennie jako klawiszy szybkiego wyboru to wszystkie - oprócz pierwszego- można wliczyć do puli klawiszy szybkiego wyboru.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Odpowiednia ilość klawiszy szybkiego wyboru może zostać zapewniona przez dostarczenie wraz z aparatem dodatkowego modułu rozszerzającego.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Kolorowy graficzny wyświetlacz o rozdzielczości nie mniejszej niż 800 x 480 pixeli.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Przy włączonym zasilaniu PoE pobór mocy nie może przekroczyć 25,5 W.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Możliwość rozbudowy telefonu o nie mniej niż dwadzieścia osiem (28) dodatkowych programowalnych klawiszy szybkiego wyboru obsługujących funkcję BLF (np. poprzez dołączenie dodatkowego modułu z klawiszami).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Zapewnia prowadzenie wideorozmowy z rozdzielczością pionową 720p przy wykorzystaniu kodeka </w:t>
      </w:r>
      <w:r>
        <w:rPr>
          <w:rFonts w:ascii="Arial" w:hAnsi="Arial"/>
          <w:sz w:val="20"/>
          <w:szCs w:val="20"/>
        </w:rPr>
        <w:t>H.264 AVC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Wbudowana kamera z przesłoną zapewniającą prywatność użytkownikowi aparatu.</w:t>
      </w:r>
    </w:p>
    <w:p>
      <w:pPr>
        <w:pStyle w:val="ListParagraph"/>
        <w:spacing w:lineRule="auto" w:line="240" w:before="0" w:after="0"/>
        <w:ind w:left="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spacing w:lineRule="auto" w:line="240" w:before="0"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420"/>
          <w:tab w:val="left" w:pos="1680" w:leader="none"/>
        </w:tabs>
        <w:spacing w:lineRule="auto" w:line="240" w:before="0" w:after="0"/>
        <w:ind w:hanging="453" w:left="43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Aparat abonencki </w:t>
        <w:noBreakHyphen/>
        <w:t>84 szt. aparat VoIP wraz z licencjami spełniający poniższe wymagania:</w:t>
      </w:r>
    </w:p>
    <w:p>
      <w:pPr>
        <w:pStyle w:val="ListParagraph"/>
        <w:spacing w:lineRule="auto" w:line="240" w:before="0" w:after="0"/>
        <w:ind w:left="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Spełnia wymagania opisane w punkcie 2 - ” Aparaty – wymagania dla wszystkich aparatów VoIP”.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Obsługa nie mniej niż czterech (4) linii (numerów) telefonicznych.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Nie mniej niż trzy (3) klawisze szybkiego wyboru z  możliwością zaprogramowania funkcji BLF.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Jeżeli klawiszy linii telefonicznych można używać zamiennie jako klawiszy szybkiego wyboru to wszystkie - oprócz pierwszego- można wliczyć do puli klawiszy szybkiego wyboru.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Monochromatyczny graficzny wyświetlacz o rozdzielczości nie mniejszej niż 390 x 160 pixeli.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Przy włączonym zasilaniu PoE pobór mocy nie może przekroczyć 3,84 W.</w:t>
      </w:r>
    </w:p>
    <w:p>
      <w:pPr>
        <w:pStyle w:val="ListParagraph"/>
        <w:spacing w:lineRule="auto" w:line="240" w:before="0" w:after="0"/>
        <w:ind w:left="3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420"/>
          <w:tab w:val="left" w:pos="1680" w:leader="none"/>
        </w:tabs>
        <w:spacing w:lineRule="auto" w:line="240" w:before="0" w:after="0"/>
        <w:contextualSpacing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Licencje wraz ze wsparciem producenckim do klastra Cisco Unified Communication Manager</w:t>
      </w:r>
    </w:p>
    <w:p>
      <w:pPr>
        <w:pStyle w:val="Akapitzlist1"/>
        <w:tabs>
          <w:tab w:val="clear" w:pos="420"/>
          <w:tab w:val="left" w:pos="1680" w:leader="none"/>
        </w:tabs>
        <w:spacing w:lineRule="auto" w:line="240" w:before="0" w:after="0"/>
        <w:ind w:left="4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dostarczy licencje Flex Named User Calling Enhanced (</w:t>
      </w:r>
      <w:r>
        <w:rPr>
          <w:rFonts w:ascii="Arial" w:hAnsi="Arial"/>
          <w:sz w:val="24"/>
          <w:szCs w:val="24"/>
        </w:rPr>
        <w:t>A-FLEX-NUPL-E</w:t>
      </w:r>
      <w:r>
        <w:rPr>
          <w:rFonts w:cs="Arial"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 xml:space="preserve"> wraz ze wsparciem producenckim </w:t>
      </w:r>
      <w:r>
        <w:rPr>
          <w:rFonts w:cs="Arial" w:ascii="Arial" w:hAnsi="Arial"/>
          <w:sz w:val="24"/>
          <w:szCs w:val="24"/>
        </w:rPr>
        <w:t>do klastra CUCM wersji 14.0.1 spełniające następujące warunki :</w:t>
      </w:r>
    </w:p>
    <w:p>
      <w:pPr>
        <w:pStyle w:val="Akapitzlist1"/>
        <w:spacing w:lineRule="auto" w:line="240" w:before="0" w:after="0"/>
        <w:ind w:left="3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Akapitzlist1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Ilość licencji nie mniejsza niż wymagana do uruchomienia wszystkich dostarczonych aparatów VoIP </w:t>
      </w:r>
    </w:p>
    <w:p>
      <w:pPr>
        <w:pStyle w:val="Akapitzlist1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Dostarczone licencje muszą zapewnić migrację do wyższych wersji CUCM w okresie nie krótszym niż 36 miesięcy od daty podpisania umowy.</w:t>
      </w:r>
    </w:p>
    <w:p>
      <w:pPr>
        <w:pStyle w:val="Akapitzlist1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Czas ważności licencji nie może być krótszy niż 36 miesięcy od daty podpisania umowy.</w:t>
      </w:r>
    </w:p>
    <w:p>
      <w:pPr>
        <w:pStyle w:val="Akapitzlist1"/>
        <w:numPr>
          <w:ilvl w:val="1"/>
          <w:numId w:val="2"/>
        </w:numPr>
        <w:spacing w:lineRule="auto" w:line="240" w:before="0" w:after="0"/>
        <w:ind w:hanging="907" w:left="124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eastAsia="SimSun" w:cs="Arial" w:ascii="Arial" w:hAnsi="Arial"/>
          <w:sz w:val="20"/>
          <w:szCs w:val="20"/>
        </w:rPr>
        <w:t>Licencje muszą zapewnić:</w:t>
      </w:r>
    </w:p>
    <w:p>
      <w:pPr>
        <w:pStyle w:val="Akapitzlist1"/>
        <w:numPr>
          <w:ilvl w:val="2"/>
          <w:numId w:val="2"/>
        </w:numPr>
        <w:spacing w:lineRule="auto" w:line="240" w:before="0" w:after="0"/>
        <w:ind w:hanging="929" w:left="163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eastAsia="SimSun" w:cs="Arial" w:ascii="Arial" w:hAnsi="Arial"/>
          <w:sz w:val="20"/>
          <w:szCs w:val="20"/>
        </w:rPr>
        <w:t>rejestrację aparatów Cisco z serii 99xx, 89xx, 88xx, 78xx,</w:t>
      </w:r>
    </w:p>
    <w:p>
      <w:pPr>
        <w:pStyle w:val="Akapitzlist1"/>
        <w:numPr>
          <w:ilvl w:val="2"/>
          <w:numId w:val="2"/>
        </w:numPr>
        <w:spacing w:lineRule="auto" w:line="240" w:before="0" w:after="0"/>
        <w:ind w:hanging="929" w:left="163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eastAsia="SimSun" w:cs="Arial" w:ascii="Arial" w:hAnsi="Arial"/>
          <w:sz w:val="20"/>
          <w:szCs w:val="20"/>
        </w:rPr>
        <w:t>rejestrację terminali wideo z serii DX i EX.</w:t>
      </w:r>
    </w:p>
    <w:p>
      <w:pPr>
        <w:pStyle w:val="Akapitzlist1"/>
        <w:numPr>
          <w:ilvl w:val="2"/>
          <w:numId w:val="2"/>
        </w:numPr>
        <w:spacing w:lineRule="auto" w:line="240" w:before="0" w:after="0"/>
        <w:ind w:hanging="929" w:left="163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eastAsia="SimSun" w:cs="Arial" w:ascii="Arial" w:hAnsi="Arial"/>
          <w:sz w:val="20"/>
          <w:szCs w:val="20"/>
        </w:rPr>
        <w:t>rejestrację klientów soft-owych (np. Jabber).</w:t>
      </w:r>
    </w:p>
    <w:p>
      <w:pPr>
        <w:pStyle w:val="Akapitzlist1"/>
        <w:numPr>
          <w:ilvl w:val="2"/>
          <w:numId w:val="2"/>
        </w:numPr>
        <w:spacing w:lineRule="auto" w:line="240" w:before="0" w:after="0"/>
        <w:ind w:hanging="929" w:left="163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eastAsia="SimSun" w:cs="Arial" w:ascii="Arial" w:hAnsi="Arial"/>
          <w:sz w:val="20"/>
          <w:szCs w:val="20"/>
        </w:rPr>
        <w:t>dostęp do wsparcia technicznego producenta 24/7.</w:t>
      </w:r>
    </w:p>
    <w:p>
      <w:pPr>
        <w:pStyle w:val="Akapitzlist1"/>
        <w:numPr>
          <w:ilvl w:val="2"/>
          <w:numId w:val="2"/>
        </w:numPr>
        <w:spacing w:lineRule="auto" w:line="240" w:before="0" w:after="0"/>
        <w:ind w:hanging="929" w:left="163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eastAsia="SimSun" w:cs="Arial" w:ascii="Arial" w:hAnsi="Arial"/>
          <w:sz w:val="20"/>
          <w:szCs w:val="20"/>
        </w:rPr>
        <w:t>pobieranie oprogramowania do zakupionych urządzeń ze stron producenta.</w:t>
      </w:r>
    </w:p>
    <w:p>
      <w:pPr>
        <w:pStyle w:val="Akapitzlist1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Dostawca przypisze licencje do domeny „policja.gov.pl”,</w:t>
      </w:r>
    </w:p>
    <w:p>
      <w:pPr>
        <w:pStyle w:val="Akapitzlist1"/>
        <w:numPr>
          <w:ilvl w:val="1"/>
          <w:numId w:val="2"/>
        </w:numPr>
        <w:spacing w:lineRule="auto" w:line="240" w:before="0" w:after="0"/>
        <w:ind w:hanging="853" w:left="121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Dostawca doda zakupione licencje wraz ze wsparciem producenta do identyfikatora Cisco: „dyzurny.ost@policja.gov.pl”.</w:t>
      </w:r>
    </w:p>
    <w:p>
      <w:pPr>
        <w:pStyle w:val="Normal"/>
        <w:rPr>
          <w:rFonts w:cs="Arial"/>
          <w:b/>
          <w:sz w:val="36"/>
          <w:szCs w:val="36"/>
          <w:u w:val="single"/>
        </w:rPr>
      </w:pPr>
      <w:r>
        <w:rPr>
          <w:rFonts w:cs="Arial"/>
          <w:b/>
          <w:sz w:val="36"/>
          <w:szCs w:val="36"/>
          <w:u w:val="single"/>
        </w:rPr>
      </w:r>
      <w:r>
        <w:br w:type="page"/>
      </w:r>
    </w:p>
    <w:p>
      <w:pPr>
        <w:pStyle w:val="ListParagraph"/>
        <w:spacing w:lineRule="auto" w:line="240" w:before="0" w:after="0"/>
        <w:ind w:left="0"/>
        <w:contextualSpacing/>
        <w:jc w:val="both"/>
        <w:rPr>
          <w:rFonts w:cs="Arial"/>
          <w:b/>
          <w:sz w:val="36"/>
          <w:szCs w:val="36"/>
          <w:u w:val="single"/>
        </w:rPr>
      </w:pPr>
      <w:r>
        <w:rPr>
          <w:rFonts w:cs="Arial"/>
          <w:b/>
          <w:sz w:val="36"/>
          <w:szCs w:val="36"/>
          <w:u w:val="single"/>
        </w:rPr>
      </w:r>
    </w:p>
    <w:p>
      <w:pPr>
        <w:pStyle w:val="ListParagraph"/>
        <w:tabs>
          <w:tab w:val="clear" w:pos="420"/>
          <w:tab w:val="left" w:pos="1680" w:leader="none"/>
        </w:tabs>
        <w:spacing w:lineRule="auto" w:line="240" w:before="0" w:after="0"/>
        <w:ind w:left="0"/>
        <w:contextualSpacing/>
        <w:jc w:val="both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Dostawa urządzeń sieciowych. </w:t>
      </w:r>
    </w:p>
    <w:p>
      <w:pPr>
        <w:pStyle w:val="ListParagraph"/>
        <w:numPr>
          <w:ilvl w:val="0"/>
          <w:numId w:val="3"/>
        </w:numPr>
        <w:tabs>
          <w:tab w:val="clear" w:pos="420"/>
          <w:tab w:val="left" w:pos="1680" w:leader="none"/>
        </w:tabs>
        <w:spacing w:lineRule="auto" w:line="240" w:before="0" w:after="0"/>
        <w:contextualSpacing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Wszystkie dostarczone przez Wykonawcę urządzenia:</w:t>
      </w:r>
    </w:p>
    <w:p>
      <w:pPr>
        <w:pStyle w:val="ListParagraph"/>
        <w:widowControl w:val="false"/>
        <w:spacing w:lineRule="auto" w:line="240" w:before="0" w:after="0"/>
        <w:ind w:left="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Muszą być fabrycznie nowe. Nie dopuszcza się dostaw pochodzących z demontażu, używanych lub uprzednio naprawianych.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Urządzenia muszą być dostarczony przez Wykonawcę w oryginalnych opakowaniach producenta wraz z  instrukcją obsługi w języku polskim lub angielskim (instrukcja może być w formie elektronicznej).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Nie mogą być starsze niż 6 miesięcy od daty dostawy.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Muszą pochodzić z  autoryzowanego kanału dystrybucji producenta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Muszą być produktem przeznaczonym na rynek polski lub na rynek Unii Europejskiej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Muszą posiadać nie mniej niż 24 miesiące gwarancji producenta realizowanej na terenie Polski przez autoryzowany serwis.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Korzystanie przez Zamawiającego z  zakupionych urządzeń i oprogramowania nie może naruszać majątkowych praw autorskich osób trzecich.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 wymaga, by w chwili nabycia licencji stał się ich jedynym właścicielem z  pełnymi prawami oraz pełnymi prawami do korzystania z oprogramowania.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posiada wiedzę na temat nadzoru i konfiguracji oraz używa w swojej infrastrukturze VoIP produktów marki Cisco. W związku z tym dostarczony sprzęt musi być w pełni kompatybilny z urządzeniami posiadanymi przez Zamawiającego oraz dawać możliwość wykorzystywania wszystkich funkcjonalności posiadanego oraz dostarczonego przez Wykonawcę sprzętu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zaoferowania produktów innej firmy koniecznym jest by Wykonawca: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25" w:left="1265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dołączył do oferty szczegółowe parametry techniczne w formie opisowej wraz z kartami katalogowymi produktu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25" w:left="1265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zainstalował i uruchomił urządzenia,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25" w:left="1265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urządzeń zarządzalnych dostarczył komplet oprogramowania i okablowania do konfiguracji,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25" w:left="1265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przeszkolił 4 administratorów w zakresie konfiguracji i zarządzania urządzeniami. (szkolenie powinno zapewnić poziom wiedzy pozwalający na wykorzystanie wszystkich funkcjonalności dostarczonych urządzeń).</w:t>
      </w:r>
    </w:p>
    <w:p>
      <w:pPr>
        <w:pStyle w:val="ListParagraph"/>
        <w:spacing w:lineRule="auto" w:line="240" w:before="0" w:after="0"/>
        <w:ind w:left="19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240" w:before="0" w:after="0"/>
        <w:ind w:left="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spacing w:lineRule="auto" w:line="240" w:before="0" w:after="0"/>
        <w:ind w:left="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3"/>
        </w:numPr>
        <w:tabs>
          <w:tab w:val="clear" w:pos="420"/>
          <w:tab w:val="left" w:pos="1680" w:leader="none"/>
        </w:tabs>
        <w:spacing w:lineRule="auto" w:line="240" w:before="0" w:after="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Switch dostępowy z  POE – 6 szt. przełącznik stakowalny wraz z kablami stakującymi spełniający poniższe wymagania:</w:t>
      </w:r>
    </w:p>
    <w:p>
      <w:pPr>
        <w:pStyle w:val="ListParagraph"/>
        <w:spacing w:lineRule="auto" w:line="240" w:before="0" w:after="0"/>
        <w:ind w:left="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Zasilanie POE standardu IEEE 802.3af (15.4W na port) dostępne na wszystkich portach jednocześnie oraz IEEE 802.3at (30W na port) dostępne jednocześnie na co najmniej połowie dostępnych portów Ethernet.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Możliwość dostarczenia zasilania PoE w standardzie IEEE 802.3at (30W na port) jednocześnie na wszystkie porty Ethernet (np. poprzez instalację dodatkowego zasilacza) 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Możliwość zastosowania zasilania redundantnego.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Zabezpieczenie przed podaniem napięcia zasilającego do urządzenia końcowego, które nie wspiera standardu PoE.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Obsługa protokołów IEEE 802.1Q, 802.1p, ICMP, tunelowania 802.1Q (QinQ).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Obsługa minimum 255 aktywnych VLAN-ów o numerach od 1 do 4094.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Obsługa minimum 255 interfejsów SVI L3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Przełączanie pakietów L3 (64 bajty) – minimum 40 Mpps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Tablice o pojemności nie mniejszej niż: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25" w:left="126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MAC - 16000 adresów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25" w:left="126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IPv4 - 3000 tras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25" w:left="126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IPv6 - 1500 tras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25" w:left="126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security ACL - 1000 wpisów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25" w:left="126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QOS ACL - 1000 wpisów.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Przepustowość przełącznika (switching capacity) nie mniejsza niż 56Gb/s.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rPr/>
      </w:pPr>
      <w:r>
        <w:rPr>
          <w:rFonts w:cs="Arial" w:ascii="Arial" w:hAnsi="Arial"/>
          <w:sz w:val="20"/>
          <w:szCs w:val="20"/>
          <w:lang w:val="en-US"/>
        </w:rPr>
        <w:t>Zaimplementowane mechanizmy Quality Of Service (QOS) bazujące na protokole IEEE 802.1p oraz na Differentiated Services Code Point (DSCP).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rPr/>
      </w:pPr>
      <w:r>
        <w:rPr>
          <w:rFonts w:cs="Arial" w:ascii="Arial" w:hAnsi="Arial"/>
          <w:sz w:val="20"/>
          <w:szCs w:val="20"/>
        </w:rPr>
        <w:t>Zdalne wykonywanie zmian konfiguracyjnych oraz nadzoru.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rPr/>
      </w:pPr>
      <w:r>
        <w:rPr>
          <w:rFonts w:cs="Arial" w:ascii="Arial" w:hAnsi="Arial"/>
          <w:sz w:val="20"/>
          <w:szCs w:val="20"/>
        </w:rPr>
        <w:t>Obsługa IPV4 i IPV6.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rPr/>
      </w:pPr>
      <w:r>
        <w:rPr>
          <w:rFonts w:cs="Arial" w:ascii="Arial" w:hAnsi="Arial"/>
          <w:sz w:val="20"/>
          <w:szCs w:val="20"/>
        </w:rPr>
        <w:t>W pełni nieblokowalna matryca przełączająca.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rPr/>
      </w:pPr>
      <w:r>
        <w:rPr>
          <w:rFonts w:cs="Arial" w:ascii="Arial" w:hAnsi="Arial"/>
          <w:sz w:val="20"/>
          <w:szCs w:val="20"/>
        </w:rPr>
        <w:t>Zasilanie ze źródła prądu zmiennego 230V.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rPr/>
      </w:pPr>
      <w:r>
        <w:rPr>
          <w:rFonts w:cs="Arial" w:ascii="Arial" w:hAnsi="Arial"/>
          <w:sz w:val="20"/>
          <w:szCs w:val="20"/>
        </w:rPr>
        <w:t>Dwadzieścia cztery (24) porty Ethernet 10/100/1000Base-T.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rPr/>
      </w:pPr>
      <w:r>
        <w:rPr>
          <w:rFonts w:cs="Arial" w:ascii="Arial" w:hAnsi="Arial"/>
          <w:sz w:val="20"/>
          <w:szCs w:val="20"/>
        </w:rPr>
        <w:t>Nie mniej niż cztery (4) gniazda do podłączenia modułów światłowodowych SFP o przepływności nie mniejszej niż 1Gb/s,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rPr/>
      </w:pPr>
      <w:r>
        <w:rPr>
          <w:rFonts w:cs="Arial" w:ascii="Arial" w:hAnsi="Arial"/>
          <w:sz w:val="20"/>
          <w:szCs w:val="20"/>
        </w:rPr>
        <w:t>Obsługa agregacji łączy w standardzie IEEE 802.3ad (LACP):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rPr/>
      </w:pPr>
      <w:r>
        <w:rPr>
          <w:rFonts w:cs="Arial" w:ascii="Arial" w:hAnsi="Arial"/>
          <w:sz w:val="20"/>
          <w:szCs w:val="20"/>
        </w:rPr>
        <w:t>O</w:t>
      </w:r>
      <w:r>
        <w:rPr>
          <w:rFonts w:cs="Arial" w:ascii="Arial" w:hAnsi="Arial"/>
          <w:sz w:val="20"/>
          <w:szCs w:val="20"/>
        </w:rPr>
        <w:t>b</w:t>
      </w:r>
      <w:r>
        <w:rPr>
          <w:rFonts w:cs="Arial" w:ascii="Arial" w:hAnsi="Arial"/>
          <w:sz w:val="20"/>
          <w:szCs w:val="20"/>
        </w:rPr>
        <w:t>sługą ramek „jumbo” o wielkości nie mniejszej niż 9 tysięcy bajtów.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rPr/>
      </w:pPr>
      <w:r>
        <w:rPr>
          <w:rFonts w:cs="Arial" w:ascii="Arial" w:hAnsi="Arial"/>
          <w:sz w:val="20"/>
          <w:szCs w:val="20"/>
        </w:rPr>
        <w:t>Obsługa ruchu multicast z wykorzystaniem IGMP v1, v2, v3 oraz MLD v1 i v2.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rPr/>
      </w:pPr>
      <w:r>
        <w:rPr>
          <w:rFonts w:cs="Arial" w:ascii="Arial" w:hAnsi="Arial"/>
          <w:sz w:val="20"/>
          <w:szCs w:val="20"/>
        </w:rPr>
        <w:t>Obsługa protokołu NTP.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Powinno być zapewnione wsparcie następujących mechanizmów związanych z zapewnieniem jakości usług w sieci: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25" w:left="126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obsługa co najmniej czterech kolejek sprzętowych dla różnego rodzaju ruchu,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25" w:left="126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obsługa co najmniej jednej kolejki ze statusem priorytetowym (bezwzględne pierwszeństwo obsługi),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25" w:left="126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przyporządkowanie ruchu do klas różnej jakości obsługi (QoS) poprzez </w:t>
      </w:r>
      <w:bookmarkStart w:id="5" w:name="_GoBack"/>
      <w:bookmarkEnd w:id="5"/>
      <w:r>
        <w:rPr>
          <w:rFonts w:cs="Arial" w:ascii="Arial" w:hAnsi="Arial"/>
          <w:sz w:val="20"/>
          <w:szCs w:val="20"/>
        </w:rPr>
        <w:t>wykorzystanie żródłowego lub docelowego adresu MAC, IP, portu TCP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25" w:left="126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ograniczanie pasma dostępnego na danym porcie dla ruchu o danej klasie obsługi z dokładnością do 10 kbps,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25" w:left="126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kontrola sztormów dla ruchu broadcast, multicast oraz unicast,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25" w:left="126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mechanizm zmiany wartości pól CoS (protokołu </w:t>
      </w:r>
      <w:r>
        <w:rPr>
          <w:rFonts w:cs="Arial" w:ascii="Arial" w:hAnsi="Arial"/>
          <w:sz w:val="20"/>
          <w:szCs w:val="20"/>
          <w:lang w:val="en-US"/>
        </w:rPr>
        <w:t>IEEE 802.1p)</w:t>
      </w:r>
      <w:r>
        <w:rPr>
          <w:rFonts w:cs="Arial" w:ascii="Arial" w:hAnsi="Arial"/>
          <w:sz w:val="20"/>
          <w:szCs w:val="20"/>
        </w:rPr>
        <w:t xml:space="preserve"> i DSCP (protokołu IP)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Zdalne zarządzanie poprzez protokoły SNMPv3 i SSH v2.,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Przekazywanie danych o ruchu w sieci przy wykorzystaniu SNMPv2, v3 oraz NetFlow.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Zapis komunikatów systemowych na serwerze Syslog.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Wbudowane mechanizmy zapewniające przekazywanie kopii całego ruchu z każdego portu/portów na dowolny wskazany port dowolnego przełącznika pracującego w tej samej sieci (SPAN, RSPAN).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Montaż w szafie 19” (Wykonawca dostarczy komplet akcesoriów montażowych).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Obsługa protokołów zapobiegających powstawaniu pętli: STP (IEEE 802.1d), RSTP (IEEE 802.1w), MSTP (IEEE 802.1s), PVRST+ (Per-VLAN Rapid Spanning Tree).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Obsługa protokołu Unidirectional Link Detection (UDLD) kompatybilnego z posiadanym przez Zamawiającego sprzętem Cisco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Definiowanie VLAN-u dla połączeń głosowych i wideo, używanego do automatycznej konfiguracji telefonu IP (poprzez CDP) i usług QOS.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Zaimplementowane mechanizmy związane z bezpieczeństwem sieci: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25" w:left="126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tworzenie nie mniej niż 30 kont lokalnych administratorów urządzenia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25" w:left="126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wiele poziomów dostępu administracyjnego (privilege-level),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25" w:left="126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uwierzytelnianie i autoryzacja za pośrednictwem protokołów RADIUS lub TACACS+ dla kont administratorów urządzenia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25" w:left="126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autoryzacja użytkowników w oparciu o IEEE 802.1X z możliwością dynamicznego przypisania użytkownika do określonej sieci VLAN,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25" w:left="126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autoryzacja użytkowników w oparciu o IEEE 802.1X z możliwością dynamicznego przypisania listy ACL,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25" w:left="126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obsługa funkcji Guest VLAN umożliwiająca uzyskanie gościnnego dostępu do sieci dla użytkowników bez suplikanta 802.1X,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25" w:left="126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uwierzytelnianie urządzeń na porcie w oparciu o adres MAC,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25" w:left="126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możliwość uwierzytelniania użytkowników w oparciu o portal www dla klientów bez suplikanta 802.1X,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25" w:left="126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uwierzytelnianie wielu użytkowników na jednym porcie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25" w:left="126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jednoczesne uwierzytelnianie na porcie telefonu IP i komputera PC podłączonego za telefonem,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25" w:left="126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obsługa żądań Change of Authorization (CoA) zgodnie z RFC 5176,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25" w:left="126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możliwość wyboru kolejności uwierzytelniania – 802.1X/ uwierzytelnianie w oparciu o MAC adres/ uwierzytelnianie oparciu o portal www,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25" w:left="126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zabezpieczenie portu przed podłączeniem nieautoryzowanych urządzeń, rozpoznawanych za pomocą adresu MAC, osobno dla VLAN-u głosowego (Voice) i VLAN-u dla danych (Port security)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25" w:left="126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zabezpieczenie przed podłączeniem do sieci nieautoryzowanego serwera DHCP (DHCP Snooping) lub DHCPv6 (DHCPv6 Guard)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25" w:left="126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zabezpieczenie przed zafałszowaniem tablicy MAC przełącznika (Dynamic ARP Inspection)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25" w:left="126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zabezpieczenie przed podłączeniem do sieci nieautoryzowanego urządzenia, posiadającego prawidłowy adres IP (IP Source Guard),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25" w:left="126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zabezpieczenie przed rozgłaszaniem fałszywych komunikatów IPv6 Router Advertisement (RA Guard),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25" w:left="126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obsługa list kontroli dostępu (ACL) następujących typów:</w:t>
      </w:r>
    </w:p>
    <w:p>
      <w:pPr>
        <w:pStyle w:val="ListParagraph"/>
        <w:numPr>
          <w:ilvl w:val="3"/>
          <w:numId w:val="3"/>
        </w:numPr>
        <w:spacing w:lineRule="auto" w:line="240" w:before="0" w:after="0"/>
        <w:ind w:hanging="425" w:left="168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port ACL umożliwiające kontrolę ruchu wchodzącego (inbound) na poziomie portów przełącznika,</w:t>
      </w:r>
    </w:p>
    <w:p>
      <w:pPr>
        <w:pStyle w:val="ListParagraph"/>
        <w:numPr>
          <w:ilvl w:val="3"/>
          <w:numId w:val="3"/>
        </w:numPr>
        <w:spacing w:lineRule="auto" w:line="240" w:before="0" w:after="0"/>
        <w:ind w:hanging="425" w:left="168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·VLAN ACL umożliwiające kontrolę ruchu pomiędzy stacjami znajdującymi się w tej samem sieci VLAN w obrębie przełącznika,</w:t>
      </w:r>
    </w:p>
    <w:p>
      <w:pPr>
        <w:pStyle w:val="ListParagraph"/>
        <w:numPr>
          <w:ilvl w:val="3"/>
          <w:numId w:val="3"/>
        </w:numPr>
        <w:spacing w:lineRule="auto" w:line="240" w:before="0" w:after="0"/>
        <w:ind w:hanging="425" w:left="168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·routed ACL umożliwiające kontrolę ruchu routowanego pomiędzy sieciami VLAN, </w:t>
      </w:r>
    </w:p>
    <w:p>
      <w:pPr>
        <w:pStyle w:val="ListParagraph"/>
        <w:numPr>
          <w:ilvl w:val="3"/>
          <w:numId w:val="3"/>
        </w:numPr>
        <w:spacing w:lineRule="auto" w:line="240" w:before="0" w:after="0"/>
        <w:ind w:hanging="425" w:left="168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czasowe listy ACL (aktywne w określonych godzinach i dniach tygodnia);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25" w:left="126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·szyfrowanie ruchu zgodnie z IEEE 802.1ae (MACSec) dla wszystkich portów przełącznika (dla połączeń switch-switch) kluczami o długości 128-bitów (gcm-aes-128) z mechanizmem MACsec Key Agreement (MKA),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25" w:left="126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·wbudowane mechanizmy ochrony warstwy kontrolnej przełącznika (Control Plane Policing),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Wbudowany serwer DHCP.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Wbudowany klient DHCP.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Obsługa protokołu CDP (Cisco Discovery Protocol).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Obsługa protokołu LLDP-MED.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Routing statyczny.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Reflektometryczny test okablowania na każdym porcie Ethernet 10/100/1000Base-T, umożliwiający odczyt odległości od switcha w jakiej występuje uszkodzenie kabla.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Przełącznik musi zapewnić stworzenie stosu przełączników (min. 8), w którym wszystkie przełączniki będą się zachowywały jak jedna logiczna jednostka..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 połączeniu przełączników w stos muszą być zapewnione następujące parametry: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25" w:left="126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przepustowość przełączników (switching capacity) w ramach stosu nie mniejsza niż 136 Gb/s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25" w:left="126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obsługa agregacji łączy w standardzie IEEE 802.3ad (LACP) dla portów należących do różnych switchy w stosie (cross-stack link aggregation)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25" w:left="126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obsługa nie mniej niż 48 zagregowanych połączeń LACP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25" w:left="126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obsługa nie mniej niż 16 linków w ramach zagregowanego połączenia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25" w:left="126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przepustowość interfejsu stakującego nie mniejsza niż 80Gb/s.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 posiada przełączniki Cisco C9200L-24P-4G-E VID: V03. Zaoferowane przełączniki muszą zapewnić  podłączenie nowych urządzeń w stos z posiadanymi przełącznikami oraz zarządzanie wszystkimi urządzeniami w stosie jak jednym.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25" w:left="845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dostarczy odpowiednie kable stakujące. Switche muszą zostać połączone w stos przy użyciu kabli stakujących o długości nie mniejszej niż: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25" w:left="126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50 cm - 6 szt.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567" w:left="907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dostarczy 18 szt. modułów SFP 1000Base-LX spełniających poniższe kryteria: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53" w:left="147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Wymagana współpraca z  urządzeniami Cisco oraz ze switchami dostarczonymi przez Wykonawcę.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53" w:left="147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Wymagana praca ze światłowodem jednomodowym 9/125um w oknie 1310 nm.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53" w:left="147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Transmisja danych po dwóch włóknach światłowodowych na odległość nie mniejszą niż 1 km.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53" w:left="147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Złącze Duplex LC/PC.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53" w:left="1474"/>
        <w:contextualSpacing/>
        <w:jc w:val="both"/>
        <w:rPr/>
      </w:pPr>
      <w:r>
        <w:rPr>
          <w:rFonts w:cs="Arial" w:ascii="Arial" w:hAnsi="Arial"/>
          <w:sz w:val="20"/>
          <w:szCs w:val="20"/>
        </w:rPr>
        <w:t>Prędkość transmisji danych 1Gb/s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hanging="454" w:left="907"/>
        <w:contextualSpacing/>
        <w:jc w:val="both"/>
        <w:rPr/>
      </w:pPr>
      <w:r>
        <w:rPr>
          <w:rFonts w:cs="Arial" w:ascii="Arial" w:hAnsi="Arial"/>
          <w:sz w:val="20"/>
          <w:szCs w:val="20"/>
        </w:rPr>
        <w:t>Wykonawca dostarczy patchcordy światłowodowe jednomodowe 9/125um: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54" w:left="1474"/>
        <w:contextualSpacing/>
        <w:jc w:val="both"/>
        <w:rPr/>
      </w:pPr>
      <w:r>
        <w:rPr>
          <w:rFonts w:cs="Arial" w:ascii="Arial" w:hAnsi="Arial"/>
          <w:sz w:val="20"/>
          <w:szCs w:val="20"/>
        </w:rPr>
        <w:t>SC/APC LC/PC o długości:</w:t>
      </w:r>
    </w:p>
    <w:p>
      <w:pPr>
        <w:pStyle w:val="ListParagraph"/>
        <w:numPr>
          <w:ilvl w:val="3"/>
          <w:numId w:val="3"/>
        </w:numPr>
        <w:spacing w:lineRule="auto" w:line="240" w:before="0" w:after="0"/>
        <w:ind w:hanging="454" w:left="2098"/>
        <w:contextualSpacing/>
        <w:jc w:val="both"/>
        <w:rPr/>
      </w:pPr>
      <w:r>
        <w:rPr>
          <w:rFonts w:cs="Arial" w:ascii="Arial" w:hAnsi="Arial"/>
          <w:sz w:val="20"/>
          <w:szCs w:val="20"/>
        </w:rPr>
        <w:t>3 m - 4 szt.</w:t>
      </w:r>
    </w:p>
    <w:p>
      <w:pPr>
        <w:pStyle w:val="ListParagraph"/>
        <w:numPr>
          <w:ilvl w:val="3"/>
          <w:numId w:val="3"/>
        </w:numPr>
        <w:spacing w:lineRule="auto" w:line="240" w:before="0" w:after="0"/>
        <w:ind w:hanging="454" w:left="2098"/>
        <w:contextualSpacing/>
        <w:jc w:val="both"/>
        <w:rPr/>
      </w:pPr>
      <w:r>
        <w:rPr>
          <w:rFonts w:cs="Arial" w:ascii="Arial" w:hAnsi="Arial"/>
          <w:sz w:val="20"/>
          <w:szCs w:val="20"/>
        </w:rPr>
        <w:t>5 m - 4 szt.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54" w:left="1474"/>
        <w:contextualSpacing/>
        <w:jc w:val="both"/>
        <w:rPr/>
      </w:pPr>
      <w:r>
        <w:rPr>
          <w:rFonts w:cs="Arial" w:ascii="Arial" w:hAnsi="Arial"/>
          <w:sz w:val="20"/>
          <w:szCs w:val="20"/>
        </w:rPr>
        <w:t>SC/APC o długości 3m - 4 szt.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hanging="454" w:left="1474"/>
        <w:contextualSpacing/>
        <w:jc w:val="both"/>
        <w:rPr/>
      </w:pPr>
      <w:r>
        <w:rPr>
          <w:rFonts w:cs="Arial" w:ascii="Arial" w:hAnsi="Arial"/>
          <w:sz w:val="20"/>
          <w:szCs w:val="20"/>
        </w:rPr>
        <w:t>LC/PC o długości:</w:t>
      </w:r>
    </w:p>
    <w:p>
      <w:pPr>
        <w:pStyle w:val="ListParagraph"/>
        <w:numPr>
          <w:ilvl w:val="3"/>
          <w:numId w:val="3"/>
        </w:numPr>
        <w:spacing w:lineRule="auto" w:line="240" w:before="0" w:after="0"/>
        <w:ind w:hanging="454" w:left="2154"/>
        <w:contextualSpacing/>
        <w:jc w:val="both"/>
        <w:rPr/>
      </w:pPr>
      <w:r>
        <w:rPr>
          <w:rFonts w:cs="Arial" w:ascii="Arial" w:hAnsi="Arial"/>
          <w:sz w:val="20"/>
          <w:szCs w:val="20"/>
        </w:rPr>
        <w:t>3 m - 4 szt.</w:t>
      </w:r>
    </w:p>
    <w:p>
      <w:pPr>
        <w:pStyle w:val="ListParagraph"/>
        <w:numPr>
          <w:ilvl w:val="3"/>
          <w:numId w:val="3"/>
        </w:numPr>
        <w:spacing w:lineRule="auto" w:line="240" w:before="0" w:after="0"/>
        <w:ind w:hanging="454" w:left="2154"/>
        <w:contextualSpacing/>
        <w:jc w:val="both"/>
        <w:rPr/>
      </w:pPr>
      <w:r>
        <w:rPr>
          <w:rFonts w:cs="Arial" w:ascii="Arial" w:hAnsi="Arial"/>
          <w:sz w:val="20"/>
          <w:szCs w:val="20"/>
        </w:rPr>
        <w:t>10 m - 8 szt.</w:t>
      </w:r>
    </w:p>
    <w:p>
      <w:pPr>
        <w:pStyle w:val="ListParagraph"/>
        <w:spacing w:lineRule="auto" w:line="240" w:before="0" w:after="0"/>
        <w:ind w:left="126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spacing w:lineRule="auto" w:line="240" w:before="0"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240" w:before="0" w:after="0"/>
        <w:ind w:left="34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</w:r>
    </w:p>
    <w:p>
      <w:pPr>
        <w:pStyle w:val="Normal"/>
        <w:spacing w:before="0" w:after="80"/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</w:r>
    </w:p>
    <w:sectPr>
      <w:type w:val="nextPage"/>
      <w:pgSz w:w="12240" w:h="15840"/>
      <w:pgMar w:left="1797" w:right="1797" w:gutter="0" w:header="0" w:top="1440" w:footer="0" w:bottom="1440"/>
      <w:pgNumType w:fmt="decimal"/>
      <w:formProt w:val="false"/>
      <w:textDirection w:val="lrTb"/>
      <w:docGrid w:type="default" w:linePitch="287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/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453"/>
      </w:pPr>
      <w:rPr/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708"/>
      </w:pPr>
      <w:rPr/>
    </w:lvl>
    <w:lvl w:ilvl="3">
      <w:start w:val="1"/>
      <w:numFmt w:val="decimal"/>
      <w:lvlText w:val="%1.%2.%3.%4."/>
      <w:lvlJc w:val="left"/>
      <w:pPr>
        <w:tabs>
          <w:tab w:val="num" w:pos="2053"/>
        </w:tabs>
        <w:ind w:left="2053" w:hanging="853"/>
      </w:pPr>
      <w:rPr/>
    </w:lvl>
    <w:lvl w:ilvl="4">
      <w:start w:val="1"/>
      <w:numFmt w:val="decimal"/>
      <w:lvlText w:val="%1.%2.%3.%4.%5."/>
      <w:lvlJc w:val="left"/>
      <w:pPr>
        <w:tabs>
          <w:tab w:val="num" w:pos="2495"/>
        </w:tabs>
        <w:ind w:left="2495" w:hanging="895"/>
      </w:pPr>
      <w:rPr/>
    </w:lvl>
    <w:lvl w:ilvl="5">
      <w:start w:val="1"/>
      <w:numFmt w:val="decimal"/>
      <w:lvlText w:val="%1.%2.%3.%4.%5.%6."/>
      <w:lvlJc w:val="left"/>
      <w:pPr>
        <w:tabs>
          <w:tab w:val="num" w:pos="3136"/>
        </w:tabs>
        <w:ind w:left="3136" w:hanging="1136"/>
      </w:pPr>
      <w:rPr/>
    </w:lvl>
    <w:lvl w:ilvl="6">
      <w:start w:val="1"/>
      <w:numFmt w:val="decimal"/>
      <w:lvlText w:val="%1.%2.%3.%4.%5.%6.%7."/>
      <w:lvlJc w:val="left"/>
      <w:pPr>
        <w:tabs>
          <w:tab w:val="num" w:pos="3673"/>
        </w:tabs>
        <w:ind w:left="3673" w:hanging="1273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4218"/>
        </w:tabs>
        <w:ind w:left="4218" w:hanging="1418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648"/>
        </w:tabs>
        <w:ind w:left="4648" w:hanging="1448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/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453"/>
      </w:pPr>
      <w:rPr>
        <w:sz w:val="20"/>
        <w:szCs w:val="20"/>
        <w:rFonts w:ascii="Arial" w:hAnsi="Arial" w:eastAsia="Calibri" w:cs="Arial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708"/>
      </w:pPr>
      <w:rPr/>
    </w:lvl>
    <w:lvl w:ilvl="3">
      <w:start w:val="1"/>
      <w:numFmt w:val="decimal"/>
      <w:lvlText w:val="%1.%2.%3.%4."/>
      <w:lvlJc w:val="left"/>
      <w:pPr>
        <w:tabs>
          <w:tab w:val="num" w:pos="2053"/>
        </w:tabs>
        <w:ind w:left="2053" w:hanging="853"/>
      </w:pPr>
      <w:rPr/>
    </w:lvl>
    <w:lvl w:ilvl="4">
      <w:start w:val="1"/>
      <w:numFmt w:val="decimal"/>
      <w:lvlText w:val="%1.%2.%3.%4.%5."/>
      <w:lvlJc w:val="left"/>
      <w:pPr>
        <w:tabs>
          <w:tab w:val="num" w:pos="2495"/>
        </w:tabs>
        <w:ind w:left="2495" w:hanging="895"/>
      </w:pPr>
      <w:rPr/>
    </w:lvl>
    <w:lvl w:ilvl="5">
      <w:start w:val="1"/>
      <w:numFmt w:val="decimal"/>
      <w:lvlText w:val="%1.%2.%3.%4.%5.%6."/>
      <w:lvlJc w:val="left"/>
      <w:pPr>
        <w:tabs>
          <w:tab w:val="num" w:pos="3136"/>
        </w:tabs>
        <w:ind w:left="3136" w:hanging="1136"/>
      </w:pPr>
      <w:rPr/>
    </w:lvl>
    <w:lvl w:ilvl="6">
      <w:start w:val="1"/>
      <w:numFmt w:val="decimal"/>
      <w:lvlText w:val="%1.%2.%3.%4.%5.%6.%7."/>
      <w:lvlJc w:val="left"/>
      <w:pPr>
        <w:tabs>
          <w:tab w:val="num" w:pos="3673"/>
        </w:tabs>
        <w:ind w:left="3673" w:hanging="1273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4218"/>
        </w:tabs>
        <w:ind w:left="4218" w:hanging="1418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648"/>
        </w:tabs>
        <w:ind w:left="4648" w:hanging="1448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420"/>
  <w:autoHyphenation w:val="true"/>
  <w:hyphenationZone w:val="425"/>
  <w:compat>
    <w:doNotExpandShiftReturn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 w:qFormat="1"/>
    <w:lsdException w:name="header" w:qFormat="1"/>
    <w:lsdException w:name="footer" w:qFormat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Default Paragraph Font" w:uiPriority="1" w:semiHidden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Document Map" w:semiHidden="1"/>
    <w:lsdException w:name="HTML Top of Form" w:uiPriority="99" w:semiHidden="1" w:unhideWhenUsed="1"/>
    <w:lsdException w:name="HTML Bottom of Form" w:uiPriority="99" w:semiHidden="1" w:unhideWhenUsed="1"/>
    <w:lsdException w:name="Normal Table" w:uiPriority="99" w:semiHidden="1" w:unhideWhenUsed="1"/>
    <w:lsdException w:name="annotation subject" w:semiHidden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next w:val="NoSpacing"/>
    <w:qFormat/>
    <w:pPr>
      <w:widowControl/>
      <w:suppressAutoHyphens w:val="true"/>
      <w:bidi w:val="0"/>
      <w:spacing w:lineRule="auto" w:line="276" w:before="0" w:after="80"/>
      <w:jc w:val="left"/>
    </w:pPr>
    <w:rPr>
      <w:rFonts w:ascii="Arial" w:hAnsi="Arial" w:eastAsia="Calibri" w:cs="Times New Roman"/>
      <w:color w:val="auto"/>
      <w:kern w:val="0"/>
      <w:sz w:val="24"/>
      <w:szCs w:val="22"/>
      <w:lang w:eastAsia="en-US" w:val="pl-PL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lineRule="auto" w:line="240" w:before="240" w:after="60"/>
      <w:outlineLvl w:val="0"/>
    </w:pPr>
    <w:rPr>
      <w:b/>
      <w:kern w:val="2"/>
      <w:sz w:val="32"/>
    </w:rPr>
  </w:style>
  <w:style w:type="paragraph" w:styleId="Heading2">
    <w:name w:val="Heading 2"/>
    <w:basedOn w:val="Normal"/>
    <w:next w:val="Normal"/>
    <w:qFormat/>
    <w:pPr>
      <w:keepNext w:val="true"/>
      <w:keepLines/>
      <w:spacing w:lineRule="auto" w:line="240"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 w:val="true"/>
      <w:keepLines/>
      <w:spacing w:lineRule="auto" w:line="240"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pPr>
      <w:keepNext w:val="true"/>
      <w:keepLines/>
      <w:spacing w:lineRule="auto" w:line="240" w:before="240" w:after="60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keepNext w:val="true"/>
      <w:keepLines/>
      <w:spacing w:lineRule="auto" w:line="240"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 w:val="true"/>
      <w:keepLines/>
      <w:spacing w:lineRule="auto" w:line="240" w:before="240" w:after="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keepNext w:val="true"/>
      <w:keepLines/>
      <w:spacing w:lineRule="auto" w:line="240" w:before="240" w:after="60"/>
      <w:outlineLvl w:val="6"/>
    </w:pPr>
    <w:rPr/>
  </w:style>
  <w:style w:type="paragraph" w:styleId="Heading8">
    <w:name w:val="Heading 8"/>
    <w:basedOn w:val="Normal"/>
    <w:next w:val="Normal"/>
    <w:qFormat/>
    <w:pPr>
      <w:keepNext w:val="true"/>
      <w:keepLines/>
      <w:spacing w:lineRule="auto" w:line="240"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qFormat/>
    <w:pPr>
      <w:keepNext w:val="true"/>
      <w:keepLines/>
      <w:spacing w:lineRule="auto" w:line="240" w:before="240" w:after="60"/>
      <w:outlineLvl w:val="8"/>
    </w:pPr>
    <w:rPr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semiHidden/>
    <w:qFormat/>
    <w:rPr>
      <w:sz w:val="16"/>
      <w:szCs w:val="16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TekstpodstawowyZnak" w:customStyle="1">
    <w:name w:val="Tekst podstawowy Znak"/>
    <w:basedOn w:val="DefaultParagraphFont"/>
    <w:qFormat/>
    <w:rPr>
      <w:rFonts w:ascii="Arial Narrow" w:hAnsi="Arial Narrow" w:eastAsia="Times New Roman"/>
      <w:sz w:val="22"/>
    </w:rPr>
  </w:style>
  <w:style w:type="character" w:styleId="TekstkomentarzaZnak" w:customStyle="1">
    <w:name w:val="Tekst komentarza Znak"/>
    <w:basedOn w:val="DefaultParagraphFont"/>
    <w:link w:val="Annotationtext"/>
    <w:semiHidden/>
    <w:qFormat/>
    <w:rPr>
      <w:rFonts w:ascii="Arial" w:hAnsi="Arial" w:eastAsia="Calibri"/>
      <w:lang w:eastAsia="en-US"/>
    </w:rPr>
  </w:style>
  <w:style w:type="character" w:styleId="TematkomentarzaZnak" w:customStyle="1">
    <w:name w:val="Temat komentarza Znak"/>
    <w:basedOn w:val="TekstkomentarzaZnak"/>
    <w:link w:val="Annotationsubject"/>
    <w:semiHidden/>
    <w:qFormat/>
    <w:rPr>
      <w:rFonts w:ascii="Arial" w:hAnsi="Arial" w:eastAsia="Calibri"/>
      <w:b/>
      <w:bCs/>
      <w:lang w:eastAsia="en-US"/>
    </w:rPr>
  </w:style>
  <w:style w:type="character" w:styleId="TekstdymkaZnak" w:customStyle="1">
    <w:name w:val="Tekst dymka Znak"/>
    <w:basedOn w:val="DefaultParagraphFont"/>
    <w:link w:val="BalloonText"/>
    <w:semiHidden/>
    <w:qFormat/>
    <w:rPr>
      <w:rFonts w:ascii="Segoe UI" w:hAnsi="Segoe UI" w:eastAsia="Calibri" w:cs="Segoe UI"/>
      <w:sz w:val="18"/>
      <w:szCs w:val="18"/>
      <w:lang w:eastAsia="en-US"/>
    </w:rPr>
  </w:style>
  <w:style w:type="character" w:styleId="Linenumber">
    <w:name w:val="line number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qFormat/>
    <w:pPr>
      <w:spacing w:lineRule="auto" w:line="240" w:before="0" w:after="0"/>
      <w:jc w:val="both"/>
    </w:pPr>
    <w:rPr>
      <w:rFonts w:ascii="Arial Narrow" w:hAnsi="Arial Narrow" w:eastAsia="Times New Roman"/>
      <w:sz w:val="22"/>
      <w:szCs w:val="20"/>
      <w:lang w:eastAsia="pl-PL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qFormat/>
    <w:pPr>
      <w:tabs>
        <w:tab w:val="clear" w:pos="420"/>
        <w:tab w:val="center" w:pos="4153" w:leader="none"/>
        <w:tab w:val="right" w:pos="8306" w:leader="none"/>
      </w:tabs>
      <w:snapToGrid w:val="false"/>
    </w:pPr>
    <w:rPr>
      <w:sz w:val="18"/>
      <w:szCs w:val="1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SimSun" w:cs="Times New Roman"/>
      <w:color w:val="auto"/>
      <w:kern w:val="0"/>
      <w:sz w:val="24"/>
      <w:szCs w:val="22"/>
      <w:lang w:eastAsia="en-US" w:val="pl-PL" w:bidi="ar-SA"/>
    </w:rPr>
  </w:style>
  <w:style w:type="paragraph" w:styleId="BalloonText">
    <w:name w:val="Balloon Text"/>
    <w:basedOn w:val="Normal"/>
    <w:link w:val="TekstdymkaZnak"/>
    <w:semiHidden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semiHidden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semiHidden/>
    <w:qFormat/>
    <w:pPr/>
    <w:rPr>
      <w:b/>
      <w:bCs/>
    </w:rPr>
  </w:style>
  <w:style w:type="paragraph" w:styleId="Footer">
    <w:name w:val="Footer"/>
    <w:basedOn w:val="Normal"/>
    <w:qFormat/>
    <w:pPr>
      <w:tabs>
        <w:tab w:val="clear" w:pos="420"/>
        <w:tab w:val="center" w:pos="4153" w:leader="none"/>
        <w:tab w:val="right" w:pos="8306" w:leader="none"/>
      </w:tabs>
      <w:snapToGrid w:val="false"/>
    </w:pPr>
    <w:rPr>
      <w:sz w:val="18"/>
      <w:szCs w:val="18"/>
    </w:rPr>
  </w:style>
  <w:style w:type="paragraph" w:styleId="Akapitzlist1" w:customStyle="1">
    <w:name w:val="Akapit z listą1"/>
    <w:basedOn w:val="Normal"/>
    <w:uiPriority w:val="34"/>
    <w:qFormat/>
    <w:pPr>
      <w:spacing w:before="0" w:after="200"/>
      <w:ind w:left="720"/>
      <w:contextualSpacing/>
    </w:pPr>
    <w:rPr>
      <w:rFonts w:ascii="Calibri" w:hAnsi="Calibri"/>
      <w:sz w:val="22"/>
    </w:rPr>
  </w:style>
  <w:style w:type="paragraph" w:styleId="ListParagraph">
    <w:name w:val="List Paragraph"/>
    <w:basedOn w:val="Normal"/>
    <w:uiPriority w:val="99"/>
    <w:qFormat/>
    <w:pPr>
      <w:spacing w:before="0" w:after="200"/>
      <w:ind w:left="720"/>
      <w:contextualSpacing/>
    </w:pPr>
    <w:rPr>
      <w:rFonts w:ascii="Calibri" w:hAnsi="Calibri"/>
      <w:sz w:val="22"/>
    </w:rPr>
  </w:style>
  <w:style w:type="paragraph" w:styleId="Bezodstpw1" w:customStyle="1">
    <w:name w:val="Bez odstępów1"/>
    <w:uiPriority w:val="1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Times New Roman"/>
      <w:color w:val="auto"/>
      <w:kern w:val="0"/>
      <w:sz w:val="24"/>
      <w:szCs w:val="22"/>
      <w:lang w:eastAsia="en-US" w:val="pl-PL" w:bidi="ar-SA"/>
    </w:rPr>
  </w:style>
  <w:style w:type="paragraph" w:styleId="Revision">
    <w:name w:val="Revision"/>
    <w:uiPriority w:val="99"/>
    <w:semiHidden/>
    <w:qFormat/>
    <w:rsid w:val="00dc0c24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Times New Roman"/>
      <w:color w:val="auto"/>
      <w:kern w:val="0"/>
      <w:sz w:val="24"/>
      <w:szCs w:val="22"/>
      <w:lang w:eastAsia="en-US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qFormat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Application>LibreOffice/7.6.4.1$Windows_X86_64 LibreOffice_project/e19e193f88cd6c0525a17fb7a176ed8e6a3e2aa1</Application>
  <AppVersion>15.0000</AppVersion>
  <Pages>8</Pages>
  <Words>2681</Words>
  <Characters>17908</Characters>
  <CharactersWithSpaces>20218</CharactersWithSpaces>
  <Paragraphs>222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2021-10-01T11:49:00Z</dcterms:created>
  <dc:creator>Robert</dc:creator>
  <dc:description/>
  <dc:language>pl-PL</dc:language>
  <cp:lastModifiedBy/>
  <cp:lastPrinted>2021-07-08T07:22:00Z</cp:lastPrinted>
  <dcterms:modified xsi:type="dcterms:W3CDTF">2024-05-07T12:18:16Z</dcterms:modified>
  <cp:revision>21</cp:revision>
  <dc:subject/>
  <dc:title>ZADANIE ???: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645A8FE5FF2A4F64BC83D98C81A17D75</vt:lpwstr>
  </property>
  <property fmtid="{D5CDD505-2E9C-101B-9397-08002B2CF9AE}" pid="3" name="KSOProductBuildVer">
    <vt:lpwstr>1045-11.2.0.11536</vt:lpwstr>
  </property>
</Properties>
</file>