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2A6428" w:rsidRPr="002F17F8" w:rsidRDefault="002A6428" w:rsidP="002F17F8">
      <w:pPr>
        <w:spacing w:after="0" w:line="276" w:lineRule="auto"/>
        <w:rPr>
          <w:rFonts w:eastAsia="Calibri" w:cstheme="minorHAnsi"/>
          <w:b/>
          <w:sz w:val="19"/>
          <w:szCs w:val="19"/>
        </w:rPr>
      </w:pPr>
      <w:r w:rsidRPr="002F17F8">
        <w:rPr>
          <w:rFonts w:eastAsia="Calibri" w:cstheme="minorHAnsi"/>
          <w:b/>
          <w:sz w:val="19"/>
          <w:szCs w:val="19"/>
        </w:rPr>
        <w:t>ZP/220/06/24</w:t>
      </w:r>
    </w:p>
    <w:p w:rsidR="002A6428" w:rsidRPr="002F17F8" w:rsidRDefault="002A6428" w:rsidP="002F17F8">
      <w:pPr>
        <w:tabs>
          <w:tab w:val="left" w:pos="1080"/>
        </w:tabs>
        <w:spacing w:after="0" w:line="276" w:lineRule="auto"/>
        <w:jc w:val="both"/>
        <w:rPr>
          <w:rFonts w:cstheme="minorHAnsi"/>
          <w:sz w:val="19"/>
          <w:szCs w:val="19"/>
        </w:rPr>
      </w:pPr>
      <w:r w:rsidRPr="002F17F8">
        <w:rPr>
          <w:rFonts w:cstheme="minorHAnsi"/>
          <w:sz w:val="19"/>
          <w:szCs w:val="19"/>
        </w:rPr>
        <w:t>Dotyczy: postępowania o udzielenie zamówienia publicznego pn.:</w:t>
      </w:r>
    </w:p>
    <w:p w:rsidR="002A6428" w:rsidRPr="002F17F8" w:rsidRDefault="002A6428" w:rsidP="002F17F8">
      <w:pPr>
        <w:spacing w:after="0" w:line="276" w:lineRule="auto"/>
        <w:rPr>
          <w:rFonts w:eastAsia="Times New Roman" w:cstheme="minorHAnsi"/>
          <w:sz w:val="19"/>
          <w:szCs w:val="19"/>
        </w:rPr>
      </w:pPr>
      <w:r w:rsidRPr="002F17F8">
        <w:rPr>
          <w:rFonts w:eastAsia="Times New Roman" w:cstheme="minorHAnsi"/>
          <w:sz w:val="19"/>
          <w:szCs w:val="19"/>
        </w:rPr>
        <w:t>Dostawa wyrobów do sterylizacji dla USK-2 w Szczecinie.</w:t>
      </w:r>
    </w:p>
    <w:p w:rsidR="000F42E7" w:rsidRPr="002F17F8" w:rsidRDefault="000F42E7" w:rsidP="002F17F8">
      <w:pPr>
        <w:spacing w:after="0" w:line="276" w:lineRule="auto"/>
        <w:rPr>
          <w:rFonts w:cstheme="minorHAnsi"/>
          <w:b/>
          <w:sz w:val="19"/>
          <w:szCs w:val="19"/>
          <w:u w:val="single"/>
        </w:rPr>
      </w:pPr>
    </w:p>
    <w:p w:rsidR="00455E72" w:rsidRDefault="00455E72" w:rsidP="002F17F8">
      <w:pPr>
        <w:tabs>
          <w:tab w:val="left" w:pos="0"/>
        </w:tabs>
        <w:spacing w:line="276" w:lineRule="auto"/>
        <w:jc w:val="center"/>
        <w:rPr>
          <w:rFonts w:cstheme="minorHAnsi"/>
          <w:b/>
          <w:sz w:val="19"/>
          <w:szCs w:val="19"/>
        </w:rPr>
      </w:pPr>
    </w:p>
    <w:p w:rsidR="00455E72" w:rsidRDefault="00455E72" w:rsidP="002F17F8">
      <w:pPr>
        <w:tabs>
          <w:tab w:val="left" w:pos="0"/>
        </w:tabs>
        <w:spacing w:line="276" w:lineRule="auto"/>
        <w:jc w:val="center"/>
        <w:rPr>
          <w:rFonts w:cstheme="minorHAnsi"/>
          <w:b/>
          <w:sz w:val="19"/>
          <w:szCs w:val="19"/>
        </w:rPr>
      </w:pPr>
    </w:p>
    <w:p w:rsidR="00340C62" w:rsidRPr="002F17F8" w:rsidRDefault="00883CDE" w:rsidP="002F17F8">
      <w:pPr>
        <w:tabs>
          <w:tab w:val="left" w:pos="0"/>
        </w:tabs>
        <w:spacing w:line="276" w:lineRule="auto"/>
        <w:jc w:val="center"/>
        <w:rPr>
          <w:rFonts w:cstheme="minorHAnsi"/>
          <w:b/>
          <w:sz w:val="19"/>
          <w:szCs w:val="19"/>
        </w:rPr>
      </w:pPr>
      <w:r w:rsidRPr="002F17F8">
        <w:rPr>
          <w:rFonts w:cstheme="minorHAnsi"/>
          <w:b/>
          <w:sz w:val="19"/>
          <w:szCs w:val="19"/>
        </w:rPr>
        <w:t>WYJAŚNIENI</w:t>
      </w:r>
      <w:r w:rsidR="00483ED3" w:rsidRPr="002F17F8">
        <w:rPr>
          <w:rFonts w:cstheme="minorHAnsi"/>
          <w:b/>
          <w:sz w:val="19"/>
          <w:szCs w:val="19"/>
        </w:rPr>
        <w:t>A</w:t>
      </w:r>
      <w:r w:rsidRPr="002F17F8">
        <w:rPr>
          <w:rFonts w:cstheme="minorHAnsi"/>
          <w:b/>
          <w:sz w:val="19"/>
          <w:szCs w:val="19"/>
        </w:rPr>
        <w:t xml:space="preserve"> </w:t>
      </w:r>
      <w:r w:rsidR="00563CBE" w:rsidRPr="002F17F8">
        <w:rPr>
          <w:rFonts w:cstheme="minorHAnsi"/>
          <w:b/>
          <w:sz w:val="19"/>
          <w:szCs w:val="19"/>
        </w:rPr>
        <w:t>DO SWZ</w:t>
      </w:r>
    </w:p>
    <w:p w:rsidR="000030F7" w:rsidRPr="00455E72" w:rsidRDefault="00A13828" w:rsidP="00455E72">
      <w:pPr>
        <w:spacing w:line="276" w:lineRule="auto"/>
        <w:jc w:val="both"/>
        <w:rPr>
          <w:rFonts w:cstheme="minorHAnsi"/>
          <w:sz w:val="19"/>
          <w:szCs w:val="19"/>
        </w:rPr>
        <w:sectPr w:rsidR="000030F7" w:rsidRPr="00455E72"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55E72">
        <w:rPr>
          <w:rFonts w:cstheme="minorHAnsi"/>
          <w:sz w:val="19"/>
          <w:szCs w:val="19"/>
        </w:rPr>
        <w:t xml:space="preserve">Na podstawie art. 284 ustawy z dnia 11 września 2021 r. Prawo zamówień publicznych (Dz.U.2019.2019 </w:t>
      </w:r>
      <w:r w:rsidR="000030F7" w:rsidRPr="00455E72">
        <w:rPr>
          <w:rFonts w:cstheme="minorHAnsi"/>
          <w:sz w:val="19"/>
          <w:szCs w:val="19"/>
        </w:rPr>
        <w:t>tj.</w:t>
      </w:r>
      <w:r w:rsidRPr="00455E72">
        <w:rPr>
          <w:rFonts w:cstheme="minorHAnsi"/>
          <w:sz w:val="19"/>
          <w:szCs w:val="19"/>
        </w:rPr>
        <w:t xml:space="preserve"> z dnia 2019.10.24), </w:t>
      </w:r>
      <w:r w:rsidR="00B061AA" w:rsidRPr="00455E72">
        <w:rPr>
          <w:rFonts w:cstheme="minorHAnsi"/>
          <w:sz w:val="19"/>
          <w:szCs w:val="19"/>
        </w:rPr>
        <w:t>Zamawiający</w:t>
      </w:r>
      <w:r w:rsidRPr="00455E72">
        <w:rPr>
          <w:rFonts w:cstheme="minorHAnsi"/>
          <w:sz w:val="19"/>
          <w:szCs w:val="19"/>
        </w:rPr>
        <w:t xml:space="preserve"> udziela następujących wyjaśnień na pytania dotyczące treści </w:t>
      </w:r>
      <w:proofErr w:type="spellStart"/>
      <w:r w:rsidRPr="00455E72">
        <w:rPr>
          <w:rFonts w:cstheme="minorHAnsi"/>
          <w:sz w:val="19"/>
          <w:szCs w:val="19"/>
        </w:rPr>
        <w:t>swz</w:t>
      </w:r>
      <w:proofErr w:type="spellEnd"/>
      <w:r w:rsidRPr="00455E72">
        <w:rPr>
          <w:rFonts w:cstheme="minorHAnsi"/>
          <w:sz w:val="19"/>
          <w:szCs w:val="19"/>
        </w:rPr>
        <w:t>:</w:t>
      </w:r>
    </w:p>
    <w:p w:rsidR="00F3699D" w:rsidRPr="00455E72" w:rsidRDefault="00F3699D" w:rsidP="00455E72">
      <w:pPr>
        <w:widowControl w:val="0"/>
        <w:spacing w:line="276" w:lineRule="auto"/>
        <w:jc w:val="both"/>
        <w:rPr>
          <w:rFonts w:cstheme="minorHAnsi"/>
          <w:b/>
          <w:i/>
          <w:sz w:val="19"/>
          <w:szCs w:val="19"/>
        </w:rPr>
      </w:pPr>
      <w:bookmarkStart w:id="1" w:name="_Hlk12607031"/>
    </w:p>
    <w:p w:rsidR="00647C64"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1</w:t>
      </w:r>
    </w:p>
    <w:p w:rsidR="009827E7" w:rsidRPr="00455E72" w:rsidRDefault="00647C64" w:rsidP="00455E72">
      <w:pPr>
        <w:spacing w:line="276" w:lineRule="auto"/>
        <w:contextualSpacing/>
        <w:jc w:val="both"/>
        <w:rPr>
          <w:rFonts w:cstheme="minorHAnsi"/>
          <w:sz w:val="19"/>
          <w:szCs w:val="19"/>
        </w:rPr>
      </w:pPr>
      <w:r w:rsidRPr="00455E72">
        <w:rPr>
          <w:rFonts w:cstheme="minorHAnsi"/>
          <w:sz w:val="19"/>
          <w:szCs w:val="19"/>
        </w:rPr>
        <w:t>Zadanie  2</w:t>
      </w:r>
    </w:p>
    <w:p w:rsidR="009827E7" w:rsidRPr="00455E72" w:rsidRDefault="009827E7" w:rsidP="00455E72">
      <w:pPr>
        <w:spacing w:line="276" w:lineRule="auto"/>
        <w:contextualSpacing/>
        <w:jc w:val="both"/>
        <w:rPr>
          <w:rFonts w:cstheme="minorHAnsi"/>
          <w:sz w:val="19"/>
          <w:szCs w:val="19"/>
        </w:rPr>
      </w:pPr>
      <w:r w:rsidRPr="00455E72">
        <w:rPr>
          <w:rFonts w:cstheme="minorHAnsi"/>
          <w:sz w:val="19"/>
          <w:szCs w:val="19"/>
        </w:rPr>
        <w:t xml:space="preserve">Czy Zamawiający wyraża zgodę na zastosowanie stawki VAT w wysokości 8% na wymagany produkt? Jest on zaklasyfikowany jako wyrób medyczny czyli podlega on opodatkowaniu obniżoną 8% stawką VAT. </w:t>
      </w:r>
    </w:p>
    <w:p w:rsidR="00863EEE" w:rsidRPr="00455E72" w:rsidRDefault="00863EEE" w:rsidP="00455E72">
      <w:pPr>
        <w:spacing w:line="276" w:lineRule="auto"/>
        <w:contextualSpacing/>
        <w:jc w:val="both"/>
        <w:rPr>
          <w:rFonts w:cstheme="minorHAnsi"/>
          <w:b/>
          <w:bCs/>
          <w:sz w:val="19"/>
          <w:szCs w:val="19"/>
        </w:rPr>
      </w:pPr>
    </w:p>
    <w:p w:rsidR="001416E6" w:rsidRDefault="00596053" w:rsidP="00455E72">
      <w:pPr>
        <w:spacing w:line="276" w:lineRule="auto"/>
        <w:jc w:val="both"/>
        <w:rPr>
          <w:rFonts w:cstheme="minorHAnsi"/>
          <w:sz w:val="19"/>
          <w:szCs w:val="19"/>
        </w:rPr>
      </w:pPr>
      <w:r w:rsidRPr="00455E72">
        <w:rPr>
          <w:rFonts w:cstheme="minorHAnsi"/>
          <w:b/>
          <w:bCs/>
          <w:sz w:val="19"/>
          <w:szCs w:val="19"/>
        </w:rPr>
        <w:t>ODPOWIEDŹ:</w:t>
      </w:r>
      <w:r w:rsidR="00863EEE" w:rsidRPr="00455E72">
        <w:rPr>
          <w:rFonts w:cstheme="minorHAnsi"/>
          <w:b/>
          <w:bCs/>
          <w:sz w:val="19"/>
          <w:szCs w:val="19"/>
        </w:rPr>
        <w:t xml:space="preserve"> </w:t>
      </w:r>
      <w:r w:rsidR="00863EEE" w:rsidRPr="00455E72">
        <w:rPr>
          <w:rFonts w:cstheme="minorHAnsi"/>
          <w:bCs/>
          <w:sz w:val="19"/>
          <w:szCs w:val="19"/>
        </w:rPr>
        <w:t>Zamawiający wyraża zgodę na</w:t>
      </w:r>
      <w:r w:rsidR="00863EEE" w:rsidRPr="00455E72">
        <w:rPr>
          <w:rFonts w:cstheme="minorHAnsi"/>
          <w:b/>
          <w:bCs/>
          <w:sz w:val="19"/>
          <w:szCs w:val="19"/>
        </w:rPr>
        <w:t xml:space="preserve"> </w:t>
      </w:r>
      <w:r w:rsidR="00863EEE" w:rsidRPr="00455E72">
        <w:rPr>
          <w:rFonts w:cstheme="minorHAnsi"/>
          <w:sz w:val="19"/>
          <w:szCs w:val="19"/>
        </w:rPr>
        <w:t>zastosowanie stawki VAT w wysokości 8% w zadaniu nr 2. W związku z powyższym Zamawiający dokona stosownej zmiany w tym zakresie stawki VAT w SWZ, w zapisach załącznika nr 2 (FCJ ) oraz wprowadza dla zadania nr 2 wymóg złożenia przez wykonawców oświadczenia, że oferowane przez nas wyroby medyczne były wprowadzone do obrotu zgodnie z Ustawą z dnia 7 kwietnia 2022r o wyrobach medycznych (Dz.U. 2022 poz. 974)  i posiadają wymagane przepisami ustawy dokumenty – załącznik nr 6 do SWZ.</w:t>
      </w:r>
    </w:p>
    <w:p w:rsidR="00455E72" w:rsidRPr="00455E72" w:rsidRDefault="00455E72" w:rsidP="00455E72">
      <w:pPr>
        <w:spacing w:line="276" w:lineRule="auto"/>
        <w:jc w:val="both"/>
        <w:rPr>
          <w:rFonts w:cstheme="minorHAnsi"/>
          <w:b/>
          <w:sz w:val="19"/>
          <w:szCs w:val="19"/>
          <w:u w:val="single"/>
        </w:rPr>
      </w:pPr>
    </w:p>
    <w:p w:rsidR="00647C64"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2</w:t>
      </w:r>
    </w:p>
    <w:p w:rsidR="001416E6" w:rsidRPr="00455E72" w:rsidRDefault="001416E6"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Czy Zamawiający zgodzi się na wyodrębnienie z zadania 1</w:t>
      </w:r>
    </w:p>
    <w:p w:rsidR="001416E6" w:rsidRPr="00455E72" w:rsidRDefault="001416E6" w:rsidP="00455E72">
      <w:pPr>
        <w:spacing w:line="276" w:lineRule="auto"/>
        <w:ind w:left="426"/>
        <w:jc w:val="both"/>
        <w:rPr>
          <w:rFonts w:cstheme="minorHAnsi"/>
          <w:sz w:val="19"/>
          <w:szCs w:val="19"/>
        </w:rPr>
      </w:pPr>
      <w:r w:rsidRPr="00455E72">
        <w:rPr>
          <w:rFonts w:cstheme="minorHAnsi"/>
          <w:sz w:val="19"/>
          <w:szCs w:val="19"/>
        </w:rPr>
        <w:t>- pozycji 2 Biologiczny zestaw testowy do sterylizacji tlenku etylenu ilość</w:t>
      </w:r>
    </w:p>
    <w:p w:rsidR="001416E6" w:rsidRPr="00455E72" w:rsidRDefault="001416E6" w:rsidP="00455E72">
      <w:pPr>
        <w:spacing w:line="276" w:lineRule="auto"/>
        <w:ind w:left="426"/>
        <w:jc w:val="both"/>
        <w:rPr>
          <w:rFonts w:cstheme="minorHAnsi"/>
          <w:sz w:val="19"/>
          <w:szCs w:val="19"/>
        </w:rPr>
      </w:pPr>
      <w:r w:rsidRPr="00455E72">
        <w:rPr>
          <w:rFonts w:cstheme="minorHAnsi"/>
          <w:sz w:val="19"/>
          <w:szCs w:val="19"/>
        </w:rPr>
        <w:t>- pozycji 6 Wskaźnik chemiczny paskowy do sterylizacji tlenkiem etylenu</w:t>
      </w:r>
    </w:p>
    <w:p w:rsidR="00863EEE" w:rsidRDefault="00596053" w:rsidP="00455E72">
      <w:pPr>
        <w:spacing w:line="276" w:lineRule="auto"/>
        <w:jc w:val="both"/>
        <w:rPr>
          <w:rFonts w:cstheme="minorHAnsi"/>
          <w:bCs/>
          <w:sz w:val="19"/>
          <w:szCs w:val="19"/>
        </w:rPr>
      </w:pPr>
      <w:r w:rsidRPr="00455E72">
        <w:rPr>
          <w:rFonts w:cstheme="minorHAnsi"/>
          <w:b/>
          <w:bCs/>
          <w:sz w:val="19"/>
          <w:szCs w:val="19"/>
        </w:rPr>
        <w:t>ODPOWIEDŹ:</w:t>
      </w:r>
      <w:r w:rsidR="00AB625C" w:rsidRPr="00455E72">
        <w:rPr>
          <w:rFonts w:cstheme="minorHAnsi"/>
          <w:b/>
          <w:bCs/>
          <w:sz w:val="19"/>
          <w:szCs w:val="19"/>
        </w:rPr>
        <w:t xml:space="preserve"> </w:t>
      </w:r>
      <w:r w:rsidR="00AB625C" w:rsidRPr="00455E72">
        <w:rPr>
          <w:rFonts w:cstheme="minorHAnsi"/>
          <w:bCs/>
          <w:sz w:val="19"/>
          <w:szCs w:val="19"/>
        </w:rPr>
        <w:t>Zamawiający nie wyraża zgody</w:t>
      </w:r>
      <w:r w:rsidR="00455E72">
        <w:rPr>
          <w:rFonts w:cstheme="minorHAnsi"/>
          <w:bCs/>
          <w:sz w:val="19"/>
          <w:szCs w:val="19"/>
        </w:rPr>
        <w:t xml:space="preserve"> . Zadanie </w:t>
      </w:r>
      <w:r w:rsidR="0006485E" w:rsidRPr="00455E72">
        <w:rPr>
          <w:rFonts w:cstheme="minorHAnsi"/>
          <w:bCs/>
          <w:sz w:val="19"/>
          <w:szCs w:val="19"/>
        </w:rPr>
        <w:t>nr 1 zawiera wskaźniki do wszystkich posiadanych przez Szpital metod sterylizacji.</w:t>
      </w:r>
    </w:p>
    <w:p w:rsidR="00455E72" w:rsidRPr="00455E72" w:rsidRDefault="00455E72" w:rsidP="00455E72">
      <w:pPr>
        <w:spacing w:line="276" w:lineRule="auto"/>
        <w:jc w:val="both"/>
        <w:rPr>
          <w:rFonts w:cstheme="minorHAnsi"/>
          <w:bCs/>
          <w:sz w:val="19"/>
          <w:szCs w:val="19"/>
        </w:rPr>
      </w:pPr>
    </w:p>
    <w:p w:rsidR="00596053"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3</w:t>
      </w:r>
    </w:p>
    <w:p w:rsidR="00647C64"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2F17F8" w:rsidRPr="00455E72" w:rsidRDefault="001416E6" w:rsidP="00455E72">
      <w:pPr>
        <w:spacing w:line="276" w:lineRule="auto"/>
        <w:jc w:val="both"/>
        <w:rPr>
          <w:rFonts w:cstheme="minorHAnsi"/>
          <w:sz w:val="19"/>
          <w:szCs w:val="19"/>
        </w:rPr>
      </w:pPr>
      <w:r w:rsidRPr="00455E72">
        <w:rPr>
          <w:rFonts w:cstheme="minorHAnsi"/>
          <w:sz w:val="19"/>
          <w:szCs w:val="19"/>
        </w:rPr>
        <w:t xml:space="preserve">AD poz. 1: Czy Zmawiający dopuści wskaźniki biologiczne o szybkim odczycie do 20 min inkubacji z możliwością wykonania odczytu sprawdzającego w czasie 24 godzin. Test zgodny z normą ISO 11138-1 oraz ISO 11138-3, wraz z odstawą na czas trwania umowy </w:t>
      </w:r>
      <w:r w:rsidRPr="00455E72">
        <w:rPr>
          <w:rFonts w:cstheme="minorHAnsi"/>
          <w:sz w:val="19"/>
          <w:szCs w:val="19"/>
        </w:rPr>
        <w:lastRenderedPageBreak/>
        <w:t>dostawca zobowiązuje się do użyczenia inkubatorów 2 zakresowych obsługujących wskaźniki parowe, plazmowe. Inkubator wyposażony w drukarkę oraz czytelny kolorowy wyświetlacz o przekątnej 6”?</w:t>
      </w:r>
    </w:p>
    <w:p w:rsidR="002F17F8" w:rsidRPr="00455E72" w:rsidRDefault="00596053" w:rsidP="00455E72">
      <w:pPr>
        <w:spacing w:line="276" w:lineRule="auto"/>
        <w:jc w:val="both"/>
        <w:rPr>
          <w:rFonts w:cstheme="minorHAnsi"/>
          <w:b/>
          <w:bCs/>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nie wyraża zgody, ponieważ w zadaniu nr 1 poz. 1 wymaga zaoferowania biologicznego zestawu testowego, a nie wskaźnika biologicznego.</w:t>
      </w:r>
    </w:p>
    <w:p w:rsidR="00596053"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4</w:t>
      </w:r>
    </w:p>
    <w:p w:rsidR="00647C64"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AD poz. 3: Czy Zmawiający dopuści wskaźniki biologiczne o szybkim odczycie do 20 min inkubacji z możliwością wykonania odczytu sprawdzającego w czasie 24 godzin. Test zgodny z normą ISO 11138-1 oraz ISO 11138-3, wraz z odstawą na czas trwania umowy dostawca zobowiązuje się do użyczenia inkubatorów 2 zakresowych obsługujących wskaźniki parowe, plazmowe. Inkubator wyposażony w drukarkę oraz czytelny kolorowy wyświetlacz o przekątnej 6” ?</w:t>
      </w:r>
    </w:p>
    <w:p w:rsidR="00F166C5" w:rsidRPr="00455E72" w:rsidRDefault="00596053" w:rsidP="00455E72">
      <w:pPr>
        <w:spacing w:line="276" w:lineRule="auto"/>
        <w:jc w:val="both"/>
        <w:rPr>
          <w:rFonts w:cstheme="minorHAnsi"/>
          <w:b/>
          <w:bCs/>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nie wyraża zgody, ponieważ w zadaniu nr 1 poz. 3 wymaga zaoferowania biologicznego zestawu testowego, a nie wskaźnika biologicznego.</w:t>
      </w:r>
    </w:p>
    <w:p w:rsidR="002F17F8" w:rsidRPr="00455E72" w:rsidRDefault="002F17F8" w:rsidP="00455E72">
      <w:pPr>
        <w:spacing w:line="276" w:lineRule="auto"/>
        <w:jc w:val="both"/>
        <w:rPr>
          <w:rFonts w:cstheme="minorHAnsi"/>
          <w:b/>
          <w:bCs/>
          <w:sz w:val="19"/>
          <w:szCs w:val="19"/>
        </w:rPr>
      </w:pPr>
    </w:p>
    <w:p w:rsidR="00596053"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5</w:t>
      </w:r>
    </w:p>
    <w:p w:rsidR="00647C64"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 xml:space="preserve"> AD poz. 4: Czy Zamawiający dopuści wskaźnik do kontroli procesu sterylizacji parowej. Spełniający normę PN-EN 867. Do zastosowania we wszystkich cyklach sterylizacji parą wodną. Ocena poprawności na podstawie zmiany koloru z czerwonego na czarny W opakowaniu 400 szt.?</w:t>
      </w:r>
    </w:p>
    <w:p w:rsidR="002F17F8" w:rsidRPr="00455E72" w:rsidRDefault="00596053" w:rsidP="00455E72">
      <w:pPr>
        <w:spacing w:line="276" w:lineRule="auto"/>
        <w:jc w:val="both"/>
        <w:rPr>
          <w:rFonts w:cstheme="minorHAnsi"/>
          <w:bCs/>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nie wyraża zgody, ponieważ wymaga wskaźnika nie wymagającego interpretacji zmiany koloru</w:t>
      </w:r>
      <w:r w:rsidR="00AB2D0B" w:rsidRPr="00455E72">
        <w:rPr>
          <w:rFonts w:cstheme="minorHAnsi"/>
          <w:bCs/>
          <w:sz w:val="19"/>
          <w:szCs w:val="19"/>
        </w:rPr>
        <w:t>.</w:t>
      </w:r>
    </w:p>
    <w:p w:rsidR="00596053"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6</w:t>
      </w:r>
    </w:p>
    <w:p w:rsidR="00647C64"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AD poz. 5: Czy Zamawiający dopuści wieloparametrowy wskaźnik chemiczny typu 4 do pary wodnej. O ułożeniu substancji wskaźnikowej w dwóch okienkach porównawczych. Do zastosowania we wszystkich rodzajach pakietów bez konieczności umieszczania go w dodatkowym opakowaniu papierowo-foliowym chroniącym przed zabrudzeniem. Spełniający normę PN-EN 867. W opakowaniu jednostkowym maksymalnie 500 sztuk.</w:t>
      </w:r>
    </w:p>
    <w:p w:rsidR="00F166C5" w:rsidRPr="00455E72" w:rsidRDefault="00596053" w:rsidP="00455E72">
      <w:pPr>
        <w:spacing w:line="276" w:lineRule="auto"/>
        <w:jc w:val="both"/>
        <w:rPr>
          <w:rFonts w:cstheme="minorHAnsi"/>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dopuszcza proponowane rozwiązanie, ale nie wymaga.</w:t>
      </w:r>
    </w:p>
    <w:p w:rsidR="002F17F8" w:rsidRPr="00455E72" w:rsidRDefault="002F17F8" w:rsidP="00455E72">
      <w:pPr>
        <w:spacing w:line="276" w:lineRule="auto"/>
        <w:jc w:val="both"/>
        <w:rPr>
          <w:rFonts w:cstheme="minorHAnsi"/>
          <w:b/>
          <w:bCs/>
          <w:sz w:val="19"/>
          <w:szCs w:val="19"/>
        </w:rPr>
      </w:pPr>
    </w:p>
    <w:p w:rsidR="00647C64"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7</w:t>
      </w:r>
    </w:p>
    <w:p w:rsidR="00596053"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 xml:space="preserve">AD poz. 7: Czy Zamawiający dopuści pakiet jednokrotnego użytku typu </w:t>
      </w:r>
      <w:proofErr w:type="spellStart"/>
      <w:r w:rsidRPr="00455E72">
        <w:rPr>
          <w:rFonts w:cstheme="minorHAnsi"/>
          <w:sz w:val="19"/>
          <w:szCs w:val="19"/>
        </w:rPr>
        <w:t>Bowie</w:t>
      </w:r>
      <w:proofErr w:type="spellEnd"/>
      <w:r w:rsidRPr="00455E72">
        <w:rPr>
          <w:rFonts w:cstheme="minorHAnsi"/>
          <w:sz w:val="19"/>
          <w:szCs w:val="19"/>
        </w:rPr>
        <w:t>-Dick, stymulujący pakiet porowaty, nowej technologii z dodatkowym osobnym arkuszem wczesnego ostrzegania, wykrywającym nieprawidłowości wyniku arkusza testowego. Bez zawartości ołowiu. Arkusze testowy i wczesnego ostrzegania zapewniające łatwą i jednoznaczną interpretację wyniku. Zmiana koloru z niebieskiego na różowy. Spełniający normę PN-EN 867. W opakowaniu jednostkowym maksymalnie 10 sztuk?</w:t>
      </w:r>
    </w:p>
    <w:p w:rsidR="002F17F8" w:rsidRPr="00455E72" w:rsidRDefault="00596053" w:rsidP="00455E72">
      <w:pPr>
        <w:spacing w:line="276" w:lineRule="auto"/>
        <w:jc w:val="both"/>
        <w:rPr>
          <w:rFonts w:cstheme="minorHAnsi"/>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dopuszcza proponowane rozwiązanie, ale nie wymaga.</w:t>
      </w:r>
    </w:p>
    <w:p w:rsidR="00647C64" w:rsidRPr="00455E72" w:rsidRDefault="00647C64" w:rsidP="00455E72">
      <w:pPr>
        <w:spacing w:line="276" w:lineRule="auto"/>
        <w:contextualSpacing/>
        <w:jc w:val="both"/>
        <w:rPr>
          <w:rFonts w:cstheme="minorHAnsi"/>
          <w:b/>
          <w:sz w:val="19"/>
          <w:szCs w:val="19"/>
        </w:rPr>
      </w:pPr>
      <w:r w:rsidRPr="00455E72">
        <w:rPr>
          <w:rFonts w:cstheme="minorHAnsi"/>
          <w:b/>
          <w:sz w:val="19"/>
          <w:szCs w:val="19"/>
          <w:highlight w:val="cyan"/>
        </w:rPr>
        <w:t>PYTANIE 8</w:t>
      </w:r>
    </w:p>
    <w:p w:rsidR="00596053"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 xml:space="preserve"> AD poz. 8: Czy Zmawiający dopuści wskaźniki biologiczne o szybkim odczycie do 20 min inkubacji z możliwością wykonania odczytu sprawdzającego w czasie 24 godzin. Test zgodny z normą ISO 11138-1 , wraz z odstawą na czas trwania umowy dostawca zobowiązuje się do użyczenia inkubatorów 2 zakresowych obsługujących wskaźniki parowe, plazmowe. Inkubator wyposażony w drukarkę oraz czytelny kolorowy wyświetlacz o przekątnej 6”?</w:t>
      </w:r>
    </w:p>
    <w:p w:rsidR="00F166C5" w:rsidRPr="00455E72" w:rsidRDefault="00596053" w:rsidP="00455E72">
      <w:pPr>
        <w:spacing w:line="276" w:lineRule="auto"/>
        <w:jc w:val="both"/>
        <w:rPr>
          <w:rFonts w:cstheme="minorHAnsi"/>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dopuszcza proponowane rozwiązanie, z zachowaniem cech przedmiotu opisanego w SWZ tj. zaoferowanie wskaźnika posiadającego zewnętrzny system kruszenia ampułki.</w:t>
      </w:r>
    </w:p>
    <w:p w:rsidR="002F17F8" w:rsidRPr="00455E72" w:rsidRDefault="002F17F8" w:rsidP="00455E72">
      <w:pPr>
        <w:spacing w:line="276" w:lineRule="auto"/>
        <w:jc w:val="both"/>
        <w:rPr>
          <w:rFonts w:cstheme="minorHAnsi"/>
          <w:b/>
          <w:bCs/>
          <w:sz w:val="19"/>
          <w:szCs w:val="19"/>
        </w:rPr>
      </w:pPr>
    </w:p>
    <w:p w:rsidR="00647C64" w:rsidRPr="00455E72" w:rsidRDefault="00F166C5" w:rsidP="00455E72">
      <w:pPr>
        <w:spacing w:line="276" w:lineRule="auto"/>
        <w:contextualSpacing/>
        <w:jc w:val="both"/>
        <w:rPr>
          <w:rFonts w:cstheme="minorHAnsi"/>
          <w:b/>
          <w:sz w:val="19"/>
          <w:szCs w:val="19"/>
        </w:rPr>
      </w:pPr>
      <w:r w:rsidRPr="00455E72">
        <w:rPr>
          <w:rFonts w:cstheme="minorHAnsi"/>
          <w:b/>
          <w:sz w:val="19"/>
          <w:szCs w:val="19"/>
          <w:highlight w:val="cyan"/>
        </w:rPr>
        <w:lastRenderedPageBreak/>
        <w:t>PYTANIE 9</w:t>
      </w:r>
    </w:p>
    <w:p w:rsidR="00596053" w:rsidRPr="00455E72" w:rsidRDefault="00647C64" w:rsidP="00455E72">
      <w:pPr>
        <w:spacing w:line="276" w:lineRule="auto"/>
        <w:rPr>
          <w:rFonts w:cstheme="minorHAnsi"/>
          <w:b/>
          <w:sz w:val="19"/>
          <w:szCs w:val="19"/>
        </w:rPr>
      </w:pPr>
      <w:r w:rsidRPr="00455E72">
        <w:rPr>
          <w:rFonts w:cstheme="minorHAnsi"/>
          <w:b/>
          <w:sz w:val="19"/>
          <w:szCs w:val="19"/>
        </w:rPr>
        <w:t>Dotyczy Zadania nr 1:</w:t>
      </w:r>
    </w:p>
    <w:p w:rsidR="001416E6" w:rsidRPr="00455E72" w:rsidRDefault="001416E6" w:rsidP="00455E72">
      <w:pPr>
        <w:spacing w:line="276" w:lineRule="auto"/>
        <w:jc w:val="both"/>
        <w:rPr>
          <w:rFonts w:cstheme="minorHAnsi"/>
          <w:sz w:val="19"/>
          <w:szCs w:val="19"/>
        </w:rPr>
      </w:pPr>
      <w:r w:rsidRPr="00455E72">
        <w:rPr>
          <w:rFonts w:cstheme="minorHAnsi"/>
          <w:sz w:val="19"/>
          <w:szCs w:val="19"/>
        </w:rPr>
        <w:t>AD poz. 9 oraz 10: Czy Zamawiający dopuści wieloparametrowy wskaźnik chemiczny, typ 4, do sterylizacji nadtlenkiem wodoru. Substancja wskaźnikowa w okienku odczytu podzielonym na dwa pola akceptacji (wynik nieprawidłowy/ prawidłowy), zmieniająca kolor . z fioletowego na różowy. Technologia odczytu umożliwiająca kontrolę penetracji nadtlenku wodoru przez pola odczytu. W opakowaniu jednostkowym 400 sztuk?</w:t>
      </w:r>
    </w:p>
    <w:p w:rsidR="00596053" w:rsidRPr="00455E72" w:rsidRDefault="00596053" w:rsidP="00455E72">
      <w:pPr>
        <w:spacing w:line="276" w:lineRule="auto"/>
        <w:jc w:val="both"/>
        <w:rPr>
          <w:rFonts w:cstheme="minorHAnsi"/>
          <w:sz w:val="19"/>
          <w:szCs w:val="19"/>
        </w:rPr>
      </w:pPr>
      <w:r w:rsidRPr="00455E72">
        <w:rPr>
          <w:rFonts w:cstheme="minorHAnsi"/>
          <w:b/>
          <w:bCs/>
          <w:sz w:val="19"/>
          <w:szCs w:val="19"/>
        </w:rPr>
        <w:t>ODPOWIEDŹ:</w:t>
      </w:r>
      <w:r w:rsidR="00F166C5" w:rsidRPr="00455E72">
        <w:rPr>
          <w:rFonts w:cstheme="minorHAnsi"/>
          <w:b/>
          <w:bCs/>
          <w:sz w:val="19"/>
          <w:szCs w:val="19"/>
        </w:rPr>
        <w:t xml:space="preserve"> </w:t>
      </w:r>
      <w:r w:rsidR="00F166C5" w:rsidRPr="00455E72">
        <w:rPr>
          <w:rFonts w:cstheme="minorHAnsi"/>
          <w:bCs/>
          <w:sz w:val="19"/>
          <w:szCs w:val="19"/>
        </w:rPr>
        <w:t>Zamawiający dopuszcza proponowane rozwiązanie, z zachowaniem cech przedmiotu opisanego w SWZ tj. zaoferowanie wskaźnika wypełni kompatybilnego ze sterylizatorem plazmowym STERRAD 100NX będącego na wyposażeniu zamawiającego.</w:t>
      </w:r>
    </w:p>
    <w:p w:rsidR="001416E6" w:rsidRPr="00455E72" w:rsidRDefault="001416E6" w:rsidP="00455E72">
      <w:pPr>
        <w:pStyle w:val="Akapitzlist"/>
        <w:spacing w:line="276" w:lineRule="auto"/>
        <w:ind w:left="0"/>
        <w:contextualSpacing/>
        <w:jc w:val="both"/>
        <w:rPr>
          <w:rFonts w:asciiTheme="minorHAnsi" w:hAnsiTheme="minorHAnsi" w:cstheme="minorHAnsi"/>
          <w:sz w:val="19"/>
          <w:szCs w:val="19"/>
        </w:rPr>
      </w:pPr>
    </w:p>
    <w:p w:rsidR="001416E6" w:rsidRPr="00455E72" w:rsidRDefault="00F166C5" w:rsidP="00455E72">
      <w:pPr>
        <w:pStyle w:val="Akapitzlist"/>
        <w:spacing w:line="276" w:lineRule="auto"/>
        <w:ind w:left="0"/>
        <w:contextualSpacing/>
        <w:jc w:val="both"/>
        <w:rPr>
          <w:rFonts w:asciiTheme="minorHAnsi" w:hAnsiTheme="minorHAnsi" w:cstheme="minorHAnsi"/>
          <w:b/>
          <w:bCs/>
          <w:sz w:val="19"/>
          <w:szCs w:val="19"/>
        </w:rPr>
      </w:pPr>
      <w:r w:rsidRPr="00455E72">
        <w:rPr>
          <w:rFonts w:asciiTheme="minorHAnsi" w:hAnsiTheme="minorHAnsi" w:cstheme="minorHAnsi"/>
          <w:b/>
          <w:bCs/>
          <w:sz w:val="19"/>
          <w:szCs w:val="19"/>
          <w:highlight w:val="cyan"/>
        </w:rPr>
        <w:t>PYTANIE 10</w:t>
      </w:r>
      <w:r w:rsidRPr="00455E72">
        <w:rPr>
          <w:rFonts w:asciiTheme="minorHAnsi" w:hAnsiTheme="minorHAnsi" w:cstheme="minorHAnsi"/>
          <w:b/>
          <w:bCs/>
          <w:sz w:val="19"/>
          <w:szCs w:val="19"/>
        </w:rPr>
        <w:t xml:space="preserve">  </w:t>
      </w:r>
      <w:r w:rsidR="001416E6" w:rsidRPr="00455E72">
        <w:rPr>
          <w:rFonts w:asciiTheme="minorHAnsi" w:hAnsiTheme="minorHAnsi" w:cstheme="minorHAnsi"/>
          <w:b/>
          <w:bCs/>
          <w:sz w:val="19"/>
          <w:szCs w:val="19"/>
        </w:rPr>
        <w:t>Dotyczy projektu umowy:</w:t>
      </w:r>
    </w:p>
    <w:p w:rsidR="001416E6" w:rsidRPr="00455E72" w:rsidRDefault="001416E6" w:rsidP="00455E72">
      <w:pPr>
        <w:pStyle w:val="Akapitzlist"/>
        <w:spacing w:line="276" w:lineRule="auto"/>
        <w:ind w:left="0"/>
        <w:contextualSpacing/>
        <w:jc w:val="both"/>
        <w:rPr>
          <w:rFonts w:asciiTheme="minorHAnsi" w:hAnsiTheme="minorHAnsi" w:cstheme="minorHAnsi"/>
          <w:sz w:val="19"/>
          <w:szCs w:val="19"/>
        </w:rPr>
      </w:pPr>
      <w:r w:rsidRPr="00455E72">
        <w:rPr>
          <w:rFonts w:asciiTheme="minorHAnsi" w:hAnsiTheme="minorHAnsi" w:cstheme="minorHAnsi"/>
          <w:sz w:val="19"/>
          <w:szCs w:val="19"/>
        </w:rPr>
        <w:t>Czy Zamawiający zmieni § 11 ust. 1 nadając mu treść:</w:t>
      </w:r>
    </w:p>
    <w:p w:rsidR="001416E6" w:rsidRPr="00455E72" w:rsidRDefault="001416E6" w:rsidP="00455E72">
      <w:pPr>
        <w:pStyle w:val="Akapitzlist"/>
        <w:spacing w:line="276" w:lineRule="auto"/>
        <w:ind w:left="0"/>
        <w:contextualSpacing/>
        <w:jc w:val="both"/>
        <w:rPr>
          <w:rFonts w:asciiTheme="minorHAnsi" w:hAnsiTheme="minorHAnsi" w:cstheme="minorHAnsi"/>
          <w:sz w:val="19"/>
          <w:szCs w:val="19"/>
        </w:rPr>
      </w:pPr>
      <w:r w:rsidRPr="00455E72">
        <w:rPr>
          <w:rFonts w:asciiTheme="minorHAnsi" w:hAnsiTheme="minorHAnsi" w:cstheme="minorHAnsi"/>
          <w:sz w:val="19"/>
          <w:szCs w:val="19"/>
        </w:rPr>
        <w:t>1. W razie niewykonania lub nienależytego wykonania przedmiotu umowy Wykonawca zobowiązany jest zapłacić Zamawiającemu kary umowne:</w:t>
      </w:r>
    </w:p>
    <w:p w:rsidR="001416E6" w:rsidRPr="00455E72" w:rsidRDefault="001416E6" w:rsidP="00455E72">
      <w:pPr>
        <w:pStyle w:val="Akapitzlist"/>
        <w:spacing w:line="276" w:lineRule="auto"/>
        <w:ind w:left="0"/>
        <w:contextualSpacing/>
        <w:jc w:val="both"/>
        <w:rPr>
          <w:rFonts w:asciiTheme="minorHAnsi" w:hAnsiTheme="minorHAnsi" w:cstheme="minorHAnsi"/>
          <w:sz w:val="19"/>
          <w:szCs w:val="19"/>
        </w:rPr>
      </w:pPr>
      <w:r w:rsidRPr="00455E72">
        <w:rPr>
          <w:rFonts w:asciiTheme="minorHAnsi" w:hAnsiTheme="minorHAnsi" w:cstheme="minorHAnsi"/>
          <w:sz w:val="19"/>
          <w:szCs w:val="19"/>
        </w:rPr>
        <w:t>a) w wysokości 10% wartości brutto nie zrealizowanej części przedmiotu umowy, określonej w § 5 ust. 1 w przypadku odstąpienia przez Zamawiającego od umowy, bądź rozwiązania przez Zamawiającego umowy w drodze wypowiedzenia z przyczyn leżących po stronie Wykonawcy;</w:t>
      </w:r>
    </w:p>
    <w:p w:rsidR="001416E6" w:rsidRPr="00455E72" w:rsidRDefault="001416E6" w:rsidP="00455E72">
      <w:pPr>
        <w:pStyle w:val="Akapitzlist"/>
        <w:spacing w:line="276" w:lineRule="auto"/>
        <w:ind w:left="0"/>
        <w:contextualSpacing/>
        <w:jc w:val="both"/>
        <w:rPr>
          <w:rFonts w:asciiTheme="minorHAnsi" w:hAnsiTheme="minorHAnsi" w:cstheme="minorHAnsi"/>
          <w:sz w:val="19"/>
          <w:szCs w:val="19"/>
        </w:rPr>
      </w:pPr>
      <w:r w:rsidRPr="00455E72">
        <w:rPr>
          <w:rFonts w:asciiTheme="minorHAnsi" w:hAnsiTheme="minorHAnsi" w:cstheme="minorHAnsi"/>
          <w:sz w:val="19"/>
          <w:szCs w:val="19"/>
        </w:rPr>
        <w:t>b) w wysokości 0,5% wartości zamówionej bądź reklamowanej partii wyrobów za każdy dzień zwłoki w ich dostarczeniu?</w:t>
      </w:r>
    </w:p>
    <w:p w:rsidR="001416E6" w:rsidRPr="00455E72" w:rsidRDefault="001416E6" w:rsidP="00455E72">
      <w:pPr>
        <w:pStyle w:val="Akapitzlist"/>
        <w:spacing w:line="276" w:lineRule="auto"/>
        <w:ind w:left="0"/>
        <w:contextualSpacing/>
        <w:jc w:val="both"/>
        <w:rPr>
          <w:rFonts w:asciiTheme="minorHAnsi" w:hAnsiTheme="minorHAnsi" w:cstheme="minorHAnsi"/>
          <w:sz w:val="19"/>
          <w:szCs w:val="19"/>
        </w:rPr>
      </w:pPr>
    </w:p>
    <w:p w:rsidR="00596053" w:rsidRPr="00455E72" w:rsidRDefault="00596053" w:rsidP="00455E72">
      <w:pPr>
        <w:spacing w:line="276" w:lineRule="auto"/>
        <w:jc w:val="both"/>
        <w:rPr>
          <w:rFonts w:cstheme="minorHAnsi"/>
          <w:b/>
          <w:bCs/>
          <w:sz w:val="19"/>
          <w:szCs w:val="19"/>
        </w:rPr>
      </w:pPr>
      <w:r w:rsidRPr="00455E72">
        <w:rPr>
          <w:rFonts w:cstheme="minorHAnsi"/>
          <w:b/>
          <w:bCs/>
          <w:sz w:val="19"/>
          <w:szCs w:val="19"/>
        </w:rPr>
        <w:t>ODPOWIEDŹ:</w:t>
      </w:r>
      <w:r w:rsidR="00AB625C" w:rsidRPr="00455E72">
        <w:rPr>
          <w:rFonts w:cstheme="minorHAnsi"/>
          <w:b/>
          <w:bCs/>
          <w:sz w:val="19"/>
          <w:szCs w:val="19"/>
        </w:rPr>
        <w:t xml:space="preserve"> </w:t>
      </w:r>
      <w:r w:rsidR="00AB625C" w:rsidRPr="00455E72">
        <w:rPr>
          <w:rFonts w:cstheme="minorHAnsi"/>
          <w:bCs/>
          <w:sz w:val="19"/>
          <w:szCs w:val="19"/>
        </w:rPr>
        <w:t>Zamawiający nie wyraża zgody</w:t>
      </w:r>
      <w:r w:rsidR="00AB625C" w:rsidRPr="00455E72">
        <w:rPr>
          <w:rFonts w:cstheme="minorHAnsi"/>
          <w:b/>
          <w:bCs/>
          <w:sz w:val="19"/>
          <w:szCs w:val="19"/>
        </w:rPr>
        <w:t xml:space="preserve"> </w:t>
      </w:r>
      <w:r w:rsidR="00AB625C" w:rsidRPr="00455E72">
        <w:rPr>
          <w:rFonts w:cstheme="minorHAnsi"/>
          <w:bCs/>
          <w:sz w:val="19"/>
          <w:szCs w:val="19"/>
        </w:rPr>
        <w:t>na zaprop</w:t>
      </w:r>
      <w:r w:rsidR="00863EEE" w:rsidRPr="00455E72">
        <w:rPr>
          <w:rFonts w:cstheme="minorHAnsi"/>
          <w:bCs/>
          <w:sz w:val="19"/>
          <w:szCs w:val="19"/>
        </w:rPr>
        <w:t>onowane zmiany w projektowanych postanowieniach umowy.</w:t>
      </w:r>
    </w:p>
    <w:p w:rsidR="001416E6" w:rsidRPr="00455E72" w:rsidRDefault="001416E6" w:rsidP="00455E72">
      <w:pPr>
        <w:spacing w:line="276" w:lineRule="auto"/>
        <w:jc w:val="both"/>
        <w:rPr>
          <w:rFonts w:cstheme="minorHAnsi"/>
          <w:b/>
          <w:bCs/>
          <w:sz w:val="19"/>
          <w:szCs w:val="19"/>
        </w:rPr>
      </w:pPr>
    </w:p>
    <w:p w:rsidR="00D95A7E" w:rsidRPr="00455E72" w:rsidRDefault="00D95A7E" w:rsidP="00455E72">
      <w:pPr>
        <w:widowControl w:val="0"/>
        <w:spacing w:line="276" w:lineRule="auto"/>
        <w:jc w:val="both"/>
        <w:rPr>
          <w:rFonts w:cstheme="minorHAnsi"/>
          <w:sz w:val="19"/>
          <w:szCs w:val="19"/>
        </w:rPr>
      </w:pPr>
    </w:p>
    <w:p w:rsidR="0098153E" w:rsidRPr="00455E72" w:rsidRDefault="00D95A7E" w:rsidP="00455E72">
      <w:pPr>
        <w:widowControl w:val="0"/>
        <w:spacing w:line="276" w:lineRule="auto"/>
        <w:jc w:val="both"/>
        <w:rPr>
          <w:rFonts w:cstheme="minorHAnsi"/>
          <w:sz w:val="19"/>
          <w:szCs w:val="19"/>
        </w:rPr>
      </w:pPr>
      <w:r w:rsidRPr="00455E72">
        <w:rPr>
          <w:rFonts w:cstheme="minorHAnsi"/>
          <w:sz w:val="19"/>
          <w:szCs w:val="19"/>
        </w:rPr>
        <w:t xml:space="preserve">                                                                                                                          </w:t>
      </w:r>
      <w:r w:rsidR="0098153E" w:rsidRPr="00455E72">
        <w:rPr>
          <w:rFonts w:cstheme="minorHAnsi"/>
          <w:sz w:val="19"/>
          <w:szCs w:val="19"/>
        </w:rPr>
        <w:t>Z poważaniem</w:t>
      </w:r>
    </w:p>
    <w:p w:rsidR="0098153E" w:rsidRPr="00455E72" w:rsidRDefault="0098153E" w:rsidP="0064606D">
      <w:pPr>
        <w:widowControl w:val="0"/>
        <w:spacing w:line="276" w:lineRule="auto"/>
        <w:ind w:left="4956"/>
        <w:jc w:val="both"/>
        <w:rPr>
          <w:rFonts w:cstheme="minorHAnsi"/>
          <w:b/>
          <w:sz w:val="19"/>
          <w:szCs w:val="19"/>
        </w:rPr>
      </w:pPr>
      <w:r w:rsidRPr="00455E72">
        <w:rPr>
          <w:rFonts w:cstheme="minorHAnsi"/>
          <w:sz w:val="19"/>
          <w:szCs w:val="19"/>
        </w:rPr>
        <w:t xml:space="preserve">  </w:t>
      </w:r>
      <w:r w:rsidR="0050324A" w:rsidRPr="00455E72">
        <w:rPr>
          <w:rFonts w:cstheme="minorHAnsi"/>
          <w:b/>
          <w:sz w:val="19"/>
          <w:szCs w:val="19"/>
        </w:rPr>
        <w:t>Dyrektor USK</w:t>
      </w:r>
      <w:r w:rsidR="0064606D">
        <w:rPr>
          <w:rFonts w:cstheme="minorHAnsi"/>
          <w:b/>
          <w:sz w:val="19"/>
          <w:szCs w:val="19"/>
        </w:rPr>
        <w:t xml:space="preserve"> nr 2 PUM</w:t>
      </w:r>
      <w:r w:rsidR="009C3D29" w:rsidRPr="00455E72">
        <w:rPr>
          <w:rFonts w:cstheme="minorHAnsi"/>
          <w:b/>
          <w:sz w:val="19"/>
          <w:szCs w:val="19"/>
        </w:rPr>
        <w:t xml:space="preserve"> w Szczecinie</w:t>
      </w:r>
    </w:p>
    <w:p w:rsidR="0098153E" w:rsidRPr="00455E72" w:rsidRDefault="0098153E" w:rsidP="00455E72">
      <w:pPr>
        <w:widowControl w:val="0"/>
        <w:spacing w:line="276" w:lineRule="auto"/>
        <w:jc w:val="both"/>
        <w:rPr>
          <w:rFonts w:cstheme="minorHAnsi"/>
          <w:sz w:val="19"/>
          <w:szCs w:val="19"/>
        </w:rPr>
      </w:pPr>
      <w:r w:rsidRPr="00455E72">
        <w:rPr>
          <w:rFonts w:cstheme="minorHAnsi"/>
          <w:sz w:val="19"/>
          <w:szCs w:val="19"/>
        </w:rPr>
        <w:t xml:space="preserve">     </w:t>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r>
      <w:r w:rsidRPr="00455E72">
        <w:rPr>
          <w:rFonts w:cstheme="minorHAnsi"/>
          <w:sz w:val="19"/>
          <w:szCs w:val="19"/>
        </w:rPr>
        <w:tab/>
        <w:t xml:space="preserve">         </w:t>
      </w:r>
    </w:p>
    <w:p w:rsidR="0098153E" w:rsidRPr="00455E72" w:rsidRDefault="0098153E"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bookmarkStart w:id="2" w:name="_GoBack"/>
      <w:bookmarkEnd w:id="2"/>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516A87" w:rsidRPr="00455E72" w:rsidRDefault="00516A87" w:rsidP="00455E72">
      <w:pPr>
        <w:widowControl w:val="0"/>
        <w:spacing w:line="276" w:lineRule="auto"/>
        <w:jc w:val="both"/>
        <w:rPr>
          <w:rFonts w:cstheme="minorHAnsi"/>
          <w:sz w:val="19"/>
          <w:szCs w:val="19"/>
        </w:rPr>
      </w:pPr>
    </w:p>
    <w:p w:rsidR="000C7EF7" w:rsidRPr="00455E72" w:rsidRDefault="00296E3E" w:rsidP="00455E72">
      <w:pPr>
        <w:widowControl w:val="0"/>
        <w:spacing w:line="240" w:lineRule="auto"/>
        <w:jc w:val="both"/>
        <w:rPr>
          <w:rFonts w:cstheme="minorHAnsi"/>
          <w:sz w:val="18"/>
          <w:szCs w:val="18"/>
        </w:rPr>
      </w:pPr>
      <w:r w:rsidRPr="00455E72">
        <w:rPr>
          <w:rFonts w:cstheme="minorHAnsi"/>
          <w:sz w:val="18"/>
          <w:szCs w:val="18"/>
        </w:rPr>
        <w:t xml:space="preserve">Sprawę prowadzi </w:t>
      </w:r>
      <w:r w:rsidR="000C7EF7" w:rsidRPr="00455E72">
        <w:rPr>
          <w:rFonts w:cstheme="minorHAnsi"/>
          <w:sz w:val="18"/>
          <w:szCs w:val="18"/>
        </w:rPr>
        <w:t xml:space="preserve"> </w:t>
      </w:r>
      <w:r w:rsidR="00455E72" w:rsidRPr="00455E72">
        <w:rPr>
          <w:rFonts w:cstheme="minorHAnsi"/>
          <w:sz w:val="18"/>
          <w:szCs w:val="18"/>
        </w:rPr>
        <w:t>:</w:t>
      </w:r>
      <w:r w:rsidR="000C7EF7" w:rsidRPr="00455E72">
        <w:rPr>
          <w:rFonts w:cstheme="minorHAnsi"/>
          <w:sz w:val="18"/>
          <w:szCs w:val="18"/>
        </w:rPr>
        <w:t>Anna Skrzypiec, tel. 91-466-1113</w:t>
      </w:r>
    </w:p>
    <w:p w:rsidR="0050324A" w:rsidRPr="00455E72" w:rsidRDefault="0050324A" w:rsidP="00455E72">
      <w:pPr>
        <w:widowControl w:val="0"/>
        <w:spacing w:line="240" w:lineRule="auto"/>
        <w:jc w:val="both"/>
        <w:rPr>
          <w:rFonts w:cstheme="minorHAnsi"/>
          <w:sz w:val="18"/>
          <w:szCs w:val="18"/>
        </w:rPr>
      </w:pPr>
      <w:r w:rsidRPr="00455E72">
        <w:rPr>
          <w:rFonts w:cstheme="minorHAnsi"/>
          <w:sz w:val="18"/>
          <w:szCs w:val="18"/>
        </w:rPr>
        <w:t>a.skrzypiec@usk2.szczecin.pl</w:t>
      </w: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50324A"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455E72">
      <w:rPr>
        <w:rFonts w:cstheme="minorHAnsi"/>
      </w:rPr>
      <w:t xml:space="preserve">Szczecin, </w:t>
    </w:r>
    <w:bookmarkEnd w:id="0"/>
    <w:r w:rsidR="00455E72" w:rsidRPr="00455E72">
      <w:rPr>
        <w:rFonts w:cstheme="minorHAnsi"/>
      </w:rPr>
      <w:t>21.02.2024r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7"/>
  </w:num>
  <w:num w:numId="6">
    <w:abstractNumId w:val="10"/>
  </w:num>
  <w:num w:numId="7">
    <w:abstractNumId w:val="1"/>
  </w:num>
  <w:num w:numId="8">
    <w:abstractNumId w:val="8"/>
  </w:num>
  <w:num w:numId="9">
    <w:abstractNumId w:val="6"/>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6485E"/>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16E6"/>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C1B1D"/>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96E3E"/>
    <w:rsid w:val="002A2FFF"/>
    <w:rsid w:val="002A6428"/>
    <w:rsid w:val="002B27E7"/>
    <w:rsid w:val="002B629F"/>
    <w:rsid w:val="002D134E"/>
    <w:rsid w:val="002D1CCD"/>
    <w:rsid w:val="002D3728"/>
    <w:rsid w:val="002D4184"/>
    <w:rsid w:val="002D6FA8"/>
    <w:rsid w:val="002F17F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2518C"/>
    <w:rsid w:val="00431AA2"/>
    <w:rsid w:val="0043584D"/>
    <w:rsid w:val="00444C5C"/>
    <w:rsid w:val="004503FB"/>
    <w:rsid w:val="004546F9"/>
    <w:rsid w:val="00455E72"/>
    <w:rsid w:val="004601DD"/>
    <w:rsid w:val="004640AA"/>
    <w:rsid w:val="00483ED3"/>
    <w:rsid w:val="0049442F"/>
    <w:rsid w:val="0049795C"/>
    <w:rsid w:val="004A3D3E"/>
    <w:rsid w:val="004A5C69"/>
    <w:rsid w:val="004B46ED"/>
    <w:rsid w:val="004B4891"/>
    <w:rsid w:val="004B5D8B"/>
    <w:rsid w:val="004C68C0"/>
    <w:rsid w:val="004C6EA0"/>
    <w:rsid w:val="004E3913"/>
    <w:rsid w:val="0050324A"/>
    <w:rsid w:val="00510338"/>
    <w:rsid w:val="005169AC"/>
    <w:rsid w:val="00516A87"/>
    <w:rsid w:val="00547609"/>
    <w:rsid w:val="0055259A"/>
    <w:rsid w:val="0055743D"/>
    <w:rsid w:val="00563CBE"/>
    <w:rsid w:val="005648A4"/>
    <w:rsid w:val="005652AB"/>
    <w:rsid w:val="00577ADC"/>
    <w:rsid w:val="00582213"/>
    <w:rsid w:val="00584B2B"/>
    <w:rsid w:val="00586AF3"/>
    <w:rsid w:val="0059532E"/>
    <w:rsid w:val="00596053"/>
    <w:rsid w:val="005A0B65"/>
    <w:rsid w:val="005B188D"/>
    <w:rsid w:val="005D1BC9"/>
    <w:rsid w:val="006119FF"/>
    <w:rsid w:val="006143A1"/>
    <w:rsid w:val="00622EF3"/>
    <w:rsid w:val="00630EEF"/>
    <w:rsid w:val="00637424"/>
    <w:rsid w:val="00641A12"/>
    <w:rsid w:val="0064606D"/>
    <w:rsid w:val="00647C6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63EEE"/>
    <w:rsid w:val="0087056A"/>
    <w:rsid w:val="00876B37"/>
    <w:rsid w:val="00881491"/>
    <w:rsid w:val="00883CDE"/>
    <w:rsid w:val="008B2FD1"/>
    <w:rsid w:val="008D505D"/>
    <w:rsid w:val="008F33DB"/>
    <w:rsid w:val="008F7C29"/>
    <w:rsid w:val="00922FC8"/>
    <w:rsid w:val="00931547"/>
    <w:rsid w:val="009462B5"/>
    <w:rsid w:val="0095368C"/>
    <w:rsid w:val="00955857"/>
    <w:rsid w:val="00956BE7"/>
    <w:rsid w:val="00956DEF"/>
    <w:rsid w:val="00962800"/>
    <w:rsid w:val="00964DE6"/>
    <w:rsid w:val="0098153E"/>
    <w:rsid w:val="00982738"/>
    <w:rsid w:val="009827E7"/>
    <w:rsid w:val="00986917"/>
    <w:rsid w:val="009A51C8"/>
    <w:rsid w:val="009B13C4"/>
    <w:rsid w:val="009B7F15"/>
    <w:rsid w:val="009C3D29"/>
    <w:rsid w:val="009D0545"/>
    <w:rsid w:val="009D0FB3"/>
    <w:rsid w:val="009E1723"/>
    <w:rsid w:val="009E5466"/>
    <w:rsid w:val="00A06E21"/>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2D0B"/>
    <w:rsid w:val="00AB3F2C"/>
    <w:rsid w:val="00AB625C"/>
    <w:rsid w:val="00AC785C"/>
    <w:rsid w:val="00AF46AF"/>
    <w:rsid w:val="00AF63EA"/>
    <w:rsid w:val="00B0080F"/>
    <w:rsid w:val="00B061AA"/>
    <w:rsid w:val="00B06C25"/>
    <w:rsid w:val="00B104CB"/>
    <w:rsid w:val="00B1552C"/>
    <w:rsid w:val="00B20EBC"/>
    <w:rsid w:val="00B30A39"/>
    <w:rsid w:val="00B31215"/>
    <w:rsid w:val="00B36766"/>
    <w:rsid w:val="00B41404"/>
    <w:rsid w:val="00B53385"/>
    <w:rsid w:val="00B5430B"/>
    <w:rsid w:val="00B561DD"/>
    <w:rsid w:val="00B64545"/>
    <w:rsid w:val="00B76106"/>
    <w:rsid w:val="00B845DE"/>
    <w:rsid w:val="00BA70A7"/>
    <w:rsid w:val="00BB2847"/>
    <w:rsid w:val="00BB588A"/>
    <w:rsid w:val="00C02A8F"/>
    <w:rsid w:val="00C11FEE"/>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276B8"/>
    <w:rsid w:val="00D410F9"/>
    <w:rsid w:val="00D45D92"/>
    <w:rsid w:val="00D52FED"/>
    <w:rsid w:val="00D568FF"/>
    <w:rsid w:val="00D64946"/>
    <w:rsid w:val="00D65ADC"/>
    <w:rsid w:val="00D73922"/>
    <w:rsid w:val="00D8247E"/>
    <w:rsid w:val="00D83501"/>
    <w:rsid w:val="00D86DD0"/>
    <w:rsid w:val="00D95A7E"/>
    <w:rsid w:val="00DA6B1D"/>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47C4"/>
    <w:rsid w:val="00EF7B72"/>
    <w:rsid w:val="00F079CB"/>
    <w:rsid w:val="00F1259A"/>
    <w:rsid w:val="00F14D0F"/>
    <w:rsid w:val="00F166C5"/>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A829-EF1A-48D7-8E04-BEDC3220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938</Words>
  <Characters>5630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31</cp:revision>
  <cp:lastPrinted>2023-11-09T12:06:00Z</cp:lastPrinted>
  <dcterms:created xsi:type="dcterms:W3CDTF">2023-11-07T10:27:00Z</dcterms:created>
  <dcterms:modified xsi:type="dcterms:W3CDTF">2024-02-21T07:58:00Z</dcterms:modified>
</cp:coreProperties>
</file>