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5D" w:rsidRPr="00252801" w:rsidRDefault="0078065D" w:rsidP="0078065D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252801">
        <w:rPr>
          <w:rFonts w:ascii="Arial" w:hAnsi="Arial" w:cs="Arial"/>
          <w:b/>
          <w:sz w:val="22"/>
          <w:szCs w:val="22"/>
        </w:rPr>
        <w:t xml:space="preserve">OPIS PRZEDMIOTU ZAMÓWIENIA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252801">
        <w:rPr>
          <w:rFonts w:ascii="Arial" w:hAnsi="Arial" w:cs="Arial"/>
          <w:b/>
          <w:sz w:val="22"/>
          <w:szCs w:val="22"/>
        </w:rPr>
        <w:t xml:space="preserve"> Załącznik nr 3 do SWZ</w:t>
      </w:r>
    </w:p>
    <w:p w:rsidR="0078065D" w:rsidRDefault="0078065D" w:rsidP="0078065D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78065D" w:rsidRPr="00D5258E" w:rsidRDefault="0078065D" w:rsidP="0078065D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5258E">
        <w:rPr>
          <w:rFonts w:ascii="Arial" w:hAnsi="Arial" w:cs="Arial"/>
          <w:b/>
          <w:sz w:val="22"/>
          <w:szCs w:val="22"/>
          <w:u w:val="single"/>
        </w:rPr>
        <w:t>PARAMETRY WYMAGANE</w:t>
      </w:r>
    </w:p>
    <w:p w:rsidR="0078065D" w:rsidRPr="00D5258E" w:rsidRDefault="0078065D" w:rsidP="0078065D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78065D" w:rsidRPr="00252801" w:rsidTr="00835D8D">
        <w:trPr>
          <w:trHeight w:val="54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8065D" w:rsidRPr="00252801" w:rsidRDefault="0078065D" w:rsidP="00E446D2">
            <w:pPr>
              <w:spacing w:line="312" w:lineRule="auto"/>
              <w:jc w:val="both"/>
              <w:rPr>
                <w:rFonts w:ascii="Arial" w:eastAsia="Times New Roman" w:hAnsi="Arial" w:cs="Arial"/>
                <w:b/>
              </w:rPr>
            </w:pPr>
            <w:r w:rsidRPr="00252801">
              <w:rPr>
                <w:rFonts w:ascii="Arial" w:eastAsia="Times New Roman" w:hAnsi="Arial" w:cs="Arial"/>
                <w:b/>
                <w:sz w:val="22"/>
                <w:szCs w:val="22"/>
              </w:rPr>
              <w:t>Wskazanie parametrów przedmiotu zamówienia:</w:t>
            </w:r>
          </w:p>
        </w:tc>
      </w:tr>
      <w:tr w:rsidR="0078065D" w:rsidRPr="00252801" w:rsidTr="00835D8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8065D" w:rsidRPr="00252801" w:rsidRDefault="0078065D" w:rsidP="00E446D2">
            <w:pPr>
              <w:spacing w:line="312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78065D" w:rsidRPr="00252801" w:rsidTr="00835D8D">
        <w:trPr>
          <w:trHeight w:val="367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3801"/>
              <w:gridCol w:w="2124"/>
              <w:gridCol w:w="3047"/>
            </w:tblGrid>
            <w:tr w:rsidR="0078065D" w:rsidRPr="00252801" w:rsidTr="00835D8D">
              <w:trPr>
                <w:trHeight w:val="1395"/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before="120" w:after="24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before="120" w:after="240"/>
                    <w:ind w:left="355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Opis parametru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before="120" w:after="240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Parametr/warunek  graniczny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before="120" w:after="240" w:line="276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Wartość oferowana</w:t>
                  </w:r>
                </w:p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before="120" w:after="240" w:line="276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Cs/>
                      <w:sz w:val="22"/>
                      <w:szCs w:val="22"/>
                    </w:rPr>
                    <w:t>(potwierdzić wymagania oraz podać oferowane zakresy parametrów lub opisać funkcje urządzenia)</w:t>
                  </w:r>
                </w:p>
              </w:tc>
            </w:tr>
            <w:tr w:rsidR="0078065D" w:rsidRPr="00252801" w:rsidTr="00835D8D">
              <w:trPr>
                <w:trHeight w:val="510"/>
                <w:jc w:val="center"/>
              </w:trPr>
              <w:tc>
                <w:tcPr>
                  <w:tcW w:w="833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Dostawa i montaż osłoniętego ołowiem izolatora z nawiewem laminarnym i portami wyposażonymi w rękawice do bezpiecznej pracy           z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radiofarmaceutykami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zgodnie              z wytycznymi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cGMP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  <w:p w:rsidR="008E6AF4" w:rsidRPr="00055FB1" w:rsidRDefault="008E6AF4" w:rsidP="008E6AF4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Producent</w:t>
                  </w:r>
                  <w:r w:rsid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:…….…</w:t>
                  </w:r>
                </w:p>
                <w:p w:rsidR="008E6AF4" w:rsidRPr="00252801" w:rsidRDefault="00055FB1" w:rsidP="008E6AF4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M</w:t>
                  </w:r>
                  <w:r w:rsidR="008E6AF4"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odel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:….…………</w:t>
                  </w:r>
                </w:p>
              </w:tc>
              <w:tc>
                <w:tcPr>
                  <w:tcW w:w="3083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510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Komora zapewniająca laminarny przepływ powietrza na całej powierzchni obszaru roboczego, pozwalająca na zachowanie jałowości w procesie znakowania               i dzielenia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radiofarmaceutyków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  <w:p w:rsidR="008E6AF4" w:rsidRPr="00055FB1" w:rsidRDefault="008E6AF4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Producent</w:t>
                  </w:r>
                  <w:r w:rsid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:.……….</w:t>
                  </w:r>
                </w:p>
                <w:p w:rsidR="008E6AF4" w:rsidRPr="00252801" w:rsidRDefault="00055FB1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M</w:t>
                  </w:r>
                  <w:r w:rsidR="008E6AF4"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odel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:…….……….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510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Jakość powietrza klasy A                    (w spoczynku) w roboczym przedziale głównym (zgodnie z EEC-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cGMP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08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Maksymalna szerokość zewnętrzna komory:  175 cm.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493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Minimalne wymiary obszaru roboczego komory: 135 x 55 x 60 cm (szer. x gł. x wys.).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493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Obszar blatu roboczego o wymiarach zapewniających montaż oferowanego modułu syntezy, przy zachowaniu komfortu pracy i zachowaniu funkcjonalności komory związanej z pomiarem aktywności, swobodnym wyrzucaniem odpadów, dostępem do generatorów.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49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Osłonność ścian komory: minimum 50 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(strona prawa i lewa, tył, spód, przód) i min 40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od góry.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1552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Porty rękawicowe zabezpieczone oddzielnymi drzwiczkami                            o osłonności odpowiadającej przedniej części komory min. 50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49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Drzwi zapewniające dostęp do obszaru roboczego komory wyposażone w szybę ochronną         o ekwiwalencie Pb równym osłonności komory min. 50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. Wymiary okna min. 400 x 250 mm (szer. x wys.).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49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C3628B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55FB1">
                    <w:rPr>
                      <w:rFonts w:ascii="Arial" w:eastAsia="Calibri" w:hAnsi="Arial" w:cs="Arial"/>
                      <w:sz w:val="22"/>
                      <w:szCs w:val="22"/>
                    </w:rPr>
                    <w:t>Wykończenie: obszar roboczy przedziału głównego komory wykonany z PP (polipropylenu) lub PMMA (polimetakrylanu metylowego) o grubości min. 10 mm w celu ochrony powierzchni przed korozją spowodowaną użyciem kwasów, dodatkowo zabezpieczającą ręce personelu podczas pracy z emiterami promieniowania beta. Miejsca łączeń gładkie, narożniki zaokrąglone w celu umożliwienia łatwego czyszczenia powierzchni</w:t>
                  </w:r>
                  <w:r w:rsidRPr="00055FB1">
                    <w:rPr>
                      <w:rFonts w:ascii="Arial" w:eastAsia="Calibri" w:hAnsi="Arial" w:cs="Arial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2738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Oddzielny wentylowany przedział           w dolnej części komory, zabezpieczony oddzielnymi drzwiami dostępnymi z przedniej części komory, do umieszczenia minimum dwóch dowolnych generatorów galowych dostępnych na rynku.</w:t>
                  </w:r>
                </w:p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Klasa czystości powietrza B                       (w spoczynku), obniżone ciśnienie względem komory roboczej. 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08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Osłona ścianek stanowiska na generatory: minimum 50 mm Pb. Powierzchnia zabezpieczona materiałem odpornym na korozję właściwym dla środowiska w którym występują kwasy.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1007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Automatyczna winda (system podnoszenia wybranego generatora do przestrzeni roboczej).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8065D" w:rsidRPr="00252801" w:rsidTr="00835D8D">
              <w:trPr>
                <w:trHeight w:val="493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Dodatkowa wentylowana śluza umożliwiająca podawanie lub odbiór elementów z przestrzeni roboczej, zapewniająca dostęp od przodu </w:t>
                  </w:r>
                  <w:r w:rsidRPr="0025280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komory, klasa czystości powietrza B (w spoczynku), obniżone ciśnienie w stosunku do przestrzeni roboczej, wyposażona w windę umożliwiającą dostarczenie materiałów do komory roboczej. Osłonność min. 50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8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Wydzielona wentylowana przestrzeń na odpady promieniotwórcze. Możliwość opróżnienia pojemnika poprzez oddzielne drzwi znajdujące się na przodzie komory. Osłonność przedziału min. 50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. Pojemnik na odpady o objętości min. 12 litrów wykonany z plastiku o grubości min. 10 mm. </w:t>
                  </w:r>
                </w:p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Klasa czystości powietrza B                      (w spoczynku), zapewnione podciśnienie względem przestrzeni roboczej.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735"/>
                <w:jc w:val="center"/>
              </w:trPr>
              <w:tc>
                <w:tcPr>
                  <w:tcW w:w="83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Zintegrowany miernik aktywności zamontowany wewnątrz komory              z systemem umożliwiającym automatyczne opuszczanie próbki  do komory na czas pomiaru (zgodny            z opisem poniżej).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735"/>
                <w:jc w:val="center"/>
              </w:trPr>
              <w:tc>
                <w:tcPr>
                  <w:tcW w:w="83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Przyłącza gazów technicznych                       i gniazda zasilające wewnątrz komory sterowane zaworami                      i wyłącznikami umieszczonymi                 w panelu kontrolnym na zewnątrz urządzenia.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2"/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Gniazdo 230V w wewnętrznej przestrzeni pracy komory                        – min. 2 szt.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0"/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Oświetlenie wewnętrzne komory.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4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Wszystkie powierzchnie komory gładkie bez żadnych śrub i szczelin – łatwość w czyszczeniu, wykonane               z materiałów umożliwiających czyszczenie oraz dekontaminację              w przypadku skażeń promieniotwórczych.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637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Wszystkie drzwi zabezpieczone wypełnianymi powietrzem uszczelkami zapewnianiającymi odpowiednią szczelność, mającą na celu utrzymanie właściwych klas czystości i różnic w ciśnieniach powietrza dla odpowiednich przedziałów.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637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FF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Lampa UV z wyłącznikiem czasowym.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637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System filtrujący wywiewane powietrze wyposażony we wkład HEPA i wkład z węglem aktywnym.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637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Wewnątrz komory wbudowana sonda Geigera-Mullera do monitorowania poziomu aktywności, sprzężona z systemem blokującym przypadkowe otwarcie drzwi                        w przypadku przekroczenia ustawionego progu skażenia.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637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Zewnętrzna podwójna półka dla laptopa sterującego pracą kalibratora i modułu syntezy przymocowana do komory na ruchomym ramieniu.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637"/>
                <w:jc w:val="center"/>
              </w:trPr>
              <w:tc>
                <w:tcPr>
                  <w:tcW w:w="97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Parametry bocznej komory pomocniczej</w:t>
                  </w:r>
                </w:p>
              </w:tc>
            </w:tr>
            <w:tr w:rsidR="0078065D" w:rsidRPr="00252801" w:rsidTr="00835D8D">
              <w:trPr>
                <w:trHeight w:val="637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Boczna komora dodatkowa, służąca do przygotowania materiałów dodatkowych używanych podczas produkcji (śluza podawcza), zintegrowana z komorą osłonną (fronty komór stanowiące jedną płaszczyznę, wysokości komór równe), wyposażona w otwory                z rękawicami, do przygotowania elementów w warunkach klasy B jakości powietrza (w spoczynku), nie osłonięta ołowiem.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  <w:p w:rsidR="008E6AF4" w:rsidRDefault="008E6AF4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:rsidR="008E6AF4" w:rsidRPr="00055FB1" w:rsidRDefault="008E6AF4" w:rsidP="008E6AF4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Producent</w:t>
                  </w:r>
                  <w:r w:rsid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:….…….</w:t>
                  </w:r>
                </w:p>
                <w:p w:rsidR="008E6AF4" w:rsidRPr="00252801" w:rsidRDefault="00055FB1" w:rsidP="008E6AF4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M</w:t>
                  </w:r>
                  <w:r w:rsidR="008E6AF4"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odel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:……….……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637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Wymiary obszaru roboczego bocznej komory podawczej min. 600 x 650 x 550 mm (szer. x gł. x wys.).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637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Boczny otwór podawczy do przestrzeni roboczej komory osłonnej, wyposażony w drzwi zabezpieczone w mechanizm uniemożliwiający ich otwarcie                w przypadku niedomknięcia drzwi głównych bocznej komory podawczej.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637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Maksymalna całkowita szerokość zestawu składającego się z głównej osłoniętej ołowiem komory laminarnej i bocznej komory podawczej max. 2400 mm.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055FB1">
              <w:trPr>
                <w:trHeight w:val="1403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055FB1" w:rsidRDefault="0078065D" w:rsidP="00055FB1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Maksymalny całkowity ciężar zestawu składającego się z głównej osłoniętej ołowiem komory laminarnej i bocznej komory podawczej max. 8300 kg</w:t>
                  </w:r>
                  <w:r w:rsid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  <w:p w:rsidR="0078065D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  <w:p w:rsidR="0078065D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  <w:bookmarkStart w:id="0" w:name="_GoBack"/>
                  <w:bookmarkEnd w:id="0"/>
                </w:p>
              </w:tc>
            </w:tr>
            <w:tr w:rsidR="0078065D" w:rsidRPr="00252801" w:rsidTr="00835D8D">
              <w:trPr>
                <w:trHeight w:val="412"/>
                <w:jc w:val="center"/>
              </w:trPr>
              <w:tc>
                <w:tcPr>
                  <w:tcW w:w="97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b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Parametry miernika aktywności zintegrowanego z komorą laminarną</w:t>
                  </w:r>
                </w:p>
              </w:tc>
            </w:tr>
            <w:tr w:rsidR="0078065D" w:rsidRPr="00252801" w:rsidTr="00835D8D">
              <w:trPr>
                <w:trHeight w:val="318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Miernik fabrycznie nowy.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8065D" w:rsidRPr="00252801" w:rsidTr="00835D8D">
              <w:trPr>
                <w:trHeight w:val="328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Urządzenie pomiarowe                            do określania aktywności izotopów promieniotwórczych dla diagnostyki i terapii w medycynie nuklearnej.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  <w:p w:rsidR="008E6AF4" w:rsidRPr="00055FB1" w:rsidRDefault="008E6AF4" w:rsidP="008E6AF4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Producent</w:t>
                  </w:r>
                  <w:r w:rsid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:………..</w:t>
                  </w:r>
                </w:p>
                <w:p w:rsidR="008E6AF4" w:rsidRPr="00252801" w:rsidRDefault="00055FB1" w:rsidP="008E6AF4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M</w:t>
                  </w:r>
                  <w:r w:rsidR="008E6AF4"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odel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:…………….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51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Wartości aktywności izotopów w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Bq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i Ci.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402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Liniowość detektora maksymalnie            ± 1%.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560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Minimalny zakres pomiarowy dla       Tc-99m 0,1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MBq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– 200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GBq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8065D" w:rsidRPr="00252801" w:rsidTr="00835D8D">
              <w:trPr>
                <w:trHeight w:val="560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Dokładność pomiaru 0,001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MBq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dla Tc-99m.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8065D" w:rsidRPr="00252801" w:rsidTr="00835D8D">
              <w:trPr>
                <w:trHeight w:val="560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Minimalny zakres energetyczny dla fotonów 25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keV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- 3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MeV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8065D" w:rsidRPr="00252801" w:rsidTr="00835D8D">
              <w:trPr>
                <w:trHeight w:val="599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Możliwość szybkiego wyboru izotopu do pomiaru, minimum 12 izotopów do wyboru.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8065D" w:rsidRPr="00252801" w:rsidTr="00835D8D">
              <w:trPr>
                <w:trHeight w:val="510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Możliwość archiwizacji wyników kontroli jakości oraz możliwość zgrania wyników poprzez port USB.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Osłona kolumny miernika zintegrowana z komorą o osłonności min. 50 mm Pb.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Drukarka etykiet.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97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Moduł syntezy</w:t>
                  </w: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E446D2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Moduł syntezy, fabrycznie nowy, rok produkcji 2021, pozwalający na produkcję związków znakowanych Ga68 oraz F18 (FLT oraz FET).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  <w:p w:rsidR="008E6AF4" w:rsidRPr="00055FB1" w:rsidRDefault="008E6AF4" w:rsidP="008E6AF4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Producent</w:t>
                  </w:r>
                  <w:r w:rsid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:…….….</w:t>
                  </w:r>
                </w:p>
                <w:p w:rsidR="008E6AF4" w:rsidRPr="00252801" w:rsidRDefault="00055FB1" w:rsidP="008E6AF4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M</w:t>
                  </w:r>
                  <w:r w:rsidR="008E6AF4"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odel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:………….…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 xml:space="preserve">Konstrukcja </w:t>
                  </w:r>
                  <w:proofErr w:type="spellStart"/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syntetyzera</w:t>
                  </w:r>
                  <w:proofErr w:type="spellEnd"/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 xml:space="preserve"> bazująca na wykorzystaniu do rutynowej produkcji gotowych kaset                     z zestawem odczynników, ograniczających do minimum prace związane z przygotowaniem do pracy.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Konstrukcja modułowa, pozwalająca na możliwość rozbudowy zestawu.</w:t>
                  </w:r>
                </w:p>
                <w:p w:rsidR="0078065D" w:rsidRPr="00252801" w:rsidRDefault="0078065D" w:rsidP="00E446D2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Szerokość zestawu ≤ 40 cm w celu zapewnienia maksymalnej ilości miejsca na dodatkowe prace w obszarze roboczym komory.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Elektronicznie regulowane ciśnienie gazu w celu zapewnienia stałego przepływu gazu podczas całego procesu syntezy.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Zintegrowana pompa próżniowa.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Dwa czujniki ciśnienia: -1 do 1 bar oraz 0 do 10 bar.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Trzy wbudowane czujniki radioaktywności.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>Obudowa wykonana ze wysokogatunkowej stali szlachetnej pokryta lakierem o wysokiej odporności na korozję podczas prac z kwasami.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rPr>
                      <w:rFonts w:ascii="Arial" w:hAnsi="Arial" w:cs="Arial"/>
                    </w:rPr>
                  </w:pPr>
                  <w:r w:rsidRPr="00252801">
                    <w:rPr>
                      <w:rFonts w:ascii="Arial" w:hAnsi="Arial" w:cs="Arial"/>
                      <w:sz w:val="22"/>
                      <w:szCs w:val="22"/>
                    </w:rPr>
                    <w:t xml:space="preserve">Kompletne oprogramowanie wraz             z komputerem przenośnym, pozwalające zarówno na rutynową produkcję, jak i na prowadzenie prac badawczo-rozwojowych zawierające zintegrowane oprogramowanie do sterowania radio-HPLC. 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97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Skaner TLC</w:t>
                  </w: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Skaner TLC – kompletny zestaw                z oprogramowaniem sterującym, pozwalającym na analizę danych                 i raportowanie, zgodne z wymaganiami 21 CRF part 11 wraz           z zestawem komputerowym i zestawem startowym.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  <w:p w:rsidR="008E6AF4" w:rsidRPr="00055FB1" w:rsidRDefault="008E6AF4" w:rsidP="008E6AF4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Producent</w:t>
                  </w:r>
                  <w:r w:rsid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:…..…….</w:t>
                  </w:r>
                </w:p>
                <w:p w:rsidR="008E6AF4" w:rsidRPr="00252801" w:rsidRDefault="00055FB1" w:rsidP="008E6AF4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M</w:t>
                  </w:r>
                  <w:r w:rsidR="008E6AF4" w:rsidRPr="00055FB1">
                    <w:rPr>
                      <w:rFonts w:ascii="Arial" w:eastAsia="Times New Roman" w:hAnsi="Arial" w:cs="Arial"/>
                      <w:sz w:val="22"/>
                      <w:szCs w:val="22"/>
                    </w:rPr>
                    <w:t>odel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:……….…….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Detektor 1”NaI PMT właściwy dla energii SPECT (Tc-99m, In-111).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Detektor plastikowy PMT właściwy dla energii PET i wysokoenergetycznego Beta (F-18, Ga-68, Lu-177, Y-90, I-131).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97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b/>
                      <w:bCs/>
                    </w:rPr>
                  </w:pPr>
                  <w:proofErr w:type="spellStart"/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pH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-metr</w:t>
                  </w: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Elektroniczny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pH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-metr laboratoryjny.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97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Dodatkowe akcesoria ochronne</w:t>
                  </w: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Osłonka na strzykawki 5ml, wykonana z wolframu o grubości min. 7 mm, z okienkiem osłonnym   ze szkła o ekwiwalencie Pb min. 3mm. Strzykawka mocowana mechanizmem wyposażonym                         w śrubę. 2 sztuki.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Osłonka na strzykawki 5ml, wykonana z wolframu o grubości min. 2 mm, wyposażona w okienko wykonane ze szkła ołowianego, wnętrze pomalowane na biało, zatrzaskowy element mocujący strzykawkę. 5 sztuk.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Pudełko transportowe do strzykawek, osłonność wszystkich ścian pudełka minimum 5 </w:t>
                  </w:r>
                  <w:proofErr w:type="spellStart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mmPb</w:t>
                  </w:r>
                  <w:proofErr w:type="spellEnd"/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, wymiary wewnętrzne minimum 160 x 50 x 40 mm (dł. x szer. x wys.). Waga poniżej 4 kg. 2 sztuki.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25"/>
                <w:jc w:val="center"/>
              </w:trPr>
              <w:tc>
                <w:tcPr>
                  <w:tcW w:w="97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  <w:b/>
                    </w:rPr>
                  </w:pPr>
                  <w:r w:rsidRPr="00252801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Pozostałe wymagania:</w:t>
                  </w:r>
                </w:p>
              </w:tc>
            </w:tr>
            <w:tr w:rsidR="0078065D" w:rsidRPr="00252801" w:rsidTr="00835D8D">
              <w:trPr>
                <w:trHeight w:val="723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Długość pełnej gwarancji na całość przedmiotu zamówienia nie mniej niż 12 miesięcy.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35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Urządzenia będące przedmiotem zamówienia muszą być fabrycznie nowe, rok produkcji 2021, zmontowane, kompletnie wyposażone i uzbrojone.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tabs>
                      <w:tab w:val="center" w:pos="4536"/>
                      <w:tab w:val="right" w:pos="6838"/>
                      <w:tab w:val="right" w:pos="9072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8065D" w:rsidRPr="00252801" w:rsidTr="00835D8D">
              <w:trPr>
                <w:trHeight w:val="308"/>
                <w:jc w:val="center"/>
              </w:trPr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065D" w:rsidRPr="00252801" w:rsidRDefault="0078065D" w:rsidP="0078065D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num" w:pos="0"/>
                      <w:tab w:val="num" w:pos="786"/>
                      <w:tab w:val="right" w:pos="6838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Dostawa i montaż urządzenia            w siedzibie Zamawiającego.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65D" w:rsidRPr="00252801" w:rsidRDefault="0078065D" w:rsidP="00E446D2">
                  <w:pPr>
                    <w:tabs>
                      <w:tab w:val="right" w:pos="6838"/>
                    </w:tabs>
                    <w:spacing w:after="120"/>
                    <w:jc w:val="center"/>
                    <w:rPr>
                      <w:rFonts w:ascii="Arial" w:eastAsia="Times New Roman" w:hAnsi="Arial" w:cs="Arial"/>
                    </w:rPr>
                  </w:pPr>
                  <w:r w:rsidRPr="00252801">
                    <w:rPr>
                      <w:rFonts w:ascii="Arial" w:eastAsia="Times New Roman" w:hAnsi="Arial" w:cs="Arial"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065D" w:rsidRPr="00252801" w:rsidRDefault="0078065D" w:rsidP="00E446D2">
                  <w:pPr>
                    <w:widowControl w:val="0"/>
                    <w:tabs>
                      <w:tab w:val="right" w:pos="6838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78065D" w:rsidRPr="00252801" w:rsidRDefault="0078065D" w:rsidP="00E446D2">
            <w:pPr>
              <w:keepNext/>
              <w:overflowPunct w:val="0"/>
              <w:autoSpaceDE w:val="0"/>
              <w:autoSpaceDN w:val="0"/>
              <w:adjustRightInd w:val="0"/>
              <w:ind w:left="900" w:hanging="900"/>
              <w:outlineLvl w:val="2"/>
              <w:rPr>
                <w:rFonts w:ascii="Arial" w:eastAsia="Times New Roman" w:hAnsi="Arial" w:cs="Arial"/>
                <w:b/>
              </w:rPr>
            </w:pPr>
            <w:r w:rsidRPr="00252801">
              <w:rPr>
                <w:rFonts w:ascii="Arial" w:eastAsia="Times New Roman" w:hAnsi="Arial" w:cs="Arial"/>
                <w:b/>
                <w:sz w:val="22"/>
                <w:szCs w:val="22"/>
              </w:rPr>
              <w:t>Uwaga:1/ w kolumnie „Parametr/warunek graniczny” TAK – oznacza bezwzględny wymóg, brak żądanej opcji lub niewypełnienie pola odpowiedzi spowoduje odrzucenie oferty.</w:t>
            </w:r>
          </w:p>
          <w:p w:rsidR="0078065D" w:rsidRPr="00252801" w:rsidRDefault="0078065D" w:rsidP="00E446D2">
            <w:pPr>
              <w:ind w:left="900" w:hanging="180"/>
              <w:rPr>
                <w:rFonts w:ascii="Arial" w:eastAsia="Times New Roman" w:hAnsi="Arial" w:cs="Arial"/>
                <w:b/>
              </w:rPr>
            </w:pPr>
          </w:p>
        </w:tc>
      </w:tr>
    </w:tbl>
    <w:p w:rsidR="0078065D" w:rsidRDefault="0078065D" w:rsidP="0078065D">
      <w:pPr>
        <w:pStyle w:val="Zwykytekst"/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8065D" w:rsidRPr="00D5258E" w:rsidRDefault="0078065D" w:rsidP="0078065D">
      <w:pPr>
        <w:pStyle w:val="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8065D" w:rsidRDefault="0078065D" w:rsidP="0078065D">
      <w:pPr>
        <w:pStyle w:val="Zwykytekst"/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258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:rsidR="0078065D" w:rsidRDefault="0078065D" w:rsidP="0078065D">
      <w:pPr>
        <w:pStyle w:val="Zwykytekst"/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8065D" w:rsidRPr="00252801" w:rsidRDefault="0078065D" w:rsidP="0078065D">
      <w:pPr>
        <w:pStyle w:val="Zwykytekst"/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2801">
        <w:rPr>
          <w:rFonts w:ascii="Arial" w:hAnsi="Arial" w:cs="Arial"/>
          <w:b/>
          <w:sz w:val="22"/>
          <w:szCs w:val="22"/>
          <w:u w:val="single"/>
        </w:rPr>
        <w:t>PARAMETRY OCENIANE w kryterium „Jakość”</w:t>
      </w:r>
    </w:p>
    <w:p w:rsidR="0078065D" w:rsidRPr="00252801" w:rsidRDefault="0078065D" w:rsidP="0078065D">
      <w:pPr>
        <w:pStyle w:val="Zwykytekst"/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795"/>
      </w:tblGrid>
      <w:tr w:rsidR="0078065D" w:rsidRPr="00252801" w:rsidTr="00E446D2">
        <w:trPr>
          <w:tblHeader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8065D" w:rsidRPr="00252801" w:rsidRDefault="0078065D" w:rsidP="00E446D2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252801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L.P.</w:t>
            </w:r>
          </w:p>
        </w:tc>
        <w:tc>
          <w:tcPr>
            <w:tcW w:w="7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8065D" w:rsidRPr="00252801" w:rsidRDefault="0078065D" w:rsidP="00E446D2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kern w:val="1"/>
              </w:rPr>
            </w:pPr>
            <w:r w:rsidRPr="00252801">
              <w:rPr>
                <w:rFonts w:ascii="Arial" w:eastAsia="Lucida Sans Unicode" w:hAnsi="Arial" w:cs="Arial"/>
                <w:b/>
                <w:kern w:val="1"/>
                <w:sz w:val="22"/>
                <w:szCs w:val="22"/>
              </w:rPr>
              <w:t>Parametry</w:t>
            </w:r>
          </w:p>
        </w:tc>
      </w:tr>
      <w:tr w:rsidR="0078065D" w:rsidRPr="00252801" w:rsidTr="00E446D2">
        <w:tc>
          <w:tcPr>
            <w:tcW w:w="1277" w:type="dxa"/>
            <w:tcBorders>
              <w:top w:val="single" w:sz="4" w:space="0" w:color="auto"/>
            </w:tcBorders>
          </w:tcPr>
          <w:p w:rsidR="0078065D" w:rsidRPr="00252801" w:rsidRDefault="0078065D" w:rsidP="00E446D2">
            <w:pPr>
              <w:ind w:left="497" w:right="72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5D" w:rsidRPr="00252801" w:rsidRDefault="0078065D" w:rsidP="00E446D2">
            <w:pPr>
              <w:spacing w:line="100" w:lineRule="atLeast"/>
              <w:ind w:left="56" w:right="-1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Szerokość blatu roboczego komory głównej ≥ 140 cm.</w:t>
            </w:r>
          </w:p>
        </w:tc>
      </w:tr>
      <w:tr w:rsidR="0078065D" w:rsidRPr="00252801" w:rsidTr="00E446D2">
        <w:tc>
          <w:tcPr>
            <w:tcW w:w="1277" w:type="dxa"/>
            <w:tcBorders>
              <w:top w:val="single" w:sz="4" w:space="0" w:color="auto"/>
            </w:tcBorders>
          </w:tcPr>
          <w:p w:rsidR="0078065D" w:rsidRPr="00252801" w:rsidRDefault="0078065D" w:rsidP="00E446D2">
            <w:pPr>
              <w:ind w:left="497" w:right="72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5D" w:rsidRPr="00055FB1" w:rsidRDefault="00FD1885" w:rsidP="00E446D2">
            <w:pPr>
              <w:spacing w:line="100" w:lineRule="atLeast"/>
              <w:ind w:left="56" w:right="-1"/>
              <w:rPr>
                <w:rFonts w:ascii="Arial" w:hAnsi="Arial" w:cs="Arial"/>
              </w:rPr>
            </w:pPr>
            <w:r w:rsidRPr="00055FB1">
              <w:rPr>
                <w:rFonts w:ascii="Arial" w:eastAsia="Calibri" w:hAnsi="Arial" w:cs="Arial"/>
              </w:rPr>
              <w:t>Obszar roboczy wykonany z PP (polipropylenu) lub PMMA (polimetakrylanu metylowego) o grubości ≥ 20mm od przodu, tyłu, spodu i po bokach oraz o grubości ≥ 10mm od góry</w:t>
            </w:r>
            <w:r w:rsidR="0078065D" w:rsidRPr="00055F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065D" w:rsidRPr="00252801" w:rsidTr="00E446D2">
        <w:tc>
          <w:tcPr>
            <w:tcW w:w="1277" w:type="dxa"/>
            <w:tcBorders>
              <w:top w:val="single" w:sz="4" w:space="0" w:color="auto"/>
            </w:tcBorders>
          </w:tcPr>
          <w:p w:rsidR="0078065D" w:rsidRPr="00252801" w:rsidRDefault="0078065D" w:rsidP="00E446D2">
            <w:pPr>
              <w:ind w:left="497" w:right="72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5D" w:rsidRPr="00252801" w:rsidRDefault="0078065D" w:rsidP="00E446D2">
            <w:pPr>
              <w:spacing w:line="100" w:lineRule="atLeast"/>
              <w:ind w:left="56" w:right="-1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Przedział na generatory umożliwiający zainstalowanie ≥ 4 generatorów.</w:t>
            </w:r>
          </w:p>
        </w:tc>
      </w:tr>
      <w:tr w:rsidR="0078065D" w:rsidRPr="00252801" w:rsidTr="00E446D2">
        <w:tc>
          <w:tcPr>
            <w:tcW w:w="1277" w:type="dxa"/>
            <w:tcBorders>
              <w:top w:val="single" w:sz="4" w:space="0" w:color="auto"/>
            </w:tcBorders>
          </w:tcPr>
          <w:p w:rsidR="0078065D" w:rsidRPr="00252801" w:rsidRDefault="0078065D" w:rsidP="00E446D2">
            <w:pPr>
              <w:ind w:left="497" w:right="72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5D" w:rsidRPr="00252801" w:rsidRDefault="0078065D" w:rsidP="00E446D2">
            <w:pPr>
              <w:spacing w:line="100" w:lineRule="atLeast"/>
              <w:ind w:left="56" w:right="-1"/>
              <w:rPr>
                <w:rFonts w:ascii="Arial" w:eastAsia="MS Mincho" w:hAnsi="Arial" w:cs="Arial"/>
                <w:b/>
                <w:bCs/>
                <w:smallCaps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Obudowa modułu syntezy wykonana ze wysokogatunkowej stali szlachetnej V4A.</w:t>
            </w:r>
          </w:p>
        </w:tc>
      </w:tr>
      <w:tr w:rsidR="0078065D" w:rsidRPr="00252801" w:rsidTr="00E446D2">
        <w:trPr>
          <w:trHeight w:val="579"/>
        </w:trPr>
        <w:tc>
          <w:tcPr>
            <w:tcW w:w="1277" w:type="dxa"/>
            <w:tcBorders>
              <w:top w:val="single" w:sz="4" w:space="0" w:color="auto"/>
            </w:tcBorders>
          </w:tcPr>
          <w:p w:rsidR="0078065D" w:rsidRPr="00252801" w:rsidRDefault="0078065D" w:rsidP="00E446D2">
            <w:pPr>
              <w:ind w:left="497" w:right="72"/>
              <w:rPr>
                <w:rFonts w:ascii="Arial" w:hAnsi="Arial" w:cs="Arial"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65D" w:rsidRPr="00252801" w:rsidRDefault="0078065D" w:rsidP="00E446D2">
            <w:pPr>
              <w:spacing w:line="100" w:lineRule="atLeast"/>
              <w:ind w:left="56" w:right="-1"/>
              <w:rPr>
                <w:rFonts w:ascii="Arial" w:eastAsia="MS Mincho" w:hAnsi="Arial" w:cs="Arial"/>
                <w:b/>
                <w:bCs/>
                <w:smallCaps/>
              </w:rPr>
            </w:pPr>
            <w:r w:rsidRPr="00252801">
              <w:rPr>
                <w:rFonts w:ascii="Arial" w:hAnsi="Arial" w:cs="Arial"/>
                <w:sz w:val="22"/>
                <w:szCs w:val="22"/>
              </w:rPr>
              <w:t xml:space="preserve">Znakowanie przy użyciu </w:t>
            </w:r>
            <w:proofErr w:type="spellStart"/>
            <w:r w:rsidRPr="00252801">
              <w:rPr>
                <w:rFonts w:ascii="Arial" w:hAnsi="Arial" w:cs="Arial"/>
                <w:sz w:val="22"/>
                <w:szCs w:val="22"/>
              </w:rPr>
              <w:t>SiFA</w:t>
            </w:r>
            <w:proofErr w:type="spellEnd"/>
          </w:p>
        </w:tc>
      </w:tr>
    </w:tbl>
    <w:p w:rsidR="0078065D" w:rsidRPr="001D4AA3" w:rsidRDefault="0078065D" w:rsidP="0078065D"/>
    <w:p w:rsidR="0078065D" w:rsidRDefault="0078065D" w:rsidP="0078065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76353" w:rsidRDefault="00876353"/>
    <w:sectPr w:rsidR="0087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37511"/>
    <w:multiLevelType w:val="hybridMultilevel"/>
    <w:tmpl w:val="ECBEC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5D"/>
    <w:rsid w:val="00055FB1"/>
    <w:rsid w:val="0078065D"/>
    <w:rsid w:val="00835D8D"/>
    <w:rsid w:val="00876353"/>
    <w:rsid w:val="008E6AF4"/>
    <w:rsid w:val="00C3628B"/>
    <w:rsid w:val="00D8498B"/>
    <w:rsid w:val="00E27A2B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E696C"/>
  <w15:docId w15:val="{B1744D49-C07D-42C5-BD51-198B154D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6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8065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8065D"/>
    <w:rPr>
      <w:rFonts w:ascii="Courier New" w:eastAsiaTheme="minorEastAsia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Malinowska</dc:creator>
  <cp:keywords/>
  <dc:description/>
  <cp:lastModifiedBy>Tatiana Malinowska</cp:lastModifiedBy>
  <cp:revision>3</cp:revision>
  <dcterms:created xsi:type="dcterms:W3CDTF">2021-05-05T06:52:00Z</dcterms:created>
  <dcterms:modified xsi:type="dcterms:W3CDTF">2021-05-05T07:01:00Z</dcterms:modified>
</cp:coreProperties>
</file>