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FE64" w14:textId="13861A12" w:rsidR="00C51930" w:rsidRPr="002A41CC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2A41CC">
        <w:rPr>
          <w:rFonts w:ascii="Times New Roman" w:hAnsi="Times New Roman" w:cs="Times New Roman"/>
        </w:rPr>
        <w:t>Nowy Targ</w:t>
      </w:r>
      <w:r>
        <w:rPr>
          <w:rFonts w:ascii="Times New Roman" w:hAnsi="Times New Roman" w:cs="Times New Roman"/>
        </w:rPr>
        <w:t xml:space="preserve">, </w:t>
      </w:r>
      <w:r w:rsidR="002049B8">
        <w:rPr>
          <w:rFonts w:ascii="Times New Roman" w:hAnsi="Times New Roman" w:cs="Times New Roman"/>
        </w:rPr>
        <w:t>18</w:t>
      </w:r>
      <w:r w:rsidR="003413EC">
        <w:rPr>
          <w:rFonts w:ascii="Times New Roman" w:hAnsi="Times New Roman" w:cs="Times New Roman"/>
        </w:rPr>
        <w:t>.</w:t>
      </w:r>
      <w:r w:rsidR="00BC59A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BC59A3">
        <w:rPr>
          <w:rFonts w:ascii="Times New Roman" w:hAnsi="Times New Roman" w:cs="Times New Roman"/>
        </w:rPr>
        <w:t>4</w:t>
      </w:r>
      <w:r w:rsidRPr="002A41CC">
        <w:rPr>
          <w:rFonts w:ascii="Times New Roman" w:hAnsi="Times New Roman" w:cs="Times New Roman"/>
        </w:rPr>
        <w:t xml:space="preserve"> r.</w:t>
      </w:r>
    </w:p>
    <w:p w14:paraId="25D8150D" w14:textId="77777777" w:rsidR="00C51930" w:rsidRPr="006D69E1" w:rsidRDefault="00C51930" w:rsidP="00C5193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D69E1">
        <w:rPr>
          <w:rFonts w:ascii="Times New Roman" w:hAnsi="Times New Roman" w:cs="Times New Roman"/>
          <w:sz w:val="20"/>
          <w:szCs w:val="20"/>
        </w:rPr>
        <w:t xml:space="preserve">Numer referencyjny: </w:t>
      </w:r>
      <w:r w:rsidR="00BC59A3">
        <w:rPr>
          <w:rFonts w:ascii="Times New Roman" w:hAnsi="Times New Roman" w:cs="Times New Roman"/>
          <w:sz w:val="20"/>
          <w:szCs w:val="20"/>
        </w:rPr>
        <w:t>KZP</w:t>
      </w:r>
      <w:r w:rsidRPr="006D69E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382.</w:t>
      </w:r>
      <w:r w:rsidR="00BC59A3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BC59A3">
        <w:rPr>
          <w:rFonts w:ascii="Times New Roman" w:hAnsi="Times New Roman" w:cs="Times New Roman"/>
          <w:sz w:val="20"/>
          <w:szCs w:val="20"/>
        </w:rPr>
        <w:t>4</w:t>
      </w:r>
    </w:p>
    <w:p w14:paraId="6DAC5B94" w14:textId="77777777" w:rsidR="00C51930" w:rsidRDefault="00C51930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421E07" w14:textId="77777777" w:rsidR="00811E0B" w:rsidRDefault="00811E0B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869D53" w14:textId="77777777" w:rsidR="00C51930" w:rsidRPr="00EE08D8" w:rsidRDefault="003413EC" w:rsidP="003413E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Odpowiedzi na pytania, </w:t>
      </w:r>
      <w:r w:rsidR="00C51930"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C51930" w:rsidRPr="006A7D7D">
        <w:rPr>
          <w:rFonts w:ascii="Times New Roman" w:hAnsi="Times New Roman" w:cs="Times New Roman"/>
          <w:b/>
          <w:sz w:val="28"/>
          <w:szCs w:val="28"/>
          <w:u w:val="single"/>
        </w:rPr>
        <w:t>miana SWZ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 załączników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oraz zmiana Ogłoszenia o zamówieniu</w:t>
      </w:r>
    </w:p>
    <w:p w14:paraId="264E6E7E" w14:textId="77777777" w:rsidR="00811E0B" w:rsidRPr="002A41CC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29F19CA2" w14:textId="77777777" w:rsidR="002A7D37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3512C9EB" w14:textId="77777777" w:rsidR="003413EC" w:rsidRPr="003413EC" w:rsidRDefault="00C51930" w:rsidP="00BC59A3">
      <w:pPr>
        <w:pStyle w:val="Bezodstpw"/>
        <w:jc w:val="both"/>
        <w:rPr>
          <w:rFonts w:ascii="Times New Roman" w:hAnsi="Times New Roman" w:cs="Times New Roman"/>
          <w:b/>
        </w:rPr>
      </w:pPr>
      <w:r w:rsidRPr="003B2D55">
        <w:rPr>
          <w:rFonts w:ascii="Times New Roman" w:hAnsi="Times New Roman" w:cs="Times New Roman"/>
        </w:rPr>
        <w:t xml:space="preserve">Dotyczy postępowania w trybie </w:t>
      </w:r>
      <w:r w:rsidR="00BC59A3">
        <w:rPr>
          <w:rFonts w:ascii="Times New Roman" w:hAnsi="Times New Roman" w:cs="Times New Roman"/>
        </w:rPr>
        <w:t xml:space="preserve">podstawowym art. 275 pkt 1 </w:t>
      </w:r>
      <w:proofErr w:type="spellStart"/>
      <w:r w:rsidR="00BC59A3">
        <w:rPr>
          <w:rFonts w:ascii="Times New Roman" w:hAnsi="Times New Roman" w:cs="Times New Roman"/>
        </w:rPr>
        <w:t>p.z.p</w:t>
      </w:r>
      <w:proofErr w:type="spellEnd"/>
      <w:r w:rsidR="00E32C2F" w:rsidRPr="00E32C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E32C2F" w:rsidRPr="00E32C2F">
        <w:rPr>
          <w:rFonts w:ascii="Times New Roman" w:hAnsi="Times New Roman" w:cs="Times New Roman"/>
        </w:rPr>
        <w:t>o wartoś</w:t>
      </w:r>
      <w:r w:rsidR="00E32C2F">
        <w:rPr>
          <w:rFonts w:ascii="Times New Roman" w:hAnsi="Times New Roman" w:cs="Times New Roman"/>
        </w:rPr>
        <w:t xml:space="preserve">ci </w:t>
      </w:r>
      <w:r w:rsidR="00BC59A3">
        <w:rPr>
          <w:rFonts w:ascii="Times New Roman" w:hAnsi="Times New Roman" w:cs="Times New Roman"/>
        </w:rPr>
        <w:t>nie</w:t>
      </w:r>
      <w:r w:rsidR="00E32C2F">
        <w:rPr>
          <w:rFonts w:ascii="Times New Roman" w:hAnsi="Times New Roman" w:cs="Times New Roman"/>
        </w:rPr>
        <w:t>przekraczającej prog</w:t>
      </w:r>
      <w:r w:rsidR="00BC59A3">
        <w:rPr>
          <w:rFonts w:ascii="Times New Roman" w:hAnsi="Times New Roman" w:cs="Times New Roman"/>
        </w:rPr>
        <w:t>ów</w:t>
      </w:r>
      <w:r w:rsidR="00E32C2F">
        <w:rPr>
          <w:rFonts w:ascii="Times New Roman" w:hAnsi="Times New Roman" w:cs="Times New Roman"/>
        </w:rPr>
        <w:t xml:space="preserve"> unijn</w:t>
      </w:r>
      <w:r w:rsidR="00BC59A3">
        <w:rPr>
          <w:rFonts w:ascii="Times New Roman" w:hAnsi="Times New Roman" w:cs="Times New Roman"/>
        </w:rPr>
        <w:t>ych</w:t>
      </w:r>
      <w:r w:rsidRPr="003B2D55">
        <w:rPr>
          <w:rFonts w:ascii="Times New Roman" w:hAnsi="Times New Roman" w:cs="Times New Roman"/>
        </w:rPr>
        <w:t xml:space="preserve">, na: </w:t>
      </w:r>
      <w:r w:rsidR="00BC59A3" w:rsidRPr="00BC59A3">
        <w:rPr>
          <w:rFonts w:ascii="Times New Roman" w:hAnsi="Times New Roman" w:cs="Times New Roman"/>
          <w:b/>
        </w:rPr>
        <w:t>Zakup sprzętu komputerowego, tj. komputery stacjonarne z monitorami oraz oprogramowaniem biurowym - 8 szt. na potrzeby Instytutu Lekarskiego ANS w Nowym Targu dla kierunku lekarskiego</w:t>
      </w:r>
      <w:r w:rsidR="003413EC" w:rsidRPr="003413EC">
        <w:rPr>
          <w:rFonts w:ascii="Times New Roman" w:hAnsi="Times New Roman" w:cs="Times New Roman"/>
          <w:b/>
        </w:rPr>
        <w:t xml:space="preserve">. </w:t>
      </w:r>
    </w:p>
    <w:p w14:paraId="2CD918C2" w14:textId="77777777" w:rsidR="00C51930" w:rsidRPr="003B2D55" w:rsidRDefault="00C51930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1F97A2E5" w14:textId="77777777"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1750EB8F" w14:textId="167D8FE8" w:rsidR="00C51930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A115CC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 w:rsidR="00781ACE">
        <w:rPr>
          <w:rFonts w:ascii="Times New Roman" w:hAnsi="Times New Roman" w:cs="Times New Roman"/>
        </w:rPr>
        <w:t>3</w:t>
      </w:r>
      <w:r w:rsidRPr="00A115CC">
        <w:rPr>
          <w:rFonts w:ascii="Times New Roman" w:hAnsi="Times New Roman" w:cs="Times New Roman"/>
        </w:rPr>
        <w:t xml:space="preserve"> r., poz. </w:t>
      </w:r>
      <w:r w:rsidR="00781ACE">
        <w:rPr>
          <w:rFonts w:ascii="Times New Roman" w:hAnsi="Times New Roman" w:cs="Times New Roman"/>
        </w:rPr>
        <w:t>1650</w:t>
      </w:r>
      <w:r w:rsidRPr="00A115CC">
        <w:rPr>
          <w:rFonts w:ascii="Times New Roman" w:hAnsi="Times New Roman" w:cs="Times New Roman"/>
        </w:rPr>
        <w:t xml:space="preserve"> z późn. zm.), Zamawiający informuje, że w dn</w:t>
      </w:r>
      <w:r w:rsidR="002049B8">
        <w:rPr>
          <w:rFonts w:ascii="Times New Roman" w:hAnsi="Times New Roman" w:cs="Times New Roman"/>
        </w:rPr>
        <w:t>iach</w:t>
      </w:r>
      <w:r w:rsidRPr="00A115CC">
        <w:rPr>
          <w:rFonts w:ascii="Times New Roman" w:hAnsi="Times New Roman" w:cs="Times New Roman"/>
        </w:rPr>
        <w:t xml:space="preserve"> </w:t>
      </w:r>
      <w:r w:rsidR="00BC59A3">
        <w:rPr>
          <w:rFonts w:ascii="Times New Roman" w:hAnsi="Times New Roman" w:cs="Times New Roman"/>
        </w:rPr>
        <w:t>15</w:t>
      </w:r>
      <w:r w:rsidR="00360A9A">
        <w:rPr>
          <w:rFonts w:ascii="Times New Roman" w:hAnsi="Times New Roman" w:cs="Times New Roman"/>
        </w:rPr>
        <w:t>-17</w:t>
      </w:r>
      <w:r w:rsidR="00BC59A3">
        <w:rPr>
          <w:rFonts w:ascii="Times New Roman" w:hAnsi="Times New Roman" w:cs="Times New Roman"/>
        </w:rPr>
        <w:t>.01</w:t>
      </w:r>
      <w:r w:rsidR="00C82230">
        <w:rPr>
          <w:rFonts w:ascii="Times New Roman" w:hAnsi="Times New Roman" w:cs="Times New Roman"/>
        </w:rPr>
        <w:t>.</w:t>
      </w:r>
      <w:r w:rsidRPr="00A115CC">
        <w:rPr>
          <w:rFonts w:ascii="Times New Roman" w:hAnsi="Times New Roman" w:cs="Times New Roman"/>
        </w:rPr>
        <w:t>202</w:t>
      </w:r>
      <w:r w:rsidR="00BC59A3">
        <w:rPr>
          <w:rFonts w:ascii="Times New Roman" w:hAnsi="Times New Roman" w:cs="Times New Roman"/>
        </w:rPr>
        <w:t>4</w:t>
      </w:r>
      <w:r w:rsidR="00E32C2F">
        <w:rPr>
          <w:rFonts w:ascii="Times New Roman" w:hAnsi="Times New Roman" w:cs="Times New Roman"/>
        </w:rPr>
        <w:t xml:space="preserve"> r</w:t>
      </w:r>
      <w:r w:rsidR="00431ABA">
        <w:rPr>
          <w:rFonts w:ascii="Times New Roman" w:hAnsi="Times New Roman" w:cs="Times New Roman"/>
        </w:rPr>
        <w:t>.</w:t>
      </w:r>
      <w:r w:rsidRPr="00A115CC">
        <w:rPr>
          <w:rFonts w:ascii="Times New Roman" w:hAnsi="Times New Roman" w:cs="Times New Roman"/>
        </w:rPr>
        <w:t>, Wykonawc</w:t>
      </w:r>
      <w:r w:rsidR="002822CF">
        <w:rPr>
          <w:rFonts w:ascii="Times New Roman" w:hAnsi="Times New Roman" w:cs="Times New Roman"/>
        </w:rPr>
        <w:t>y</w:t>
      </w:r>
      <w:r w:rsidR="00E32C2F">
        <w:rPr>
          <w:rFonts w:ascii="Times New Roman" w:hAnsi="Times New Roman" w:cs="Times New Roman"/>
        </w:rPr>
        <w:t xml:space="preserve"> zwróci</w:t>
      </w:r>
      <w:r w:rsidR="002822CF">
        <w:rPr>
          <w:rFonts w:ascii="Times New Roman" w:hAnsi="Times New Roman" w:cs="Times New Roman"/>
        </w:rPr>
        <w:t>li</w:t>
      </w:r>
      <w:r w:rsidRPr="00A115CC">
        <w:rPr>
          <w:rFonts w:ascii="Times New Roman" w:hAnsi="Times New Roman" w:cs="Times New Roman"/>
        </w:rPr>
        <w:t xml:space="preserve"> się do niego z prośbą o wyjaśnienie treści SWZ</w:t>
      </w:r>
      <w:r w:rsidR="002822CF">
        <w:rPr>
          <w:rFonts w:ascii="Times New Roman" w:hAnsi="Times New Roman" w:cs="Times New Roman"/>
        </w:rPr>
        <w:t xml:space="preserve"> wraz z załącznikami</w:t>
      </w:r>
      <w:r w:rsidRPr="00A115CC">
        <w:rPr>
          <w:rFonts w:ascii="Times New Roman" w:hAnsi="Times New Roman" w:cs="Times New Roman"/>
        </w:rPr>
        <w:t>. Zamawiający przedstawia poniżej treść</w:t>
      </w:r>
      <w:r w:rsidR="00431ABA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pyta</w:t>
      </w:r>
      <w:r w:rsidR="002822CF">
        <w:rPr>
          <w:rFonts w:ascii="Times New Roman" w:hAnsi="Times New Roman" w:cs="Times New Roman"/>
        </w:rPr>
        <w:t>ń</w:t>
      </w:r>
      <w:r w:rsidR="00FE7C34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i odpowied</w:t>
      </w:r>
      <w:r w:rsidR="002822CF">
        <w:rPr>
          <w:rFonts w:ascii="Times New Roman" w:hAnsi="Times New Roman" w:cs="Times New Roman"/>
        </w:rPr>
        <w:t>zi</w:t>
      </w:r>
      <w:r w:rsidRPr="00A115CC">
        <w:rPr>
          <w:rFonts w:ascii="Times New Roman" w:hAnsi="Times New Roman" w:cs="Times New Roman"/>
        </w:rPr>
        <w:t xml:space="preserve"> na nie, bez ujawniania źródła zapytania:</w:t>
      </w:r>
    </w:p>
    <w:p w14:paraId="1669818D" w14:textId="77777777"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689BC554" w14:textId="77777777" w:rsidR="00623FD9" w:rsidRDefault="00623FD9" w:rsidP="00623FD9">
      <w:pPr>
        <w:pStyle w:val="Default"/>
      </w:pPr>
      <w:bookmarkStart w:id="0" w:name="_Hlk117228814"/>
    </w:p>
    <w:p w14:paraId="3AEE0FD1" w14:textId="59DE2161" w:rsidR="00ED1E54" w:rsidRDefault="00623FD9" w:rsidP="00A925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A7D37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</w:t>
      </w:r>
      <w:r w:rsidR="002049B8">
        <w:rPr>
          <w:rFonts w:ascii="Times New Roman" w:hAnsi="Times New Roman" w:cs="Times New Roman"/>
          <w:b/>
          <w:sz w:val="22"/>
          <w:szCs w:val="22"/>
          <w:u w:val="single"/>
        </w:rPr>
        <w:t>z dnia 15.01.2024 r.</w:t>
      </w:r>
    </w:p>
    <w:p w14:paraId="59E198C5" w14:textId="77777777" w:rsidR="00ED1E54" w:rsidRDefault="00ED1E54" w:rsidP="00ED1E54"/>
    <w:p w14:paraId="3EAEA139" w14:textId="77777777" w:rsidR="00BC59A3" w:rsidRDefault="00BC59A3" w:rsidP="000D76C4">
      <w:pPr>
        <w:tabs>
          <w:tab w:val="left" w:pos="3710"/>
        </w:tabs>
        <w:ind w:left="567"/>
        <w:jc w:val="both"/>
        <w:rPr>
          <w:rFonts w:ascii="Times New Roman" w:hAnsi="Times New Roman" w:cs="Times New Roman"/>
        </w:rPr>
      </w:pPr>
      <w:r w:rsidRPr="00BC59A3">
        <w:rPr>
          <w:rFonts w:ascii="Times New Roman" w:hAnsi="Times New Roman" w:cs="Times New Roman"/>
          <w:b/>
        </w:rPr>
        <w:t>Pytanie 1: Czy Zamawiający dopuści tam, gdzie wymagane jest na etapie składania ofert oświadczenie Producenta - oświadczenie Wykonawcy? Uzasadniając powyższe pouczamy Zamawiającego, że stosownie do ustawy Prawo Zamówień Publicznych, Zamawiający przygotowuje i przeprowadza postepowanie o udzielenie zamówienia w sposób zapewniający zachowanie uczciwej konkurencji oraz równe traktowanie wykonawców. Żądanie przedmiotowego dokumentu/oświadczenia stanowi naruszenie tej głównej zasady, albowiem Zamawiający nie jest w stanie zapewnić ewentualnego wpływu osób trzecich – producentów sprzętu objętego ofertą wykonawcy na wynik postępowania tj. wybór najkorzystniejszej ofert. Ponadto producent sprzętu nie jest stroną w przedmiotowym postępowaniu a Zamawiający może żądać dokumentów tylko i wyłączę od Wykonawcy. Ponadto należy zaznaczyć, że taki zapis w znacznym stopniu ogranicza uczciwą konkurencję, gdyż w praktyce polega to na tym, że producent decyduje o tym, któremu Wykonawcy takie oświadczenie wystawi, a któremu nie.</w:t>
      </w:r>
      <w:r>
        <w:rPr>
          <w:rFonts w:ascii="Times New Roman" w:hAnsi="Times New Roman" w:cs="Times New Roman"/>
          <w:b/>
        </w:rPr>
        <w:t xml:space="preserve"> </w:t>
      </w:r>
      <w:r w:rsidRPr="00BC59A3">
        <w:rPr>
          <w:rFonts w:ascii="Times New Roman" w:hAnsi="Times New Roman" w:cs="Times New Roman"/>
          <w:b/>
        </w:rPr>
        <w:t>Dopuszczenie powyższych rozwiązań znacząco wpłynie na koszt wyprodukowania sprzętu, a zarazem pozwoli na zaoferowanie sprzętu szerszej grupy wiodących producentów sprzętu komputerowego oraz umożliwi to nam zaoferowanie Państwu konkurencyjnej oferty bez utraty pozostałych wartości jakościowych.</w:t>
      </w:r>
      <w:r w:rsidR="0095428E" w:rsidRPr="0095428E">
        <w:rPr>
          <w:rFonts w:ascii="Times New Roman" w:hAnsi="Times New Roman" w:cs="Times New Roman"/>
        </w:rPr>
        <w:t xml:space="preserve"> </w:t>
      </w:r>
    </w:p>
    <w:p w14:paraId="4C6BD183" w14:textId="77777777" w:rsidR="003F30A3" w:rsidRPr="000D76C4" w:rsidRDefault="003F30A3" w:rsidP="000D76C4">
      <w:pPr>
        <w:pStyle w:val="Bezodstpw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0D76C4">
        <w:rPr>
          <w:rFonts w:ascii="Times New Roman" w:hAnsi="Times New Roman" w:cs="Times New Roman"/>
          <w:b/>
          <w:u w:val="single"/>
        </w:rPr>
        <w:t>Odpowiedź:</w:t>
      </w:r>
    </w:p>
    <w:p w14:paraId="5F516535" w14:textId="77777777" w:rsidR="00623FD9" w:rsidRDefault="003F30A3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 w:rsidRPr="000D76C4">
        <w:rPr>
          <w:rFonts w:ascii="Times New Roman" w:hAnsi="Times New Roman" w:cs="Times New Roman"/>
          <w:b/>
          <w:u w:val="single"/>
        </w:rPr>
        <w:t>Zamawiając</w:t>
      </w:r>
      <w:r w:rsidR="00D905B6" w:rsidRPr="000D76C4">
        <w:rPr>
          <w:rFonts w:ascii="Times New Roman" w:hAnsi="Times New Roman" w:cs="Times New Roman"/>
          <w:b/>
          <w:u w:val="single"/>
        </w:rPr>
        <w:t xml:space="preserve">y </w:t>
      </w:r>
      <w:r w:rsidRPr="000D76C4">
        <w:rPr>
          <w:rFonts w:ascii="Times New Roman" w:hAnsi="Times New Roman" w:cs="Times New Roman"/>
          <w:b/>
          <w:u w:val="single"/>
        </w:rPr>
        <w:t xml:space="preserve">informuje, iż </w:t>
      </w:r>
      <w:r w:rsidR="00BC59A3" w:rsidRPr="000D76C4">
        <w:rPr>
          <w:rFonts w:ascii="Times New Roman" w:hAnsi="Times New Roman" w:cs="Times New Roman"/>
          <w:b/>
          <w:u w:val="single"/>
        </w:rPr>
        <w:t>pozostawia dotychczasowe zapisy Opisu przedmiotu zamówienia</w:t>
      </w:r>
      <w:r w:rsidR="00ED1E54" w:rsidRPr="000D76C4">
        <w:rPr>
          <w:rFonts w:ascii="Times New Roman" w:hAnsi="Times New Roman" w:cs="Times New Roman"/>
          <w:b/>
          <w:u w:val="single"/>
        </w:rPr>
        <w:t xml:space="preserve"> bez zmian – Załącznik nr 1 do SWZ.</w:t>
      </w:r>
    </w:p>
    <w:p w14:paraId="50A47B31" w14:textId="77777777" w:rsidR="00BC59A3" w:rsidRDefault="00BC59A3" w:rsidP="00ED1E54">
      <w:pPr>
        <w:pStyle w:val="Bezodstpw"/>
        <w:ind w:left="426" w:hanging="426"/>
        <w:jc w:val="both"/>
        <w:rPr>
          <w:rFonts w:ascii="Times New Roman" w:hAnsi="Times New Roman" w:cs="Times New Roman"/>
          <w:b/>
        </w:rPr>
      </w:pPr>
    </w:p>
    <w:p w14:paraId="24012DDE" w14:textId="574EC9BC" w:rsidR="00ED1E54" w:rsidRPr="000D76C4" w:rsidRDefault="000D76C4" w:rsidP="000D76C4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0D76C4">
        <w:rPr>
          <w:rFonts w:ascii="Times New Roman" w:hAnsi="Times New Roman" w:cs="Times New Roman"/>
          <w:b/>
          <w:u w:val="single"/>
        </w:rPr>
        <w:t xml:space="preserve">Pytania z dnia 16.01.2024 r. </w:t>
      </w:r>
    </w:p>
    <w:p w14:paraId="049E127C" w14:textId="3F37C2B7" w:rsidR="000D76C4" w:rsidRDefault="000D76C4" w:rsidP="00BC59A3">
      <w:pPr>
        <w:pStyle w:val="Bezodstpw"/>
        <w:ind w:left="-426"/>
        <w:jc w:val="both"/>
        <w:rPr>
          <w:rFonts w:ascii="Times New Roman" w:hAnsi="Times New Roman" w:cs="Times New Roman"/>
          <w:b/>
        </w:rPr>
      </w:pPr>
    </w:p>
    <w:p w14:paraId="5935ABA3" w14:textId="259538C0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1:</w:t>
      </w:r>
    </w:p>
    <w:p w14:paraId="06DE2483" w14:textId="132B6A7F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03A13763" w14:textId="00578630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 w:rsidRPr="000D76C4">
        <w:rPr>
          <w:rFonts w:ascii="Times New Roman" w:hAnsi="Times New Roman" w:cs="Times New Roman"/>
          <w:b/>
        </w:rPr>
        <w:t xml:space="preserve">Zamawiający według zapisów OPZ wymaga „Płyta główna zaprojektowana i wyprodukowana przez producenta komputera” Pragnę zauważyć, iż wymóg dostarczenia takiego oświadczenia w rażący sposób narusza zapisy artykułu 16 ust. 1 PZP oraz zasady uczciwej konkurencji i równego traktowania wszystkich wykonawców w oparciu, o które </w:t>
      </w:r>
      <w:r w:rsidRPr="000D76C4">
        <w:rPr>
          <w:rFonts w:ascii="Times New Roman" w:hAnsi="Times New Roman" w:cs="Times New Roman"/>
          <w:b/>
        </w:rPr>
        <w:lastRenderedPageBreak/>
        <w:t>winny być prowadzone postępowania. Opis przedmiotu zamówienia musi być tak skonstruowany, aby nie faworyzować żadnego z producentów. Jest to naruszenie Art. 16 Ustawy PZP oraz naruszenie Rekomendacji Prezesa Urzędu Zamówień Publicznych - link do rekomendacji:</w:t>
      </w:r>
      <w:r w:rsidRPr="000D76C4">
        <w:rPr>
          <w:rFonts w:ascii="Times New Roman" w:hAnsi="Times New Roman" w:cs="Times New Roman"/>
          <w:b/>
        </w:rPr>
        <w:br/>
        <w:t>https://www.uzp.gov.pl/baza-wiedzy/dobre-praktyki/nowe-rekomendacje-dotyczace-zamowien-na-zestawy-komputerowe-marzec-2021</w:t>
      </w:r>
    </w:p>
    <w:p w14:paraId="2C7403C8" w14:textId="76A6570C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00DC59DC" w14:textId="77777777" w:rsidR="000812C0" w:rsidRP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0812C0">
        <w:rPr>
          <w:rFonts w:ascii="Times New Roman" w:hAnsi="Times New Roman" w:cs="Times New Roman"/>
          <w:b/>
          <w:u w:val="single"/>
        </w:rPr>
        <w:t>Odpowiedź:</w:t>
      </w:r>
    </w:p>
    <w:p w14:paraId="206FEC3F" w14:textId="77777777" w:rsidR="000812C0" w:rsidRP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 w:rsidRPr="000812C0">
        <w:rPr>
          <w:rFonts w:ascii="Times New Roman" w:hAnsi="Times New Roman" w:cs="Times New Roman"/>
          <w:b/>
          <w:u w:val="single"/>
        </w:rPr>
        <w:t>Zamawiający informuje, iż pozostawia dotychczasowe zapisy Opisu przedmiotu zamówienia bez zmian – Załącznik nr 1 do SWZ.</w:t>
      </w:r>
    </w:p>
    <w:p w14:paraId="66666277" w14:textId="77777777" w:rsidR="000812C0" w:rsidRDefault="000812C0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0BF7D7B6" w14:textId="63E2DABC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2:</w:t>
      </w:r>
    </w:p>
    <w:p w14:paraId="0890B468" w14:textId="3265A35E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00391FB9" w14:textId="7DE46352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 w:rsidRPr="000D76C4">
        <w:rPr>
          <w:rFonts w:ascii="Times New Roman" w:hAnsi="Times New Roman" w:cs="Times New Roman"/>
          <w:b/>
        </w:rPr>
        <w:t>Dotyczy: jednostek stacjonarnych i monitorów</w:t>
      </w:r>
      <w:r w:rsidRPr="000D76C4">
        <w:rPr>
          <w:rFonts w:ascii="Times New Roman" w:hAnsi="Times New Roman" w:cs="Times New Roman"/>
          <w:b/>
        </w:rPr>
        <w:br/>
      </w:r>
      <w:r w:rsidRPr="000D76C4">
        <w:rPr>
          <w:rFonts w:ascii="Times New Roman" w:hAnsi="Times New Roman" w:cs="Times New Roman"/>
          <w:b/>
        </w:rPr>
        <w:br/>
        <w:t>Zwracamy się z wnioskiem o wykreślenie zapisu:</w:t>
      </w:r>
      <w:r w:rsidRPr="000D76C4">
        <w:rPr>
          <w:rFonts w:ascii="Times New Roman" w:hAnsi="Times New Roman" w:cs="Times New Roman"/>
          <w:b/>
        </w:rPr>
        <w:br/>
        <w:t>„Certyfikat TCO 8.0, TCO Edge 2.0, TCO 9.0” który ogranicza równą konkurencję w przedmiotowym postępowaniu, nie dopuszczając do konkurowania z trzema największymi amerykańskimi firmami, wszystkich czołowych polskich i europejskich producentów sprzętu komputerowego, gdyż Certyfikatu TCO 6.0 nie posiada w tym zakresie żadna polska ani europejska firma.</w:t>
      </w:r>
      <w:r w:rsidRPr="000D76C4">
        <w:rPr>
          <w:rFonts w:ascii="Times New Roman" w:hAnsi="Times New Roman" w:cs="Times New Roman"/>
          <w:b/>
        </w:rPr>
        <w:br/>
        <w:t xml:space="preserve">Pragniemy poinformować Zamawiającego, że oznakowanie TCO </w:t>
      </w:r>
      <w:proofErr w:type="spellStart"/>
      <w:r w:rsidRPr="000D76C4">
        <w:rPr>
          <w:rFonts w:ascii="Times New Roman" w:hAnsi="Times New Roman" w:cs="Times New Roman"/>
          <w:b/>
        </w:rPr>
        <w:t>Certified</w:t>
      </w:r>
      <w:proofErr w:type="spellEnd"/>
      <w:r w:rsidRPr="000D76C4">
        <w:rPr>
          <w:rFonts w:ascii="Times New Roman" w:hAnsi="Times New Roman" w:cs="Times New Roman"/>
          <w:b/>
        </w:rPr>
        <w:t xml:space="preserve"> prowadzane jest przez szwedzki podmiot TCO Development na podstawie zestawienia zatwierdzonej przez ww. organizację, listy szeregu pojedynczych norm i standardów, charakteryzujących dany podmiot oraz wprowadzany na rynek produkt.</w:t>
      </w:r>
      <w:r w:rsidRPr="000D76C4">
        <w:rPr>
          <w:rFonts w:ascii="Times New Roman" w:hAnsi="Times New Roman" w:cs="Times New Roman"/>
          <w:b/>
        </w:rPr>
        <w:br/>
        <w:t>Obligatoryjnie należy zaznaczyć, że nie wszyscy producenci chcą, prowadzą, zgłaszają, a także rejestrują wytwarzane produkty w bazie TCO Development pomimo posiadania pełnej listy katalogu restrykcji, wypełniając z naddatkiem postawione wymagania względem przedmiotowego oznaczenia.</w:t>
      </w:r>
      <w:r w:rsidRPr="000D76C4">
        <w:rPr>
          <w:rFonts w:ascii="Times New Roman" w:hAnsi="Times New Roman" w:cs="Times New Roman"/>
          <w:b/>
        </w:rPr>
        <w:br/>
        <w:t>Sam brak wpisu na liście prowadzonej przez prywatny podmiot, który pobiera stosunkowe wysokie opłaty za samą tylko weryfikację dokumentacyjną i publikację produktów na prowadzonej stronie internetowej, nie może mieć żadnych podstaw, co do wymogów opisu przedmiotu zamówienia.</w:t>
      </w:r>
      <w:r w:rsidRPr="000D76C4">
        <w:rPr>
          <w:rFonts w:ascii="Times New Roman" w:hAnsi="Times New Roman" w:cs="Times New Roman"/>
          <w:b/>
        </w:rPr>
        <w:br/>
        <w:t>Będące w obrocie na polskim rynku produkty, charakteryzują się często parametrami niejednokrotnie wyższymi w zakresie ergonomiczności, ekonomiczności, środowiska, działań społecznych i energetycznych oraz bezpieczeństwem używania, a nie są umieszczane na szczególnych listach, konkretnych organizacji, gdyż już takie działanie stwarza niepotrzebne ukrycie i przeniesienie kosztów oznakowania produktu na klientów, co stoi w sprzeczności z polityką zrównoważonego rozwoju wielu producentów.</w:t>
      </w:r>
      <w:r w:rsidRPr="000D76C4">
        <w:rPr>
          <w:rFonts w:ascii="Times New Roman" w:hAnsi="Times New Roman" w:cs="Times New Roman"/>
          <w:b/>
        </w:rPr>
        <w:br/>
        <w:t>Ponadto zapis ten jest niezgodny z art. 105 ust. 1, 2 i 3 PZP.</w:t>
      </w:r>
      <w:r w:rsidRPr="000D76C4">
        <w:rPr>
          <w:rFonts w:ascii="Times New Roman" w:hAnsi="Times New Roman" w:cs="Times New Roman"/>
          <w:b/>
        </w:rPr>
        <w:br/>
        <w:t>Ponadto zapis ten w zupełności nie odzwierciedla potrzeb Zamawiającego i jest nieuzasadniony w stosunku do tego, w jaki sposób sprzęt komputerowy będzie przez Zamawiającego wykorzystywany.</w:t>
      </w:r>
      <w:r w:rsidRPr="000D76C4">
        <w:rPr>
          <w:rFonts w:ascii="Times New Roman" w:hAnsi="Times New Roman" w:cs="Times New Roman"/>
          <w:b/>
        </w:rPr>
        <w:br/>
        <w:t xml:space="preserve">Z uwagi na powyższe, wnioskujemy albo o </w:t>
      </w:r>
      <w:proofErr w:type="spellStart"/>
      <w:r w:rsidRPr="000D76C4">
        <w:rPr>
          <w:rFonts w:ascii="Times New Roman" w:hAnsi="Times New Roman" w:cs="Times New Roman"/>
          <w:b/>
        </w:rPr>
        <w:t>całkowice</w:t>
      </w:r>
      <w:proofErr w:type="spellEnd"/>
      <w:r w:rsidRPr="000D76C4">
        <w:rPr>
          <w:rFonts w:ascii="Times New Roman" w:hAnsi="Times New Roman" w:cs="Times New Roman"/>
          <w:b/>
        </w:rPr>
        <w:t xml:space="preserve"> wykreślenie powyższego zapisu albo o dopuszczenie produktów charakteryzujących się poniższymi parametrami, atestami oraz standardami, ujętymi również w zakresie jednostki produkcyjnej, ze szczególnym uwzględnieniem wymogów dla oznakowania „TCO </w:t>
      </w:r>
      <w:proofErr w:type="spellStart"/>
      <w:r w:rsidRPr="000D76C4">
        <w:rPr>
          <w:rFonts w:ascii="Times New Roman" w:hAnsi="Times New Roman" w:cs="Times New Roman"/>
          <w:b/>
        </w:rPr>
        <w:t>certified</w:t>
      </w:r>
      <w:proofErr w:type="spellEnd"/>
      <w:r w:rsidRPr="000D76C4">
        <w:rPr>
          <w:rFonts w:ascii="Times New Roman" w:hAnsi="Times New Roman" w:cs="Times New Roman"/>
          <w:b/>
        </w:rPr>
        <w:t>” tj.:</w:t>
      </w:r>
      <w:r w:rsidRPr="000D76C4">
        <w:rPr>
          <w:rFonts w:ascii="Times New Roman" w:hAnsi="Times New Roman" w:cs="Times New Roman"/>
          <w:b/>
        </w:rPr>
        <w:br/>
        <w:t>- „Certyfikat ISO-9001” – w zakresie prawidłowego zarządzania przedsiębiorstwem</w:t>
      </w:r>
      <w:r w:rsidRPr="000D76C4">
        <w:rPr>
          <w:rFonts w:ascii="Times New Roman" w:hAnsi="Times New Roman" w:cs="Times New Roman"/>
          <w:b/>
        </w:rPr>
        <w:br/>
        <w:t>- „Certyfikat ISO-14001” – w zakresie ochrony środowiska przez przedsiębiorstwo</w:t>
      </w:r>
      <w:r w:rsidRPr="000D76C4">
        <w:rPr>
          <w:rFonts w:ascii="Times New Roman" w:hAnsi="Times New Roman" w:cs="Times New Roman"/>
          <w:b/>
        </w:rPr>
        <w:br/>
        <w:t>- „Certyfikat bezpieczeństwa B-32” – w zakresie wprowadzenia do obrotu produktu oznaczonego znakiem towarowo-gwarancyjnym (bezpieczeństwa) „B”</w:t>
      </w:r>
      <w:r w:rsidRPr="000D76C4">
        <w:rPr>
          <w:rFonts w:ascii="Times New Roman" w:hAnsi="Times New Roman" w:cs="Times New Roman"/>
          <w:b/>
        </w:rPr>
        <w:br/>
        <w:t xml:space="preserve">- „Certyfikat wystawiony przez niezależną, akredytowaną jednostkę badawczą, który potwierdza roczne zużycie energii ogółem, według ROZPORZĄDZENIA KOMISJI (UE) NR 617/2013” – w zakresie niskiego zużycia energii, oraz przedłużenia żywotności i wydajności produktu, który to jest najważniejszym z zapisów i gwarantuje </w:t>
      </w:r>
      <w:r w:rsidRPr="000D76C4">
        <w:rPr>
          <w:rFonts w:ascii="Times New Roman" w:hAnsi="Times New Roman" w:cs="Times New Roman"/>
          <w:b/>
        </w:rPr>
        <w:lastRenderedPageBreak/>
        <w:t>Zamawiającemu otrzymanie komputerów, charakteryzujących się bardzo niskim zużyciem energii.</w:t>
      </w:r>
      <w:r w:rsidRPr="000D76C4">
        <w:rPr>
          <w:rFonts w:ascii="Times New Roman" w:hAnsi="Times New Roman" w:cs="Times New Roman"/>
          <w:b/>
        </w:rPr>
        <w:br/>
        <w:t>Mając powyższe na uwadze, wnosimy o stosowną modyfikację opisu przedmiotu zamówienia w przywołanym zakresie.</w:t>
      </w:r>
    </w:p>
    <w:p w14:paraId="3DC336E0" w14:textId="5911CF26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664F7C66" w14:textId="77777777" w:rsidR="000812C0" w:rsidRP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0812C0">
        <w:rPr>
          <w:rFonts w:ascii="Times New Roman" w:hAnsi="Times New Roman" w:cs="Times New Roman"/>
          <w:b/>
          <w:u w:val="single"/>
        </w:rPr>
        <w:t>Odpowiedź:</w:t>
      </w:r>
    </w:p>
    <w:p w14:paraId="12643185" w14:textId="77777777" w:rsidR="000812C0" w:rsidRP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 w:rsidRPr="000812C0">
        <w:rPr>
          <w:rFonts w:ascii="Times New Roman" w:hAnsi="Times New Roman" w:cs="Times New Roman"/>
          <w:b/>
          <w:u w:val="single"/>
        </w:rPr>
        <w:t>Zamawiający informuje, iż pozostawia dotychczasowe zapisy Opisu przedmiotu zamówienia bez zmian – Załącznik nr 1 do SWZ.</w:t>
      </w:r>
    </w:p>
    <w:p w14:paraId="1B44B894" w14:textId="3669BC17" w:rsidR="000812C0" w:rsidRDefault="000812C0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11618C49" w14:textId="77777777" w:rsidR="000812C0" w:rsidRDefault="000812C0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477E4310" w14:textId="42FC4B55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3:</w:t>
      </w:r>
    </w:p>
    <w:p w14:paraId="2E5F6EFF" w14:textId="74C69BA8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024E7ABD" w14:textId="04215549" w:rsidR="000D76C4" w:rsidRDefault="000D76C4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 w:rsidRPr="000D76C4">
        <w:rPr>
          <w:rFonts w:ascii="Times New Roman" w:hAnsi="Times New Roman" w:cs="Times New Roman"/>
          <w:b/>
        </w:rPr>
        <w:t>Zamawiający według zapisów OPZ wymaga „Oświadczenie producenta komputera, że w przypadku niewywiązania się z obowiązków gwarancyjnych oferenta lub firmy serwisującej, przejmie na siebie wszelkie zobowiązania związane z serwisem ” Pragnę zauważyć, iż wymóg dostarczenia takiego oświadczenia w rażący sposób narusza zapisy artykułu 16 ust. 1 PZP oraz zasady uczciwej konkurencji i równego traktowania wszystkich wykonawców w oparciu, o które winny być prowadzone postępowania. Opis przedmiotu zamówienia musi być tak skonstruowany, aby nie faworyzować żadnego z producentów. Jest to naruszenie Art. 16 Ustawy PZP oraz naruszenie Rekomendacji Prezesa Urzędu Zamówień Publicznych - link do rekomendacji:</w:t>
      </w:r>
      <w:r w:rsidRPr="000D76C4">
        <w:rPr>
          <w:rFonts w:ascii="Times New Roman" w:hAnsi="Times New Roman" w:cs="Times New Roman"/>
          <w:b/>
        </w:rPr>
        <w:br/>
      </w:r>
      <w:r w:rsidR="000812C0" w:rsidRPr="000812C0">
        <w:rPr>
          <w:rFonts w:ascii="Times New Roman" w:hAnsi="Times New Roman" w:cs="Times New Roman"/>
          <w:b/>
        </w:rPr>
        <w:t>https://www.uzp.gov.pl/baza-wiedzy/dobre-praktyki/nowe-rekomendacje-dotyczace-zamowien-na-zestawy-komputerowe-marzec-2021</w:t>
      </w:r>
    </w:p>
    <w:p w14:paraId="51304FD4" w14:textId="5CAFE43D" w:rsidR="000812C0" w:rsidRDefault="000812C0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5AFF4391" w14:textId="77777777" w:rsidR="000812C0" w:rsidRP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0812C0">
        <w:rPr>
          <w:rFonts w:ascii="Times New Roman" w:hAnsi="Times New Roman" w:cs="Times New Roman"/>
          <w:b/>
          <w:u w:val="single"/>
        </w:rPr>
        <w:t>Odpowiedź:</w:t>
      </w:r>
    </w:p>
    <w:p w14:paraId="0DCFED8B" w14:textId="14FB1E31" w:rsid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0812C0">
        <w:rPr>
          <w:rFonts w:ascii="Times New Roman" w:hAnsi="Times New Roman" w:cs="Times New Roman"/>
          <w:b/>
          <w:u w:val="single"/>
        </w:rPr>
        <w:t>Zamawiający informuje, iż pozostawia dotychczasowe zapisy Opisu przedmiotu zamówienia bez zmian – Załącznik nr 1 do SWZ.</w:t>
      </w:r>
    </w:p>
    <w:p w14:paraId="00C1F5A0" w14:textId="2BF8BAF7" w:rsid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  <w:u w:val="single"/>
        </w:rPr>
      </w:pPr>
    </w:p>
    <w:p w14:paraId="00296649" w14:textId="2ECCF071" w:rsidR="000812C0" w:rsidRDefault="000812C0" w:rsidP="000812C0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Pytanie z dnia 18.01.2024 r. </w:t>
      </w:r>
    </w:p>
    <w:p w14:paraId="0730FA64" w14:textId="7D0291E9" w:rsidR="000812C0" w:rsidRDefault="000812C0" w:rsidP="000812C0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66A491B3" w14:textId="1C831385" w:rsid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1:</w:t>
      </w:r>
    </w:p>
    <w:p w14:paraId="6B90A6B0" w14:textId="275791D2" w:rsid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6581DDB5" w14:textId="73AA7489" w:rsid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  <w:r w:rsidRPr="000812C0">
        <w:rPr>
          <w:rFonts w:ascii="Times New Roman" w:hAnsi="Times New Roman" w:cs="Times New Roman"/>
          <w:b/>
        </w:rPr>
        <w:t xml:space="preserve">Proszę o informacje, czy Zamawiający zaakceptuje zamiast wymaganego "Oświadczenie producenta komputera, że w przypadku niewywiązywania się z obowiązków gwarancyjnych oferenta lub firmy serwisującej, przejmie na siebie wszelkie zobowiązania związane z serwisem" podanie Part </w:t>
      </w:r>
      <w:proofErr w:type="spellStart"/>
      <w:r w:rsidRPr="000812C0">
        <w:rPr>
          <w:rFonts w:ascii="Times New Roman" w:hAnsi="Times New Roman" w:cs="Times New Roman"/>
          <w:b/>
        </w:rPr>
        <w:t>Number</w:t>
      </w:r>
      <w:proofErr w:type="spellEnd"/>
      <w:r w:rsidRPr="000812C0">
        <w:rPr>
          <w:rFonts w:ascii="Times New Roman" w:hAnsi="Times New Roman" w:cs="Times New Roman"/>
          <w:b/>
        </w:rPr>
        <w:t xml:space="preserve"> komputera + Part </w:t>
      </w:r>
      <w:proofErr w:type="spellStart"/>
      <w:r w:rsidRPr="000812C0">
        <w:rPr>
          <w:rFonts w:ascii="Times New Roman" w:hAnsi="Times New Roman" w:cs="Times New Roman"/>
          <w:b/>
        </w:rPr>
        <w:t>Number</w:t>
      </w:r>
      <w:proofErr w:type="spellEnd"/>
      <w:r w:rsidRPr="000812C0">
        <w:rPr>
          <w:rFonts w:ascii="Times New Roman" w:hAnsi="Times New Roman" w:cs="Times New Roman"/>
          <w:b/>
        </w:rPr>
        <w:t xml:space="preserve"> dodatkowej gwarancji, z których bezpośrednio wynika, że sprzęt ten jest objęty 48 miesięczną gwarancją producenta, a co za tym idzie jest serwisowany przez serwis producenta.</w:t>
      </w:r>
      <w:r w:rsidRPr="000812C0">
        <w:rPr>
          <w:rFonts w:ascii="Times New Roman" w:hAnsi="Times New Roman" w:cs="Times New Roman"/>
          <w:b/>
        </w:rPr>
        <w:br/>
        <w:t>Niestety nie ma możliwości spełnienia wymogów w SWZ Rozdział XXII.IV, pkt.2.</w:t>
      </w:r>
    </w:p>
    <w:p w14:paraId="6D45AAC5" w14:textId="24B54346" w:rsid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55733B5D" w14:textId="77777777" w:rsidR="000812C0" w:rsidRP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0812C0">
        <w:rPr>
          <w:rFonts w:ascii="Times New Roman" w:hAnsi="Times New Roman" w:cs="Times New Roman"/>
          <w:b/>
          <w:u w:val="single"/>
        </w:rPr>
        <w:t>Odpowiedź:</w:t>
      </w:r>
    </w:p>
    <w:p w14:paraId="40B95420" w14:textId="77777777" w:rsidR="000812C0" w:rsidRP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0812C0">
        <w:rPr>
          <w:rFonts w:ascii="Times New Roman" w:hAnsi="Times New Roman" w:cs="Times New Roman"/>
          <w:b/>
          <w:u w:val="single"/>
        </w:rPr>
        <w:t>Zamawiający informuje, iż pozostawia dotychczasowe zapisy Opisu przedmiotu zamówienia bez zmian – Załącznik nr 1 do SWZ.</w:t>
      </w:r>
    </w:p>
    <w:p w14:paraId="58E2AA12" w14:textId="77777777" w:rsidR="000812C0" w:rsidRPr="000812C0" w:rsidRDefault="000812C0" w:rsidP="000812C0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776F5795" w14:textId="77777777" w:rsidR="005D719D" w:rsidRDefault="005D719D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16417652" w14:textId="77777777" w:rsidR="005D719D" w:rsidRDefault="005D719D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024A99B6" w14:textId="77777777" w:rsidR="005D719D" w:rsidRDefault="005D719D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62D3D059" w14:textId="6864E8F9" w:rsidR="000812C0" w:rsidRPr="005D719D" w:rsidRDefault="005D719D" w:rsidP="000D76C4">
      <w:pPr>
        <w:pStyle w:val="Bezodstpw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5D719D">
        <w:rPr>
          <w:rFonts w:ascii="Times New Roman" w:hAnsi="Times New Roman" w:cs="Times New Roman"/>
          <w:b/>
          <w:u w:val="single"/>
        </w:rPr>
        <w:t>Zmiana w Załączniku nr 1 do SWZ – Opis przedmiotu zamówienia</w:t>
      </w:r>
      <w:r w:rsidR="00014360" w:rsidRPr="005D719D">
        <w:rPr>
          <w:rFonts w:ascii="Times New Roman" w:hAnsi="Times New Roman" w:cs="Times New Roman"/>
          <w:b/>
          <w:u w:val="single"/>
        </w:rPr>
        <w:t>:</w:t>
      </w:r>
    </w:p>
    <w:p w14:paraId="6CBAB6AA" w14:textId="51FE8D9F" w:rsidR="00014360" w:rsidRDefault="00014360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2D8BDBF6" w14:textId="72789574" w:rsidR="00014360" w:rsidRDefault="00014360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tbl>
      <w:tblPr>
        <w:tblW w:w="552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9"/>
        <w:gridCol w:w="1918"/>
        <w:gridCol w:w="4915"/>
        <w:gridCol w:w="2838"/>
      </w:tblGrid>
      <w:tr w:rsidR="002D76F7" w:rsidRPr="0090381C" w14:paraId="255CF46B" w14:textId="77777777" w:rsidTr="00D32743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EB71" w14:textId="77777777" w:rsidR="002D76F7" w:rsidRPr="00586E1C" w:rsidRDefault="002D76F7" w:rsidP="00D32743">
            <w:pPr>
              <w:pStyle w:val="Podtytu"/>
              <w:framePr w:hSpace="0" w:wrap="auto" w:vAnchor="margin" w:hAnchor="text" w:yAlign="inline"/>
            </w:pPr>
            <w:r w:rsidRPr="00D30FF3">
              <w:t xml:space="preserve">POZYCJA  1 (L.p. 1-25): JEDNOSTKI CENTRALNE Z OPROGRAMOWANIEM I OSPRZĘTEM  </w:t>
            </w:r>
          </w:p>
        </w:tc>
      </w:tr>
      <w:tr w:rsidR="002D76F7" w:rsidRPr="0090381C" w14:paraId="0A15D4BD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6059" w14:textId="77777777" w:rsidR="002D76F7" w:rsidRPr="0090381C" w:rsidRDefault="002D76F7" w:rsidP="00D32743">
            <w:pPr>
              <w:pStyle w:val="Tabelapozycja"/>
              <w:spacing w:line="256" w:lineRule="auto"/>
              <w:rPr>
                <w:rFonts w:asciiTheme="minorHAnsi" w:eastAsia="Times New Roman" w:hAnsiTheme="minorHAnsi" w:cstheme="minorHAnsi"/>
                <w:b/>
                <w:kern w:val="2"/>
                <w:szCs w:val="22"/>
                <w:lang w:eastAsia="en-US"/>
                <w14:ligatures w14:val="standardContextual"/>
              </w:rPr>
            </w:pPr>
            <w:r w:rsidRPr="0090381C">
              <w:rPr>
                <w:rFonts w:asciiTheme="minorHAnsi" w:eastAsia="Times New Roman" w:hAnsiTheme="minorHAnsi" w:cstheme="minorHAnsi"/>
                <w:b/>
                <w:kern w:val="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1F0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/>
                <w:kern w:val="2"/>
                <w14:ligatures w14:val="standardContextual"/>
              </w:rPr>
            </w:pPr>
            <w:r w:rsidRPr="0090381C">
              <w:rPr>
                <w:rFonts w:cstheme="minorHAnsi"/>
                <w:b/>
                <w:kern w:val="2"/>
                <w14:ligatures w14:val="standardContextual"/>
              </w:rPr>
              <w:t>Nazwa komponentu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602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/>
                <w:kern w:val="2"/>
                <w14:ligatures w14:val="standardContextual"/>
              </w:rPr>
            </w:pPr>
            <w:r w:rsidRPr="0090381C">
              <w:rPr>
                <w:rFonts w:cstheme="minorHAnsi"/>
                <w:b/>
                <w:kern w:val="2"/>
                <w14:ligatures w14:val="standardContextual"/>
              </w:rPr>
              <w:t>Wymagane minimalne parametry techniczne komputerów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1A4" w14:textId="77777777" w:rsidR="002D76F7" w:rsidRPr="00586E1C" w:rsidRDefault="002D76F7" w:rsidP="00D32743">
            <w:pPr>
              <w:pStyle w:val="Podtytu"/>
              <w:framePr w:hSpace="0" w:wrap="auto" w:vAnchor="margin" w:hAnchor="text" w:yAlign="inline"/>
            </w:pPr>
            <w:r w:rsidRPr="00586E1C">
              <w:t>OPIS PARAMETRÓW OFEROWANYCH</w:t>
            </w:r>
          </w:p>
          <w:p w14:paraId="773A5E7F" w14:textId="77777777" w:rsidR="002D76F7" w:rsidRDefault="002D76F7" w:rsidP="00D32743">
            <w:pPr>
              <w:spacing w:after="0"/>
              <w:jc w:val="center"/>
            </w:pPr>
            <w:r>
              <w:t xml:space="preserve">(Proszę opisać oraz podać </w:t>
            </w:r>
            <w:r>
              <w:lastRenderedPageBreak/>
              <w:t>zakresy, jeśli dotyczy.</w:t>
            </w:r>
          </w:p>
          <w:p w14:paraId="154819E3" w14:textId="77777777" w:rsidR="002D76F7" w:rsidRPr="0090381C" w:rsidRDefault="002D76F7" w:rsidP="00D3274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kern w:val="2"/>
                <w14:ligatures w14:val="standardContextual"/>
              </w:rPr>
            </w:pPr>
            <w:r>
              <w:t>W przypadku, jeśli Zamawiający podaje wartości minimalne lub dopuszczalny zakres, proszę podać dokładną wartość oferowanych parametrów)</w:t>
            </w:r>
          </w:p>
        </w:tc>
      </w:tr>
      <w:tr w:rsidR="002D76F7" w:rsidRPr="0090381C" w14:paraId="42AA67BA" w14:textId="77777777" w:rsidTr="00D32743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DC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Nie dopuszcza się modyfikacji na drodze Producent-Zamawiający (np. modyfikacji lub wymiany jakiegokolwiek komponentu sprzętowego, wymagany system operacyjny musi być fabrycznie preinstalowany na etapie produkcji komputera</w:t>
            </w:r>
          </w:p>
        </w:tc>
      </w:tr>
      <w:tr w:rsidR="002D76F7" w:rsidRPr="0090381C" w14:paraId="6C5AD5ED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966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2BD6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Komputer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52B0" w14:textId="77777777" w:rsidR="002D76F7" w:rsidRPr="0090381C" w:rsidRDefault="002D76F7" w:rsidP="00D32743">
            <w:pPr>
              <w:pStyle w:val="Tabelapozycja"/>
              <w:spacing w:after="160"/>
              <w:contextualSpacing/>
              <w:rPr>
                <w:rFonts w:asciiTheme="minorHAnsi" w:eastAsiaTheme="minorHAnsi" w:hAnsiTheme="minorHAnsi" w:cstheme="minorHAnsi"/>
                <w:kern w:val="2"/>
                <w:szCs w:val="22"/>
                <w:lang w:eastAsia="en-US"/>
                <w14:ligatures w14:val="standardContextual"/>
              </w:rPr>
            </w:pPr>
            <w:r w:rsidRPr="0090381C">
              <w:rPr>
                <w:rFonts w:asciiTheme="minorHAnsi" w:eastAsiaTheme="minorHAnsi" w:hAnsiTheme="minorHAnsi" w:cstheme="minorHAnsi"/>
                <w:kern w:val="2"/>
                <w:szCs w:val="22"/>
                <w:lang w:eastAsia="en-US"/>
                <w14:ligatures w14:val="standardContextual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848" w14:textId="77777777" w:rsidR="002D76F7" w:rsidRPr="0090381C" w:rsidRDefault="002D76F7" w:rsidP="00D32743">
            <w:pPr>
              <w:pStyle w:val="Tabelapozycja"/>
              <w:spacing w:after="160"/>
              <w:contextualSpacing/>
              <w:rPr>
                <w:rFonts w:asciiTheme="minorHAnsi" w:eastAsiaTheme="minorHAnsi" w:hAnsiTheme="minorHAnsi" w:cstheme="minorHAns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2D76F7" w:rsidRPr="0090381C" w14:paraId="5D19D4CB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D64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4A5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Obudowa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3BE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Typu Tower z obsługą kart PCI Express o pełnym profilu</w:t>
            </w:r>
          </w:p>
          <w:p w14:paraId="2A00E588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Fabrycznie umożliwiająca montaż min. 2 kieszeni: 1 szt. na napęd optyczny (dopuszcza się stosowanie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napedów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slim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) zewnętrzna, 1 szt. 3,5”na standardowy dysk twardy. Wolna zatoka do rozbudowy o dysk 3,5”/2,5”</w:t>
            </w:r>
          </w:p>
          <w:p w14:paraId="7F724E1F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Wyposażona w czytnik kart multimedialnych </w:t>
            </w:r>
          </w:p>
          <w:p w14:paraId="5F2BF28C" w14:textId="77777777" w:rsidR="002D76F7" w:rsidRPr="0090381C" w:rsidRDefault="002D76F7" w:rsidP="00D32743">
            <w:pPr>
              <w:autoSpaceDN w:val="0"/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- Obudowa trwale oznaczona nazwą producenta, nazwą komputera, numerem MTM, PN, numerem seryjnym</w:t>
            </w:r>
          </w:p>
          <w:p w14:paraId="3404C54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- Wyposażona w budowany głośnik o mocy min. 1W</w:t>
            </w:r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F5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67108065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EF1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0C4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Zasilacz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F47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DE2CD4">
              <w:rPr>
                <w:rFonts w:cstheme="minorHAnsi"/>
                <w:color w:val="FF0000"/>
                <w:kern w:val="2"/>
                <w14:ligatures w14:val="standardContextual"/>
              </w:rPr>
              <w:t xml:space="preserve">Zasilacz maksymalnie </w:t>
            </w:r>
            <w:r>
              <w:rPr>
                <w:rFonts w:cstheme="minorHAnsi"/>
                <w:color w:val="FF0000"/>
                <w:kern w:val="2"/>
                <w14:ligatures w14:val="standardContextual"/>
              </w:rPr>
              <w:t xml:space="preserve">180 </w:t>
            </w:r>
            <w:r w:rsidRPr="00DE2CD4">
              <w:rPr>
                <w:rFonts w:cstheme="minorHAnsi"/>
                <w:color w:val="FF0000"/>
                <w:kern w:val="2"/>
                <w14:ligatures w14:val="standardContextual"/>
              </w:rPr>
              <w:t xml:space="preserve">W o sprawności minimum </w:t>
            </w:r>
            <w:r>
              <w:rPr>
                <w:rFonts w:cstheme="minorHAnsi"/>
                <w:color w:val="FF0000"/>
                <w:kern w:val="2"/>
                <w14:ligatures w14:val="standardContextual"/>
              </w:rPr>
              <w:t xml:space="preserve">85 </w:t>
            </w:r>
            <w:r w:rsidRPr="00DE2CD4">
              <w:rPr>
                <w:rFonts w:cstheme="minorHAnsi"/>
                <w:color w:val="FF0000"/>
                <w:kern w:val="2"/>
                <w14:ligatures w14:val="standardContextual"/>
              </w:rPr>
              <w:t>%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55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6DB5A334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913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6DC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Chipset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541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Dostosowany do zaoferowanego procesora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276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089D2563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28A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63B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Płyta główna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450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Zaprojektowana i wyprodukowana przez producenta komputera.</w:t>
            </w:r>
          </w:p>
          <w:p w14:paraId="28FA310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Wyposażona w złącza min.:</w:t>
            </w:r>
          </w:p>
          <w:p w14:paraId="2138729A" w14:textId="77777777" w:rsidR="002D76F7" w:rsidRPr="0090381C" w:rsidRDefault="002D76F7" w:rsidP="008D47FD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1 x PCI Express 4.0 x16,</w:t>
            </w:r>
          </w:p>
          <w:p w14:paraId="0D913E3D" w14:textId="77777777" w:rsidR="002D76F7" w:rsidRPr="0090381C" w:rsidRDefault="002D76F7" w:rsidP="008D47FD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2 x PCI Express 3.0 x1,</w:t>
            </w:r>
          </w:p>
          <w:p w14:paraId="180D57CB" w14:textId="77777777" w:rsidR="002D76F7" w:rsidRPr="0090381C" w:rsidRDefault="002D76F7" w:rsidP="008D47FD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2 x M.2 z czego min. 1 przeznaczona dla dysku SSD z obsługą </w:t>
            </w:r>
            <w:proofErr w:type="spellStart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PCIe</w:t>
            </w:r>
            <w:proofErr w:type="spellEnd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NVMe</w:t>
            </w:r>
            <w:proofErr w:type="spellEnd"/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1F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00A778DB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7F9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B6F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Wydajność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F63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Procesor dedykowany do pracy w komputerach stacjonarnych. Procesor osiągający w teście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PassMark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CPU Mark, w kategorii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Average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CPU Mark wynik co najmniej </w:t>
            </w:r>
            <w:r>
              <w:rPr>
                <w:color w:val="FF0000"/>
              </w:rPr>
              <w:t>19440</w:t>
            </w:r>
            <w:r w:rsidRPr="0090381C">
              <w:rPr>
                <w:rFonts w:cstheme="minorHAnsi"/>
                <w:kern w:val="2"/>
                <w14:ligatures w14:val="standardContextual"/>
              </w:rPr>
              <w:t xml:space="preserve"> pkt. według wyników z załącznika nr 2a do szczegółowego opisu przedmiotu zamówienia  -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PassMark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– CPU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Benchmarks</w:t>
            </w:r>
            <w:proofErr w:type="spellEnd"/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11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06B9250D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B94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F213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Pamięć operacyjna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A8E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color w:val="000000"/>
                <w:kern w:val="2"/>
                <w14:ligatures w14:val="standardContextual"/>
              </w:rPr>
            </w:pPr>
            <w:r w:rsidRPr="0090381C">
              <w:rPr>
                <w:rFonts w:cstheme="minorHAnsi"/>
                <w:color w:val="000000"/>
                <w:kern w:val="2"/>
                <w14:ligatures w14:val="standardContextual"/>
              </w:rPr>
              <w:t xml:space="preserve">Min. 8GB DDR4 3200MHz z możliwością rozszerzenia do 64 GB </w:t>
            </w:r>
          </w:p>
          <w:p w14:paraId="6BB011A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color w:val="000000"/>
                <w:kern w:val="2"/>
                <w14:ligatures w14:val="standardContextual"/>
              </w:rPr>
            </w:pPr>
            <w:r w:rsidRPr="0090381C">
              <w:rPr>
                <w:rFonts w:cstheme="minorHAnsi"/>
                <w:color w:val="000000"/>
                <w:kern w:val="2"/>
                <w14:ligatures w14:val="standardContextual"/>
              </w:rPr>
              <w:t>Ilość banków pamięci: min. 2 szt.</w:t>
            </w:r>
          </w:p>
          <w:p w14:paraId="5CA1AB5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color w:val="000000"/>
                <w:kern w:val="2"/>
                <w14:ligatures w14:val="standardContextual"/>
              </w:rPr>
              <w:t>Ilość wolnych banków pamięci: min. 1 szt.</w:t>
            </w:r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F6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color w:val="000000"/>
                <w:kern w:val="2"/>
                <w14:ligatures w14:val="standardContextual"/>
              </w:rPr>
            </w:pPr>
          </w:p>
        </w:tc>
      </w:tr>
      <w:tr w:rsidR="002D76F7" w:rsidRPr="0090381C" w14:paraId="694445F5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F69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DEA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Dysk twardy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664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Min 512GB SSD M.2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PCIe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NVMe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zawierający RECOVERY umożliwiające odtworzenie systemu </w:t>
            </w: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 xml:space="preserve">operacyjnego fabrycznie zainstalowanego na komputerze po awarii.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28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06568A4A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505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8C08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Napęd optyczny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FBA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Nagrywarka DVD +/-RW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87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41A64611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281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0C7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Karta graficzna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F825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Zintegrowana karta graficzna wykorzystująca pamięć RAM systemu dynamicznie przydzielaną na potrzeby grafiki w trybie UMA (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Unified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Memory Access) – z możliwością dynamicznego przydzielenia pamięci.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A06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26BADC95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482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69E5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Audio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58A5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Karta dźwiękowa zintegrowana z płytą główną, zgodna z High Definition.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5B5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6B7F1447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313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9CA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Karta sieciowa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FAA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LAN 10/100/1000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Mbit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/s z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funkją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PXE oraz Wake on LAN</w:t>
            </w:r>
          </w:p>
          <w:p w14:paraId="7AD3AAC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WiFi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802.11ax 2x2 + BT 5.1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43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658D440C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321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1BD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Porty/złącza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D3F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Wbudowane porty/złącza: </w:t>
            </w:r>
          </w:p>
          <w:p w14:paraId="5EE7722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Wideo różnego typu umożliwiające elastyczne podłączenie urządzenia bez stosowania przejściówek lub adapterów za pomocą min:</w:t>
            </w:r>
          </w:p>
          <w:p w14:paraId="7014404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:lang w:val="en-US"/>
                <w14:ligatures w14:val="standardContextual"/>
              </w:rPr>
            </w:pPr>
            <w:r w:rsidRPr="0090381C">
              <w:rPr>
                <w:rFonts w:cstheme="minorHAnsi"/>
                <w:kern w:val="2"/>
                <w:lang w:val="en-US"/>
                <w14:ligatures w14:val="standardContextual"/>
              </w:rPr>
              <w:t xml:space="preserve">- 1 x VGA, </w:t>
            </w:r>
          </w:p>
          <w:p w14:paraId="53F3B1E6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:lang w:val="en-US"/>
                <w14:ligatures w14:val="standardContextual"/>
              </w:rPr>
            </w:pPr>
            <w:r w:rsidRPr="0090381C">
              <w:rPr>
                <w:rFonts w:cstheme="minorHAnsi"/>
                <w:kern w:val="2"/>
                <w:lang w:val="en-US"/>
                <w14:ligatures w14:val="standardContextual"/>
              </w:rPr>
              <w:t xml:space="preserve">- </w:t>
            </w:r>
            <w:r w:rsidRPr="002D1078">
              <w:rPr>
                <w:rFonts w:cstheme="minorHAnsi"/>
                <w:color w:val="FF0000"/>
                <w:kern w:val="2"/>
                <w:lang w:val="en-US"/>
                <w14:ligatures w14:val="standardContextual"/>
              </w:rPr>
              <w:t xml:space="preserve">1 x HDMI </w:t>
            </w:r>
            <w:r>
              <w:rPr>
                <w:rFonts w:cstheme="minorHAnsi"/>
                <w:color w:val="FF0000"/>
                <w:kern w:val="2"/>
                <w:lang w:val="en-US"/>
                <w14:ligatures w14:val="standardContextual"/>
              </w:rPr>
              <w:t>1.4b</w:t>
            </w:r>
            <w:r w:rsidRPr="0090381C">
              <w:rPr>
                <w:rFonts w:cstheme="minorHAnsi"/>
                <w:kern w:val="2"/>
                <w:lang w:val="en-US"/>
                <w14:ligatures w14:val="standardContextual"/>
              </w:rPr>
              <w:t>,</w:t>
            </w:r>
          </w:p>
          <w:p w14:paraId="46FC9BFF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:lang w:val="en-US"/>
                <w14:ligatures w14:val="standardContextual"/>
              </w:rPr>
            </w:pPr>
            <w:r w:rsidRPr="0090381C">
              <w:rPr>
                <w:rFonts w:cstheme="minorHAnsi"/>
                <w:kern w:val="2"/>
                <w:lang w:val="en-US"/>
                <w14:ligatures w14:val="standardContextual"/>
              </w:rPr>
              <w:t>- 1 x DisplayPort 1.4,</w:t>
            </w:r>
          </w:p>
          <w:p w14:paraId="63F95E8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Pozostałe porty/złącza:</w:t>
            </w:r>
          </w:p>
          <w:p w14:paraId="70AB3EA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- 9 x USB w tym:</w:t>
            </w:r>
          </w:p>
          <w:p w14:paraId="74903515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z przodu obudowy min.5 x USB 3.2, w tym min. 1 x USB typ C</w:t>
            </w:r>
          </w:p>
          <w:p w14:paraId="5B515658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z tyłu obudowy min. 4 x USB 2.0</w:t>
            </w:r>
          </w:p>
          <w:p w14:paraId="5A6A6793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port sieciowy RJ-45, </w:t>
            </w:r>
          </w:p>
          <w:p w14:paraId="3F146B0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porty słuchawek i mikrofonu na przednim lub tylnym panelu obudowy</w:t>
            </w:r>
          </w:p>
          <w:p w14:paraId="0D5B230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czytnik kart pamięci min. SD</w:t>
            </w:r>
            <w:r w:rsidRPr="0090381C">
              <w:rPr>
                <w:rFonts w:cstheme="minorHAnsi"/>
                <w:kern w:val="2"/>
                <w14:ligatures w14:val="standardContextual"/>
              </w:rPr>
              <w:br/>
            </w:r>
          </w:p>
          <w:p w14:paraId="7C5C309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C25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50A8F342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CE5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38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Klawiatura/mysz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EA2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Klawiatura przewodowa w układzie US</w:t>
            </w:r>
          </w:p>
          <w:p w14:paraId="64C8DDA3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Mysz przewodowa (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scroll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46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2BA91B51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B85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27A3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System operacyjny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57AF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System operacyjny klasy PC musi spełniać następujące wymagania poprzez wbudowane mechanizmy, bez użycia dodatkowych aplikacji:</w:t>
            </w:r>
          </w:p>
          <w:p w14:paraId="7BEF824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Dostępne dwa rodzaje graficznego interfejsu użytkownika:</w:t>
            </w:r>
          </w:p>
          <w:p w14:paraId="2E65D65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a.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Klasyczny, umożliwiający obsługę przy pomocy klawiatury i myszy,</w:t>
            </w:r>
          </w:p>
          <w:p w14:paraId="13DD1E9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b.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Dotykowy umożliwiający sterowanie dotykiem na urządzeniach typu tablet lub monitorach dotykowych</w:t>
            </w:r>
          </w:p>
          <w:p w14:paraId="24EACC1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5EA53EC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Interfejs użytkownika dostępny w wielu językach do wyboru – w tym polskim i angielskim</w:t>
            </w:r>
          </w:p>
          <w:p w14:paraId="0466A573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Możliwość tworzenia pulpitów wirtualnych, </w:t>
            </w: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przenoszenia aplikacji pomiędzy pulpitami i przełączanie się pomiędzy pulpitami za pomocą skrótów klawiaturowych lub GUI.</w:t>
            </w:r>
          </w:p>
          <w:p w14:paraId="70E5ECF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5.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Wbudowane w system operacyjny minimum dwie przeglądarki Internetowe</w:t>
            </w:r>
          </w:p>
          <w:p w14:paraId="3FC1994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6.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0122EE53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7.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Zlokalizowane w języku polskim, co najmniej następujące elementy: menu, pomoc, komunikaty systemowe, menedżer plików.</w:t>
            </w:r>
          </w:p>
          <w:p w14:paraId="341DA75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8.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Graficzne środowisko instalacji i konfiguracji dostępne w języku polskim</w:t>
            </w:r>
          </w:p>
          <w:p w14:paraId="70A98F7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9.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Wbudowany system pomocy w języku polskim.</w:t>
            </w:r>
          </w:p>
          <w:p w14:paraId="33F2C6C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10.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przystosowania stanowiska dla osób niepełnosprawnych (np. słabo widzących).</w:t>
            </w:r>
          </w:p>
          <w:p w14:paraId="03C0950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dokonywania aktualizacji i poprawek systemu poprzez mechanizm zarządzany przez administratora systemu Zamawiającego.</w:t>
            </w:r>
          </w:p>
          <w:p w14:paraId="0E2264D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Możliwość dostarczania poprawek do systemu operacyjnego w modelu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peer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-to-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peer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.</w:t>
            </w:r>
          </w:p>
          <w:p w14:paraId="58828B0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231B807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14.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711C9D5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15.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dołączenia systemu do usługi katalogowej on-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premise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lub w chmurze.</w:t>
            </w:r>
          </w:p>
          <w:p w14:paraId="71CDD8D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16.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Umożliwienie zablokowania urządzenia w ramach danego konta tylko do uruchamiania wybranej aplikacji - tryb "kiosk".</w:t>
            </w:r>
          </w:p>
          <w:p w14:paraId="0104AB38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17.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B29213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18.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63ED0D35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19.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Transakcyjny system plików pozwalający na stosowanie przydziałów (ang.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quota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) na dysku dla użytkowników oraz zapewniający większą </w:t>
            </w: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niezawodność i pozwalający tworzyć kopie zapasowe.</w:t>
            </w:r>
          </w:p>
          <w:p w14:paraId="18208CC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20.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33C45F7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przywracania obrazu plików systemowych do uprzednio zapisanej postaci.</w:t>
            </w:r>
          </w:p>
          <w:p w14:paraId="0F90320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przywracania systemu operacyjnego do stanu początkowego z pozostawieniem plików użytkownika.</w:t>
            </w:r>
          </w:p>
          <w:p w14:paraId="29DBF46F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763D218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24.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Wbudowany mechanizm wirtualizacji typu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hypervisor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."</w:t>
            </w:r>
          </w:p>
          <w:p w14:paraId="223B7A9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25.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Wbudowana możliwość zdalnego dostępu do systemu i pracy zdalnej z wykorzystaniem pełnego interfejsu graficznego.</w:t>
            </w:r>
          </w:p>
          <w:p w14:paraId="5EDB41E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26.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Dostępność bezpłatnych biuletynów bezpieczeństwa związanych z działaniem systemu operacyjnego.</w:t>
            </w:r>
          </w:p>
          <w:p w14:paraId="1C7B5013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27.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41BB9BA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28.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54E483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29.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734CF2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30.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Wbudowany system uwierzytelnienia dwuskładnikowego oparty o certyfikat lub klucz prywatny oraz PIN lub uwierzytelnienie biometryczne.</w:t>
            </w:r>
          </w:p>
          <w:p w14:paraId="7FFAEF7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Wbudowane mechanizmy ochrony antywirusowej i przeciw złośliwemu oprogramowaniu z zapewnionymi bezpłatnymi aktualizacjami.</w:t>
            </w:r>
          </w:p>
          <w:p w14:paraId="58C19733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Wbudowany system szyfrowania dysku twardego ze wsparciem modułu TPM</w:t>
            </w:r>
          </w:p>
          <w:p w14:paraId="15D259D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tworzenia i przechowywania kopii zapasowych kluczy odzyskiwania do szyfrowania dysku w usługach katalogowych.</w:t>
            </w:r>
          </w:p>
          <w:p w14:paraId="41CC7C0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34.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Możliwość tworzenia wirtualnych kart inteligentnych.</w:t>
            </w:r>
          </w:p>
          <w:p w14:paraId="5CBF9905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35.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Wsparcie dla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firmware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UEFI i funkcji bezpiecznego rozruchu (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Secure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Boot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)</w:t>
            </w:r>
          </w:p>
          <w:p w14:paraId="3D5E4BA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36.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Wbudowany w system, wykorzystywany automatycznie przez wbudowane przeglądarki filtr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reputacyjny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URL.</w:t>
            </w:r>
          </w:p>
          <w:p w14:paraId="658922A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37.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59034A7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38.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Mechanizmy logowania w oparciu o:</w:t>
            </w:r>
          </w:p>
          <w:p w14:paraId="6E4CA35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a.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Login i hasło,</w:t>
            </w:r>
          </w:p>
          <w:p w14:paraId="0D2391A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b.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Karty inteligentne i certyfikaty (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smartcard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),</w:t>
            </w:r>
          </w:p>
          <w:p w14:paraId="2897AB7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c.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Wirtualne karty inteligentne i certyfikaty (logowanie w oparciu o certyfikat chroniony poprzez moduł TPM),</w:t>
            </w:r>
          </w:p>
          <w:p w14:paraId="5D9A522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d.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Certyfikat/Klucz i PIN</w:t>
            </w:r>
          </w:p>
          <w:p w14:paraId="044F163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e.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Certyfikat/Klucz i uwierzytelnienie biometryczne</w:t>
            </w:r>
          </w:p>
          <w:p w14:paraId="6913E03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39.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Wsparcie dla uwierzytelniania na bazie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Kerberos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v. 5</w:t>
            </w:r>
          </w:p>
          <w:p w14:paraId="3A8EA76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40.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Wbudowany agent do zbierania danych na temat zagrożeń na stacji roboczej.</w:t>
            </w:r>
          </w:p>
          <w:p w14:paraId="0DB9F8F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41.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>Wsparcie .NET Framework 2.x, 3.x i 4.x – możliwość uruchomienia aplikacji działających we wskazanych środowiskach</w:t>
            </w:r>
          </w:p>
          <w:p w14:paraId="328FB7B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42.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Wsparcie dla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VBScript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– możliwość uruchamiania interpretera poleceń</w:t>
            </w:r>
          </w:p>
          <w:p w14:paraId="4E88185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43.</w:t>
            </w:r>
            <w:r w:rsidRPr="0090381C">
              <w:rPr>
                <w:rFonts w:cstheme="minorHAnsi"/>
                <w:kern w:val="2"/>
                <w14:ligatures w14:val="standardContextual"/>
              </w:rPr>
              <w:tab/>
              <w:t xml:space="preserve">Wsparcie dla PowerShell 5.x – możliwość uruchamiania interpretera poleceń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25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64D572B9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D9E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C0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44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INNE: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FCA8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2E249298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E29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DD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AF9" w14:textId="77777777" w:rsidR="002D76F7" w:rsidRPr="00B31E6E" w:rsidRDefault="002D76F7" w:rsidP="008D47FD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/>
              <w:ind w:left="304"/>
              <w:contextualSpacing/>
              <w:jc w:val="left"/>
              <w:textAlignment w:val="auto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do aplikacji dostępna jest pełna dokumentacja w języku polskim. Wymagana najnowsza wersja na dzień publikacji ogłoszenia o zamówieniu z bezterminową licencją na użytkowanie.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67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65A2E509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DD6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228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Pakiet biurowy</w:t>
            </w:r>
            <w:r>
              <w:rPr>
                <w:rFonts w:cstheme="minorHAnsi"/>
                <w:kern w:val="2"/>
                <w14:ligatures w14:val="standardContextual"/>
              </w:rPr>
              <w:t xml:space="preserve"> wraz z licencją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9D4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</w:rPr>
              <w:t>INTERFEJS UŻYTKOWNIKA: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BD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</w:rPr>
            </w:pPr>
          </w:p>
        </w:tc>
      </w:tr>
      <w:tr w:rsidR="002D76F7" w:rsidRPr="0090381C" w14:paraId="6B5BEC5F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861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078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6A0" w14:textId="77777777" w:rsidR="002D76F7" w:rsidRPr="0090381C" w:rsidRDefault="002D76F7" w:rsidP="008D47FD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pełna polska wersja językowa interfejsu użytkownika, </w:t>
            </w:r>
          </w:p>
          <w:p w14:paraId="4593EBDB" w14:textId="77777777" w:rsidR="002D76F7" w:rsidRPr="0090381C" w:rsidRDefault="002D76F7" w:rsidP="008D47FD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>prostota i intuicyjność obsługi, pozwalająca na pracę osobom nie posiadającym umiejętności technicznych,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155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70621984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831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70F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A54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TWORZENIE I EDYCJA DOKUMENTÓW ELEKTRONICZNYCH: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DC1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4B476062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DD14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97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F34" w14:textId="77777777" w:rsidR="002D76F7" w:rsidRPr="0090381C" w:rsidRDefault="002D76F7" w:rsidP="008D47FD">
            <w:pPr>
              <w:numPr>
                <w:ilvl w:val="0"/>
                <w:numId w:val="14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kompletny i publicznie dostępny opis formatu, </w:t>
            </w:r>
          </w:p>
          <w:p w14:paraId="049130D6" w14:textId="77777777" w:rsidR="002D76F7" w:rsidRPr="0090381C" w:rsidRDefault="002D76F7" w:rsidP="008D47FD">
            <w:pPr>
              <w:numPr>
                <w:ilvl w:val="0"/>
                <w:numId w:val="14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</w:t>
            </w:r>
            <w:r w:rsidRPr="0090381C">
              <w:rPr>
                <w:rFonts w:cstheme="minorHAnsi"/>
              </w:rPr>
              <w:lastRenderedPageBreak/>
              <w:t xml:space="preserve">526). </w:t>
            </w:r>
          </w:p>
          <w:p w14:paraId="510B276E" w14:textId="77777777" w:rsidR="002D76F7" w:rsidRPr="0090381C" w:rsidRDefault="002D76F7" w:rsidP="008D47FD">
            <w:pPr>
              <w:numPr>
                <w:ilvl w:val="0"/>
                <w:numId w:val="14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umożliwiający wykorzystanie schematów XML, </w:t>
            </w:r>
          </w:p>
          <w:p w14:paraId="33F48ED0" w14:textId="77777777" w:rsidR="002D76F7" w:rsidRPr="0090381C" w:rsidRDefault="002D76F7" w:rsidP="008D47FD">
            <w:pPr>
              <w:numPr>
                <w:ilvl w:val="0"/>
                <w:numId w:val="14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wspiera w swojej specyfikacji podpis elektroniczny w formacie </w:t>
            </w:r>
            <w:proofErr w:type="spellStart"/>
            <w:r w:rsidRPr="0090381C">
              <w:rPr>
                <w:rFonts w:cstheme="minorHAnsi"/>
              </w:rPr>
              <w:t>XAdES</w:t>
            </w:r>
            <w:proofErr w:type="spellEnd"/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1F6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20B431B8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D86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30F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E4C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EDYTOR TEKSTÓW: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93A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65E18778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1CE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D1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9F1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1.</w:t>
            </w:r>
            <w:r w:rsidRPr="0090381C">
              <w:rPr>
                <w:rFonts w:cstheme="minorHAnsi"/>
              </w:rPr>
              <w:tab/>
              <w:t xml:space="preserve">edycja i formatowanie tekstu w języku polskim wraz z obsługą języka polskiego w zakresie sprawdzania pisowni i poprawności gramatycznej oraz funkcjonalnością słownika wyrazów bliskoznacznych i autokorekty, </w:t>
            </w:r>
          </w:p>
          <w:p w14:paraId="2E17EE92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2.</w:t>
            </w:r>
            <w:r w:rsidRPr="0090381C">
              <w:rPr>
                <w:rFonts w:cstheme="minorHAnsi"/>
              </w:rPr>
              <w:tab/>
              <w:t xml:space="preserve">wstawianie oraz formatowanie tabel, </w:t>
            </w:r>
          </w:p>
          <w:p w14:paraId="67281D78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3.</w:t>
            </w:r>
            <w:r w:rsidRPr="0090381C">
              <w:rPr>
                <w:rFonts w:cstheme="minorHAnsi"/>
              </w:rPr>
              <w:tab/>
              <w:t xml:space="preserve">wstawianie oraz formatowanie obiektów graficznych, </w:t>
            </w:r>
          </w:p>
          <w:p w14:paraId="08FF7AE9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4.</w:t>
            </w:r>
            <w:r w:rsidRPr="0090381C">
              <w:rPr>
                <w:rFonts w:cstheme="minorHAnsi"/>
              </w:rPr>
              <w:tab/>
              <w:t xml:space="preserve">wstawianie wykresów i tabel z arkusza kalkulacyjnego (wliczając tabele przestawne), </w:t>
            </w:r>
          </w:p>
          <w:p w14:paraId="4C1AE8DA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5.</w:t>
            </w:r>
            <w:r w:rsidRPr="0090381C">
              <w:rPr>
                <w:rFonts w:cstheme="minorHAnsi"/>
              </w:rPr>
              <w:tab/>
              <w:t xml:space="preserve">automatyczne numerowanie rozdziałów, punktów, akapitów, tabel i rysunków, </w:t>
            </w:r>
          </w:p>
          <w:p w14:paraId="3F63D37B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6.</w:t>
            </w:r>
            <w:r w:rsidRPr="0090381C">
              <w:rPr>
                <w:rFonts w:cstheme="minorHAnsi"/>
              </w:rPr>
              <w:tab/>
              <w:t xml:space="preserve">automatyczne tworzenie spisów treści, </w:t>
            </w:r>
          </w:p>
          <w:p w14:paraId="73B4D8D1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7.</w:t>
            </w:r>
            <w:r w:rsidRPr="0090381C">
              <w:rPr>
                <w:rFonts w:cstheme="minorHAnsi"/>
              </w:rPr>
              <w:tab/>
              <w:t xml:space="preserve">formatowanie nagłówków i stopek stron, </w:t>
            </w:r>
          </w:p>
          <w:p w14:paraId="7BEEC089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8.</w:t>
            </w:r>
            <w:r w:rsidRPr="0090381C">
              <w:rPr>
                <w:rFonts w:cstheme="minorHAnsi"/>
              </w:rPr>
              <w:tab/>
              <w:t xml:space="preserve">śledzenie zmian wprowadzonych przez użytkowników, </w:t>
            </w:r>
          </w:p>
          <w:p w14:paraId="115D364B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9.</w:t>
            </w:r>
            <w:r w:rsidRPr="0090381C">
              <w:rPr>
                <w:rFonts w:cstheme="minorHAnsi"/>
              </w:rPr>
              <w:tab/>
              <w:t xml:space="preserve">nagrywanie, tworzenie i edycję makr automatyzujących wykonywanie czynności, </w:t>
            </w:r>
          </w:p>
          <w:p w14:paraId="3FF88BBA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10.</w:t>
            </w:r>
            <w:r w:rsidRPr="0090381C">
              <w:rPr>
                <w:rFonts w:cstheme="minorHAnsi"/>
              </w:rPr>
              <w:tab/>
              <w:t xml:space="preserve">określenie układu strony (pionowa/pozioma), </w:t>
            </w:r>
          </w:p>
          <w:p w14:paraId="3D15260D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11.</w:t>
            </w:r>
            <w:r w:rsidRPr="0090381C">
              <w:rPr>
                <w:rFonts w:cstheme="minorHAnsi"/>
              </w:rPr>
              <w:tab/>
              <w:t xml:space="preserve">wydruk dokumentów, </w:t>
            </w:r>
          </w:p>
          <w:p w14:paraId="6F61A580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12.</w:t>
            </w:r>
            <w:r w:rsidRPr="0090381C">
              <w:rPr>
                <w:rFonts w:cstheme="minorHAnsi"/>
              </w:rPr>
              <w:tab/>
              <w:t xml:space="preserve">wykonywanie korespondencji seryjnej bazując na danych adresowych pochodzących z arkusza kalkulacyjnego i z narzędzia do zarządzania informacją prywatną, </w:t>
            </w:r>
          </w:p>
          <w:p w14:paraId="1017051B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13.</w:t>
            </w:r>
            <w:r w:rsidRPr="0090381C">
              <w:rPr>
                <w:rFonts w:cstheme="minorHAnsi"/>
              </w:rPr>
              <w:tab/>
              <w:t xml:space="preserve">umożliwia pracę na dokumentach utworzonych przy pomocy Microsoft Word 2003, 2007, 2010, 2013, </w:t>
            </w:r>
          </w:p>
          <w:p w14:paraId="5E2B9BF9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2016, 2019 lub zapewnia ich bezproblemową konwersję wraz z  wszystkimi elementami i atrybutami,</w:t>
            </w:r>
          </w:p>
          <w:p w14:paraId="4A0B7E04" w14:textId="77777777" w:rsidR="002D76F7" w:rsidRPr="0090381C" w:rsidRDefault="002D76F7" w:rsidP="008D47FD">
            <w:pPr>
              <w:numPr>
                <w:ilvl w:val="0"/>
                <w:numId w:val="15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zabezpieczenie dokumentów hasłem przed odczytem oraz przed wprowadzaniem modyfikacji, </w:t>
            </w:r>
          </w:p>
          <w:p w14:paraId="35EE4222" w14:textId="77777777" w:rsidR="002D76F7" w:rsidRPr="0090381C" w:rsidRDefault="002D76F7" w:rsidP="008D47FD">
            <w:pPr>
              <w:numPr>
                <w:ilvl w:val="0"/>
                <w:numId w:val="15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prawem, </w:t>
            </w:r>
          </w:p>
          <w:p w14:paraId="106BF4A9" w14:textId="77777777" w:rsidR="002D76F7" w:rsidRPr="0090381C" w:rsidRDefault="002D76F7" w:rsidP="008D47FD">
            <w:pPr>
              <w:numPr>
                <w:ilvl w:val="0"/>
                <w:numId w:val="15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prawa, </w:t>
            </w:r>
          </w:p>
          <w:p w14:paraId="1895B6DD" w14:textId="77777777" w:rsidR="002D76F7" w:rsidRPr="0090381C" w:rsidRDefault="002D76F7" w:rsidP="008D47FD">
            <w:pPr>
              <w:numPr>
                <w:ilvl w:val="0"/>
                <w:numId w:val="15"/>
              </w:numPr>
              <w:spacing w:after="0" w:line="240" w:lineRule="auto"/>
              <w:ind w:left="0"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lastRenderedPageBreak/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9FE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1E3E1666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A67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2C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A7D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ARKUSZ KALKULACYJNY: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0BD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268BE3CD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253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F7A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E48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raportów tabelarycznych, </w:t>
            </w:r>
          </w:p>
          <w:p w14:paraId="01A5F559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wykresów liniowych (wraz linią trendu), słupkowych, kołowych, </w:t>
            </w:r>
          </w:p>
          <w:p w14:paraId="56C20E1B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arkuszy kalkulacyjnych zawierających teksty, dane liczbowe oraz formuły przeprowadzające operacje matematyczne, logiczne, tekstowe, statystyczne oraz operacje na danych finansowych i na miarach czasu, </w:t>
            </w:r>
          </w:p>
          <w:p w14:paraId="6DA3F32E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raportów z zewnętrznych źródeł danych (inne arkusze kalkulacyjne, bazy danych zgodne z </w:t>
            </w:r>
          </w:p>
          <w:p w14:paraId="45B51B0E" w14:textId="77777777" w:rsidR="002D76F7" w:rsidRPr="0090381C" w:rsidRDefault="002D76F7" w:rsidP="00D32743">
            <w:pPr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ODBC, pliki tekstowe, pliki XML, </w:t>
            </w:r>
            <w:proofErr w:type="spellStart"/>
            <w:r w:rsidRPr="0090381C">
              <w:rPr>
                <w:rFonts w:cstheme="minorHAnsi"/>
              </w:rPr>
              <w:t>webservice</w:t>
            </w:r>
            <w:proofErr w:type="spellEnd"/>
            <w:r w:rsidRPr="0090381C">
              <w:rPr>
                <w:rFonts w:cstheme="minorHAnsi"/>
              </w:rPr>
              <w:t xml:space="preserve">), </w:t>
            </w:r>
          </w:p>
          <w:p w14:paraId="4FDBBEED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obsługę kostek OLAP oraz tworzenie i edycję kwerend bazodanowych i webowych. Narzędzia wspomagające analizę statystyczną i finansową analizę wariantową i rozwiązywanie problemów optymalizacyjnych, </w:t>
            </w:r>
          </w:p>
          <w:p w14:paraId="3C3877F1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tworzenie raportów tabeli przestawnych umożliwiających dynamiczną zmianę wymiarów oraz wykresów bazujących na danych z tabeli przestawnych, </w:t>
            </w:r>
          </w:p>
          <w:p w14:paraId="5D5E3D54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wyszukiwanie i zamianę danych, </w:t>
            </w:r>
          </w:p>
          <w:p w14:paraId="0363A51F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wykonywanie analiz danych przy użyciu formatowania warunkowego, </w:t>
            </w:r>
          </w:p>
          <w:p w14:paraId="20C2556E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nazywanie komórek arkusza i odwoływanie się w formułach po takiej nazwie, </w:t>
            </w:r>
          </w:p>
          <w:p w14:paraId="5A541528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nagrywanie, tworzenie i edycję makr automatyzujących wykonywanie czynność, </w:t>
            </w:r>
          </w:p>
          <w:p w14:paraId="66BC8236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formatowanie czasu, daty i wartości finansowych z polskim formatem I. Zapis wielu arkuszy kalkulacyjnych w jednym pliku, </w:t>
            </w:r>
          </w:p>
          <w:p w14:paraId="68DC33EC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zachowanie pełnej zgodności z formatami plików utworzonych za pomocą oprogramowania  Microsoft Excel 2003,2007, 2010, 2013 2016, 2019 z uwzględnieniem poprawnej realizacji użytych w nich funkcji specjalnych i makropoleceń, </w:t>
            </w:r>
          </w:p>
          <w:p w14:paraId="62C0CA8F" w14:textId="77777777" w:rsidR="002D76F7" w:rsidRPr="0090381C" w:rsidRDefault="002D76F7" w:rsidP="008D47F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 zabezpieczenie dokumentów hasłem przed odczytem oraz przed wprowadzaniem modyfikacji.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A62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2CDB403D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CEA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4BF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81F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NARZĘDZIE DO PRZYGOTOWYWANIA I PROWADZENIA PREZENTACJI: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D50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0C081DF0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678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04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936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drukowanie w formacie umożliwiającym robienie notatek, </w:t>
            </w:r>
          </w:p>
          <w:p w14:paraId="303011EF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zapisanie jako prezentacja tylko do odczytu, </w:t>
            </w:r>
          </w:p>
          <w:p w14:paraId="3F2CC2D6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nagrywanie narracji i dołączanie jej do </w:t>
            </w:r>
            <w:r w:rsidRPr="0090381C">
              <w:rPr>
                <w:rFonts w:cstheme="minorHAnsi"/>
              </w:rPr>
              <w:lastRenderedPageBreak/>
              <w:t xml:space="preserve">prezentacji, </w:t>
            </w:r>
          </w:p>
          <w:p w14:paraId="333B55E3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opatrywanie slajdów notatkami dla prezentera, </w:t>
            </w:r>
          </w:p>
          <w:p w14:paraId="065AA1DC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umieszczanie i formatowanie tekstów, obiektów graficznych, tabel, nagrań dźwiękowych i wideo, </w:t>
            </w:r>
          </w:p>
          <w:p w14:paraId="5E0037D5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5"/>
              <w:rPr>
                <w:rFonts w:cstheme="minorHAnsi"/>
              </w:rPr>
            </w:pPr>
            <w:r w:rsidRPr="0090381C">
              <w:rPr>
                <w:rFonts w:cstheme="minorHAnsi"/>
              </w:rPr>
              <w:t>umieszczanie tabel i wykresów pochodzących z arkusza kalkulacyjnego,</w:t>
            </w:r>
          </w:p>
          <w:p w14:paraId="496AC816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5"/>
              <w:rPr>
                <w:rFonts w:cstheme="minorHAnsi"/>
              </w:rPr>
            </w:pPr>
            <w:r w:rsidRPr="0090381C">
              <w:rPr>
                <w:rFonts w:cstheme="minorHAnsi"/>
              </w:rPr>
              <w:t>odświeżenie wykresu znajdującego się w prezentacji po zmianie danych w źródłowym arkuszu kalkulacyjnym,</w:t>
            </w:r>
          </w:p>
          <w:p w14:paraId="208AC870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możliwość tworzenia animacji obiektów i całych slajdów, </w:t>
            </w:r>
          </w:p>
          <w:p w14:paraId="07383F5E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prowadzenie prezentacji w trybie prezentera, gdzie slajdy są widoczne na jednym, monitorze lub projektorze, a na drugim widoczne są slajdy i notatki prezentera, </w:t>
            </w:r>
          </w:p>
          <w:p w14:paraId="13E3A1FD" w14:textId="77777777" w:rsidR="002D76F7" w:rsidRPr="0090381C" w:rsidRDefault="002D76F7" w:rsidP="008D47FD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cstheme="minorHAnsi"/>
              </w:rPr>
            </w:pPr>
            <w:r w:rsidRPr="0090381C">
              <w:rPr>
                <w:rFonts w:cstheme="minorHAnsi"/>
              </w:rPr>
              <w:t>pełna zgodność z formatami plików utworzonych za pomocą oprogramowania MS PowerPoint 2003, 2007, 2010, 2013, 2016, 2019.</w:t>
            </w:r>
          </w:p>
          <w:p w14:paraId="1ECA1A2A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A06" w14:textId="77777777" w:rsidR="002D76F7" w:rsidRPr="0090381C" w:rsidRDefault="002D76F7" w:rsidP="00D32743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2D76F7" w:rsidRPr="0090381C" w14:paraId="69F9DDC2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6ED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86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DF1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INNE: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B74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0F0BE1BF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A4A" w14:textId="77777777" w:rsidR="002D76F7" w:rsidRPr="0090381C" w:rsidRDefault="002D76F7" w:rsidP="00D32743">
            <w:pPr>
              <w:spacing w:after="0"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5E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6AA" w14:textId="77777777" w:rsidR="002D76F7" w:rsidRPr="0090381C" w:rsidRDefault="002D76F7" w:rsidP="008D47F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90381C">
              <w:rPr>
                <w:rFonts w:cstheme="minorHAnsi"/>
              </w:rPr>
              <w:t xml:space="preserve">do aplikacji dostępna jest pełna dokumentacja w języku polskim. </w:t>
            </w:r>
          </w:p>
          <w:p w14:paraId="7FFD5538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  <w:r w:rsidRPr="0090381C">
              <w:rPr>
                <w:rFonts w:cstheme="minorHAnsi"/>
              </w:rPr>
              <w:t>wymagana najnowsza wersja na dzień publikacji ogłoszenia o zamówieniu z bezterminową licencją na użytkowanie.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4326" w14:textId="77777777" w:rsidR="002D76F7" w:rsidRPr="0090381C" w:rsidRDefault="002D76F7" w:rsidP="00D327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76F7" w:rsidRPr="0090381C" w14:paraId="208906E2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72A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5AB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BIOS  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E6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BIOS zgodny ze specyfikacją UEFI </w:t>
            </w:r>
            <w:r w:rsidRPr="0090381C">
              <w:rPr>
                <w:rFonts w:cstheme="minorHAnsi"/>
                <w:kern w:val="2"/>
                <w14:ligatures w14:val="standardContextual"/>
              </w:rPr>
              <w:br/>
              <w:t xml:space="preserve">- Możliwość, bez uruchamiania systemu operacyjnego z dysku twardego komputera lub innych podłączonych do niego urządzeń zewnętrznych informacji o: </w:t>
            </w:r>
            <w:r w:rsidRPr="0090381C">
              <w:rPr>
                <w:rFonts w:cstheme="minorHAnsi"/>
                <w:kern w:val="2"/>
                <w14:ligatures w14:val="standardContextual"/>
              </w:rPr>
              <w:br/>
              <w:t>- modelu komputera, PN</w:t>
            </w:r>
          </w:p>
          <w:p w14:paraId="00CEA1F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numerze seryjnym,</w:t>
            </w:r>
          </w:p>
          <w:p w14:paraId="1228D0E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AssetTag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>,</w:t>
            </w:r>
          </w:p>
          <w:p w14:paraId="42E2388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MAC Adres karty sieciowej,</w:t>
            </w:r>
          </w:p>
          <w:p w14:paraId="7B9EA05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wersja Biosu wraz z datą produkcji,</w:t>
            </w:r>
          </w:p>
          <w:p w14:paraId="0F7AFCB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zainstalowanym procesorze, jego taktowaniu i ilości rdzeni</w:t>
            </w:r>
          </w:p>
          <w:p w14:paraId="7C3E6FF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ilości pamięci RAM wraz z taktowaniem,</w:t>
            </w:r>
          </w:p>
          <w:p w14:paraId="025A555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stanie pracy wentylatora na procesorze </w:t>
            </w:r>
          </w:p>
          <w:p w14:paraId="5E89835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napędach lub dyskach podłączonych do portów SATA oraz M.2 (model dysku i napędu optycznego)</w:t>
            </w:r>
          </w:p>
          <w:p w14:paraId="5C81519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wersji systemu operacyjnego preinstalowanego na komputerze</w:t>
            </w:r>
          </w:p>
          <w:p w14:paraId="6822FCC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  <w:p w14:paraId="2148DEC6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Możliwość z poziomu Bios:</w:t>
            </w:r>
          </w:p>
          <w:p w14:paraId="03972268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wyłączania/włączania portów USB zarówno z przodu jak i z tyłu obudowy</w:t>
            </w:r>
          </w:p>
          <w:p w14:paraId="580FA66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wyłączenia selektywnego (pojedynczego) portów SATA,</w:t>
            </w:r>
          </w:p>
          <w:p w14:paraId="6B6FA73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wyłączenia karty sieciowej, karty audio, czytnika kart pamięci</w:t>
            </w:r>
          </w:p>
          <w:p w14:paraId="356ED51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- możliwość ustawienia portów USB w jednym z dwóch trybów:</w:t>
            </w:r>
          </w:p>
          <w:p w14:paraId="77F2247A" w14:textId="77777777" w:rsidR="002D76F7" w:rsidRPr="0090381C" w:rsidRDefault="002D76F7" w:rsidP="008D47FD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1F6E5AF4" w14:textId="77777777" w:rsidR="002D76F7" w:rsidRPr="0090381C" w:rsidRDefault="002D76F7" w:rsidP="008D47FD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14:paraId="67A3F53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  <w:p w14:paraId="1803302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ustawienia hasła: administratora, Power-On, HDD,</w:t>
            </w:r>
          </w:p>
          <w:p w14:paraId="4D59F9B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blokady aktualizacji BIOS bez podania hasła administratora</w:t>
            </w:r>
          </w:p>
          <w:p w14:paraId="0FCEB7C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wglądu w system zbierania logów (min. Informacja o update Bios, błędzie wentylatora na procesorze, wyczyszczeniu logów) z możliwością czyszczenia logów</w:t>
            </w:r>
          </w:p>
          <w:p w14:paraId="086C36C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</w:t>
            </w:r>
            <w:proofErr w:type="spellStart"/>
            <w:r w:rsidRPr="0090381C">
              <w:rPr>
                <w:rFonts w:cstheme="minorHAnsi"/>
                <w:kern w:val="2"/>
                <w14:ligatures w14:val="standardContextual"/>
              </w:rPr>
              <w:t>alertowania</w:t>
            </w:r>
            <w:proofErr w:type="spellEnd"/>
            <w:r w:rsidRPr="0090381C">
              <w:rPr>
                <w:rFonts w:cstheme="minorHAnsi"/>
                <w:kern w:val="2"/>
                <w14:ligatures w14:val="standardContextual"/>
              </w:rPr>
              <w:t xml:space="preserve"> zmiany konfiguracji sprzętowej komputera </w:t>
            </w:r>
          </w:p>
          <w:p w14:paraId="3A7DB3E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załadowania optymalnych ustawień Bios</w:t>
            </w:r>
          </w:p>
          <w:p w14:paraId="036B6F53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obsługa Bios za pomocą klawiatury i myszy</w:t>
            </w:r>
          </w:p>
          <w:p w14:paraId="4B9A84C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możliwość ustawienia polityki dotyczącej haseł (długość i trudność hasła)</w:t>
            </w:r>
          </w:p>
          <w:p w14:paraId="01E517B9" w14:textId="77777777" w:rsidR="002D76F7" w:rsidRPr="002D1078" w:rsidRDefault="002D76F7" w:rsidP="00D32743">
            <w:pPr>
              <w:spacing w:line="240" w:lineRule="auto"/>
              <w:contextualSpacing/>
              <w:rPr>
                <w:rFonts w:cstheme="minorHAnsi"/>
                <w:strike/>
                <w:color w:val="FF0000"/>
                <w:kern w:val="2"/>
                <w14:ligatures w14:val="standardContextual"/>
              </w:rPr>
            </w:pPr>
            <w:r w:rsidRPr="002D1078">
              <w:rPr>
                <w:rFonts w:cstheme="minorHAnsi"/>
                <w:strike/>
                <w:color w:val="FF0000"/>
                <w:kern w:val="2"/>
                <w14:ligatures w14:val="standardContextual"/>
              </w:rPr>
              <w:t xml:space="preserve">- możliwość włączenia/wyłączenia Device </w:t>
            </w:r>
            <w:proofErr w:type="spellStart"/>
            <w:r w:rsidRPr="002D1078">
              <w:rPr>
                <w:rFonts w:cstheme="minorHAnsi"/>
                <w:strike/>
                <w:color w:val="FF0000"/>
                <w:kern w:val="2"/>
                <w14:ligatures w14:val="standardContextual"/>
              </w:rPr>
              <w:t>Guard</w:t>
            </w:r>
            <w:proofErr w:type="spellEnd"/>
          </w:p>
          <w:p w14:paraId="4CCBBB9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możliwość włączenia/wyłączenia uruchomienia komputera za pomocą kombinacji klawiszy na podłączonej klawiaturze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B1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2114F4CF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1AB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4799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Zintegrowany System Diagnostyczny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705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7AB825BF" w14:textId="77777777" w:rsidR="002D76F7" w:rsidRPr="0090381C" w:rsidRDefault="002D76F7" w:rsidP="008D47FD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wykonanie testu pamięci RAM </w:t>
            </w:r>
          </w:p>
          <w:p w14:paraId="058D0B6C" w14:textId="77777777" w:rsidR="002D76F7" w:rsidRPr="0090381C" w:rsidRDefault="002D76F7" w:rsidP="008D47FD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test dysku twardego lub SSD</w:t>
            </w:r>
          </w:p>
          <w:p w14:paraId="0EFBEB9B" w14:textId="77777777" w:rsidR="002D76F7" w:rsidRPr="002D1078" w:rsidRDefault="002D76F7" w:rsidP="008D47FD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strike/>
                <w:color w:val="FF0000"/>
                <w:kern w:val="2"/>
                <w14:ligatures w14:val="standardContextual"/>
              </w:rPr>
            </w:pPr>
            <w:r w:rsidRPr="002D1078">
              <w:rPr>
                <w:rFonts w:asciiTheme="minorHAnsi" w:hAnsiTheme="minorHAnsi" w:cstheme="minorHAnsi"/>
                <w:strike/>
                <w:color w:val="FF0000"/>
                <w:kern w:val="2"/>
                <w14:ligatures w14:val="standardContextual"/>
              </w:rPr>
              <w:t xml:space="preserve">test monitora </w:t>
            </w:r>
          </w:p>
          <w:p w14:paraId="718A43B7" w14:textId="77777777" w:rsidR="002D76F7" w:rsidRPr="0090381C" w:rsidRDefault="002D76F7" w:rsidP="008D47FD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test magistrali PCI-e</w:t>
            </w:r>
          </w:p>
          <w:p w14:paraId="6054BC57" w14:textId="77777777" w:rsidR="002D76F7" w:rsidRPr="0090381C" w:rsidRDefault="002D76F7" w:rsidP="008D47FD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test portów USB</w:t>
            </w:r>
          </w:p>
          <w:p w14:paraId="2DCA2EFF" w14:textId="77777777" w:rsidR="002D76F7" w:rsidRPr="0090381C" w:rsidRDefault="002D76F7" w:rsidP="008D47FD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test płyty głównej </w:t>
            </w:r>
          </w:p>
          <w:p w14:paraId="4079BADD" w14:textId="77777777" w:rsidR="002D76F7" w:rsidRPr="0090381C" w:rsidRDefault="002D76F7" w:rsidP="008D47FD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test procesora</w:t>
            </w:r>
          </w:p>
          <w:p w14:paraId="19027C0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Wizualna lub dźwiękowa sygnalizacja w przypadku błędów któregokolwiek z powyższych podzespołów komputera.</w:t>
            </w:r>
          </w:p>
          <w:p w14:paraId="0F5D579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Ponadto system powinien umożliwiać identyfikacje testowanej jednostki i jej komponentów w </w:t>
            </w:r>
            <w:r w:rsidRPr="0090381C">
              <w:rPr>
                <w:rFonts w:cstheme="minorHAnsi"/>
                <w:kern w:val="2"/>
                <w14:ligatures w14:val="standardContextual"/>
              </w:rPr>
              <w:lastRenderedPageBreak/>
              <w:t>następującym zakresie:</w:t>
            </w:r>
          </w:p>
          <w:p w14:paraId="0AF6DC8F" w14:textId="77777777" w:rsidR="002D76F7" w:rsidRPr="0090381C" w:rsidRDefault="002D76F7" w:rsidP="008D47FD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PC: Producent, model</w:t>
            </w:r>
          </w:p>
          <w:p w14:paraId="3B78081B" w14:textId="77777777" w:rsidR="002D76F7" w:rsidRPr="0090381C" w:rsidRDefault="002D76F7" w:rsidP="008D47FD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BIOS: Wersja oraz data wydania Bios</w:t>
            </w:r>
          </w:p>
          <w:p w14:paraId="06DBC975" w14:textId="77777777" w:rsidR="002D76F7" w:rsidRPr="0090381C" w:rsidRDefault="002D76F7" w:rsidP="008D47FD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Procesor: Nazwa, taktowanie, ilość pamięci CACHE</w:t>
            </w:r>
          </w:p>
          <w:p w14:paraId="38CC3238" w14:textId="77777777" w:rsidR="002D76F7" w:rsidRPr="0090381C" w:rsidRDefault="002D76F7" w:rsidP="008D47FD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Pamięć RAM: Ilość zainstalowanej pamięci RAM, producent oraz numer seryjny poszczególnych kości pamięci</w:t>
            </w:r>
          </w:p>
          <w:p w14:paraId="0CAF6856" w14:textId="77777777" w:rsidR="002D76F7" w:rsidRPr="0090381C" w:rsidRDefault="002D76F7" w:rsidP="008D47FD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Dysk: model, numer seryjny, wersja </w:t>
            </w:r>
            <w:proofErr w:type="spellStart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firmware</w:t>
            </w:r>
            <w:proofErr w:type="spellEnd"/>
            <w:r w:rsidRPr="0090381C">
              <w:rPr>
                <w:rFonts w:asciiTheme="minorHAnsi" w:hAnsiTheme="minorHAnsi" w:cstheme="minorHAnsi"/>
                <w:kern w:val="2"/>
                <w14:ligatures w14:val="standardContextual"/>
              </w:rPr>
              <w:t>, pojemność, temperatura pracy</w:t>
            </w:r>
          </w:p>
          <w:p w14:paraId="4042647D" w14:textId="77777777" w:rsidR="002D76F7" w:rsidRPr="002D1078" w:rsidRDefault="002D76F7" w:rsidP="008D47FD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56" w:lineRule="auto"/>
              <w:ind w:left="0" w:firstLine="0"/>
              <w:contextualSpacing/>
              <w:jc w:val="left"/>
              <w:textAlignment w:val="auto"/>
              <w:rPr>
                <w:rFonts w:asciiTheme="minorHAnsi" w:hAnsiTheme="minorHAnsi" w:cstheme="minorHAnsi"/>
                <w:strike/>
                <w:color w:val="FF0000"/>
                <w:kern w:val="2"/>
                <w14:ligatures w14:val="standardContextual"/>
              </w:rPr>
            </w:pPr>
            <w:r w:rsidRPr="002D1078">
              <w:rPr>
                <w:rFonts w:asciiTheme="minorHAnsi" w:hAnsiTheme="minorHAnsi" w:cstheme="minorHAnsi"/>
                <w:strike/>
                <w:color w:val="FF0000"/>
                <w:kern w:val="2"/>
                <w14:ligatures w14:val="standardContextual"/>
              </w:rPr>
              <w:t>Monitor: producent, model, rozdzielczość</w:t>
            </w:r>
          </w:p>
          <w:p w14:paraId="4E15E08F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System Diagnostyczny działający nawet w przypadku uszkodzenia dysku twardego z systemem operacyjnym komputera.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CE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3B778869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254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E524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Certyfikaty i standardy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941C" w14:textId="77777777" w:rsidR="002D76F7" w:rsidRPr="0090381C" w:rsidRDefault="002D76F7" w:rsidP="008D47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Certyfikat ISO9001 dla producenta sprzętu (należy załączyć do oferty)</w:t>
            </w:r>
          </w:p>
          <w:p w14:paraId="0253BDBC" w14:textId="77777777" w:rsidR="002D76F7" w:rsidRPr="0090381C" w:rsidRDefault="002D76F7" w:rsidP="008D47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Deklaracja zgodności CE (załączyć do oferty)</w:t>
            </w:r>
          </w:p>
          <w:p w14:paraId="61A27451" w14:textId="77777777" w:rsidR="002D76F7" w:rsidRPr="0090381C" w:rsidRDefault="002D76F7" w:rsidP="008D47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Potwierdzenie spełnienia kryteriów środowiskowych, w tym zgodności z dyrektywą </w:t>
            </w: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RoHS</w:t>
            </w:r>
            <w:proofErr w:type="spellEnd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 Unii Europejskiej o eliminacji substancji niebezpiecznych w postaci oświadczenia producenta jednostki</w:t>
            </w:r>
          </w:p>
          <w:p w14:paraId="305528E9" w14:textId="77777777" w:rsidR="002D76F7" w:rsidRPr="0090381C" w:rsidRDefault="002D76F7" w:rsidP="008D47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TCO </w:t>
            </w: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Certified</w:t>
            </w:r>
            <w:proofErr w:type="spellEnd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 9.0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930" w14:textId="77777777" w:rsidR="002D76F7" w:rsidRPr="0090381C" w:rsidRDefault="002D76F7" w:rsidP="008D47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2D76F7" w:rsidRPr="0090381C" w14:paraId="2D19FEF6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30B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11A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Waga/rozmiary urządzenia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FB2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color w:val="FF0000"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Waga urządzenia poniżej 5.7 kg</w:t>
            </w:r>
          </w:p>
          <w:p w14:paraId="646553EB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Suma wymiarów nie przekraczająca 79 cm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99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2D76F7" w:rsidRPr="0090381C" w14:paraId="552726F3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F4E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284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Bezpieczeństwo i zdalne zarządzanie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116D" w14:textId="77777777" w:rsidR="002D76F7" w:rsidRPr="0090381C" w:rsidRDefault="002D76F7" w:rsidP="008D47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Złącze typu </w:t>
            </w: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Kensington</w:t>
            </w:r>
            <w:proofErr w:type="spellEnd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 Lock</w:t>
            </w:r>
          </w:p>
          <w:p w14:paraId="15B95B64" w14:textId="77777777" w:rsidR="002D76F7" w:rsidRPr="0090381C" w:rsidRDefault="002D76F7" w:rsidP="008D47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Oczko na kłódkę</w:t>
            </w:r>
          </w:p>
          <w:p w14:paraId="02F3C82D" w14:textId="77777777" w:rsidR="002D76F7" w:rsidRPr="0090381C" w:rsidRDefault="002D76F7" w:rsidP="008D47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TPM 2.0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657" w14:textId="77777777" w:rsidR="002D76F7" w:rsidRPr="0090381C" w:rsidRDefault="002D76F7" w:rsidP="008D47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2D76F7" w:rsidRPr="0090381C" w14:paraId="4E7CD8C4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5F9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984C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Gwarancja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8975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Cs/>
                <w:kern w:val="2"/>
                <w14:ligatures w14:val="standardContextual"/>
              </w:rPr>
              <w:t>Min. 3</w:t>
            </w:r>
            <w:r w:rsidRPr="00B3690F">
              <w:rPr>
                <w:rFonts w:cstheme="minorHAnsi"/>
                <w:bCs/>
                <w:kern w:val="2"/>
                <w14:ligatures w14:val="standardContextual"/>
              </w:rPr>
              <w:t xml:space="preserve"> lata świadczona</w:t>
            </w:r>
            <w:r w:rsidRPr="0090381C">
              <w:rPr>
                <w:rFonts w:cstheme="minorHAnsi"/>
                <w:bCs/>
                <w:kern w:val="2"/>
                <w14:ligatures w14:val="standardContextual"/>
              </w:rPr>
              <w:t xml:space="preserve"> w miejscu użytkowania sprzętu (on-</w:t>
            </w:r>
            <w:proofErr w:type="spellStart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site</w:t>
            </w:r>
            <w:proofErr w:type="spellEnd"/>
            <w:r w:rsidRPr="0090381C">
              <w:rPr>
                <w:rFonts w:cstheme="minorHAnsi"/>
                <w:bCs/>
                <w:kern w:val="2"/>
                <w14:ligatures w14:val="standardContextual"/>
              </w:rPr>
              <w:t>)</w:t>
            </w:r>
          </w:p>
          <w:p w14:paraId="57540C11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Oświadczenie producenta komputera, że w przypadku niewywiązywania się z obowiązków gwarancyjnych oferenta lub firmy serwisującej, przejmie na siebie wszelkie zobowiązania związane z serwisem.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BB7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2D76F7" w:rsidRPr="0090381C" w14:paraId="17D30D99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B684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9B3A" w14:textId="77777777" w:rsidR="002D76F7" w:rsidRPr="0090381C" w:rsidRDefault="002D76F7" w:rsidP="00D32743">
            <w:pPr>
              <w:tabs>
                <w:tab w:val="left" w:pos="213"/>
              </w:tabs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bCs/>
                <w:kern w:val="2"/>
                <w14:ligatures w14:val="standardContextual"/>
              </w:rPr>
              <w:t>Wsparcie techniczne producenta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DF88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Dedykowany numer oraz adres email dla wsparcia technicznego i informacji produktowej.</w:t>
            </w:r>
          </w:p>
          <w:p w14:paraId="2239279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 xml:space="preserve">- możliwość weryfikacji u producenta konfiguracji fabrycznej zakupionego sprzętu </w:t>
            </w:r>
          </w:p>
          <w:p w14:paraId="05B1AF9E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  <w:r w:rsidRPr="0090381C">
              <w:rPr>
                <w:rFonts w:cstheme="minorHAnsi"/>
                <w:kern w:val="2"/>
                <w14:ligatures w14:val="standardContextual"/>
              </w:rPr>
              <w:t>- Naprawy gwarancyjne  urządzeń muszą być realizowany przez Producenta lub Autoryzowanego Partnera Serwisowego Producenta.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45D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2D76F7" w:rsidRPr="0090381C" w14:paraId="7CD9BADE" w14:textId="77777777" w:rsidTr="00D32743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7B3" w14:textId="77777777" w:rsidR="002D76F7" w:rsidRPr="0090381C" w:rsidRDefault="002D76F7" w:rsidP="008D47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  <w:tc>
          <w:tcPr>
            <w:tcW w:w="3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B95" w14:textId="77777777" w:rsidR="002D76F7" w:rsidRPr="00C97DD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:highlight w:val="yellow"/>
                <w14:ligatures w14:val="standardContextual"/>
              </w:rPr>
            </w:pPr>
            <w:r w:rsidRPr="00C64C53">
              <w:rPr>
                <w:rFonts w:cstheme="minorHAnsi"/>
                <w:kern w:val="2"/>
                <w14:ligatures w14:val="standardContextual"/>
              </w:rPr>
              <w:t>Nazwa urządzenia (proszę podać model, producenta, rok produkcji):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DC0" w14:textId="77777777" w:rsidR="002D76F7" w:rsidRPr="0090381C" w:rsidRDefault="002D76F7" w:rsidP="00D32743">
            <w:pPr>
              <w:spacing w:line="240" w:lineRule="auto"/>
              <w:contextualSpacing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6ED08985" w14:textId="77777777" w:rsidR="002D76F7" w:rsidRDefault="002D76F7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6A91C3E5" w14:textId="2DA8CD15" w:rsidR="000812C0" w:rsidRDefault="000812C0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3FD05BC5" w14:textId="77777777" w:rsidR="000812C0" w:rsidRDefault="000812C0" w:rsidP="000D76C4">
      <w:pPr>
        <w:pStyle w:val="Bezodstpw"/>
        <w:ind w:left="567"/>
        <w:jc w:val="both"/>
        <w:rPr>
          <w:rFonts w:ascii="Times New Roman" w:hAnsi="Times New Roman" w:cs="Times New Roman"/>
          <w:b/>
        </w:rPr>
      </w:pPr>
    </w:p>
    <w:p w14:paraId="2FA60B89" w14:textId="0EB68C95" w:rsidR="000D76C4" w:rsidRPr="005D719D" w:rsidRDefault="005D719D" w:rsidP="00BC59A3">
      <w:pPr>
        <w:pStyle w:val="Bezodstpw"/>
        <w:ind w:left="-426"/>
        <w:jc w:val="both"/>
        <w:rPr>
          <w:rFonts w:ascii="Times New Roman" w:hAnsi="Times New Roman" w:cs="Times New Roman"/>
          <w:b/>
          <w:u w:val="single"/>
        </w:rPr>
      </w:pPr>
      <w:r w:rsidRPr="005D719D">
        <w:rPr>
          <w:rFonts w:ascii="Times New Roman" w:hAnsi="Times New Roman" w:cs="Times New Roman"/>
          <w:b/>
          <w:u w:val="single"/>
        </w:rPr>
        <w:t>Zmiana</w:t>
      </w:r>
      <w:r w:rsidR="00570364" w:rsidRPr="005D719D">
        <w:rPr>
          <w:rFonts w:ascii="Times New Roman" w:hAnsi="Times New Roman" w:cs="Times New Roman"/>
          <w:b/>
          <w:u w:val="single"/>
        </w:rPr>
        <w:t xml:space="preserve"> w </w:t>
      </w:r>
      <w:r w:rsidRPr="005D719D">
        <w:rPr>
          <w:rFonts w:ascii="Times New Roman" w:hAnsi="Times New Roman" w:cs="Times New Roman"/>
          <w:b/>
          <w:u w:val="single"/>
        </w:rPr>
        <w:t>SWZ</w:t>
      </w:r>
      <w:r w:rsidR="00570364" w:rsidRPr="005D719D">
        <w:rPr>
          <w:rFonts w:ascii="Times New Roman" w:hAnsi="Times New Roman" w:cs="Times New Roman"/>
          <w:b/>
          <w:u w:val="single"/>
        </w:rPr>
        <w:t>:</w:t>
      </w:r>
    </w:p>
    <w:p w14:paraId="27B8FF01" w14:textId="77777777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</w:p>
    <w:p w14:paraId="7F1B9A82" w14:textId="09EB9DA9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  <w:r w:rsidRPr="0006684E">
        <w:rPr>
          <w:rFonts w:ascii="Times New Roman" w:hAnsi="Times New Roman" w:cs="Times New Roman"/>
          <w:b/>
        </w:rPr>
        <w:t xml:space="preserve">- zapis Rozdziału </w:t>
      </w:r>
      <w:r w:rsidR="00D4605D" w:rsidRPr="00D4605D">
        <w:rPr>
          <w:rFonts w:ascii="Times New Roman" w:hAnsi="Times New Roman" w:cs="Times New Roman"/>
          <w:b/>
        </w:rPr>
        <w:t>XXVI</w:t>
      </w:r>
      <w:r w:rsidRPr="0006684E">
        <w:rPr>
          <w:rFonts w:ascii="Times New Roman" w:hAnsi="Times New Roman" w:cs="Times New Roman"/>
          <w:b/>
        </w:rPr>
        <w:t xml:space="preserve"> - TERMIN ZWIĄZANIA OFERTĄ - w pkt. 1) z:</w:t>
      </w:r>
    </w:p>
    <w:p w14:paraId="61036290" w14:textId="77777777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</w:p>
    <w:p w14:paraId="05F1642D" w14:textId="004A34F5" w:rsidR="00D4605D" w:rsidRPr="00D4605D" w:rsidRDefault="0006684E" w:rsidP="00D4605D">
      <w:pPr>
        <w:pStyle w:val="Bezodstpw"/>
        <w:ind w:left="-426"/>
        <w:rPr>
          <w:rFonts w:ascii="Times New Roman" w:hAnsi="Times New Roman" w:cs="Times New Roman"/>
          <w:b/>
        </w:rPr>
      </w:pPr>
      <w:r w:rsidRPr="0006684E">
        <w:rPr>
          <w:rFonts w:ascii="Times New Roman" w:hAnsi="Times New Roman" w:cs="Times New Roman"/>
          <w:b/>
        </w:rPr>
        <w:t>„</w:t>
      </w:r>
      <w:r w:rsidR="00D4605D" w:rsidRPr="00D4605D">
        <w:rPr>
          <w:rFonts w:ascii="Times New Roman" w:hAnsi="Times New Roman" w:cs="Times New Roman"/>
          <w:b/>
        </w:rPr>
        <w:t>TERMIN ZWIĄZANIA OFERTĄ</w:t>
      </w:r>
    </w:p>
    <w:p w14:paraId="189CC993" w14:textId="77777777" w:rsidR="00D4605D" w:rsidRPr="00D4605D" w:rsidRDefault="00D4605D" w:rsidP="00D4605D">
      <w:pPr>
        <w:pStyle w:val="Bezodstpw"/>
        <w:ind w:left="-426"/>
        <w:rPr>
          <w:rFonts w:ascii="Times New Roman" w:hAnsi="Times New Roman" w:cs="Times New Roman"/>
          <w:b/>
        </w:rPr>
      </w:pPr>
    </w:p>
    <w:p w14:paraId="59E91989" w14:textId="5227D9AB" w:rsidR="0006684E" w:rsidRPr="00D4605D" w:rsidRDefault="005D719D" w:rsidP="005D719D">
      <w:pPr>
        <w:pStyle w:val="Bezodstpw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„1. </w:t>
      </w:r>
      <w:r w:rsidR="00D4605D" w:rsidRPr="00D4605D">
        <w:rPr>
          <w:rFonts w:ascii="Times New Roman" w:hAnsi="Times New Roman" w:cs="Times New Roman"/>
          <w:b/>
        </w:rPr>
        <w:t>Wykonawca będzie związany ofertą przez okres 30 dni, tj. do dnia 19.02.2024 r. Bieg terminu związania ofertą rozpoczyna się wraz z upływem terminu składania ofert.</w:t>
      </w:r>
      <w:r w:rsidR="0006684E" w:rsidRPr="00D4605D">
        <w:rPr>
          <w:rFonts w:ascii="Times New Roman" w:hAnsi="Times New Roman" w:cs="Times New Roman"/>
          <w:b/>
        </w:rPr>
        <w:t xml:space="preserve">” </w:t>
      </w:r>
    </w:p>
    <w:p w14:paraId="5E8573D6" w14:textId="77777777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</w:p>
    <w:p w14:paraId="40B9B521" w14:textId="77777777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  <w:r w:rsidRPr="0006684E">
        <w:rPr>
          <w:rFonts w:ascii="Times New Roman" w:hAnsi="Times New Roman" w:cs="Times New Roman"/>
          <w:b/>
        </w:rPr>
        <w:t>na:</w:t>
      </w:r>
    </w:p>
    <w:p w14:paraId="2F668B68" w14:textId="77777777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</w:p>
    <w:p w14:paraId="0BFED526" w14:textId="55CFDE24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  <w:r w:rsidRPr="0006684E">
        <w:rPr>
          <w:rFonts w:ascii="Times New Roman" w:hAnsi="Times New Roman" w:cs="Times New Roman"/>
          <w:b/>
        </w:rPr>
        <w:t xml:space="preserve">„1. Wykonawca składający ofertę jest nią związany nie dłużej niż </w:t>
      </w:r>
      <w:r w:rsidR="00D4605D">
        <w:rPr>
          <w:rFonts w:ascii="Times New Roman" w:hAnsi="Times New Roman" w:cs="Times New Roman"/>
          <w:b/>
        </w:rPr>
        <w:t>30</w:t>
      </w:r>
      <w:r w:rsidRPr="0006684E">
        <w:rPr>
          <w:rFonts w:ascii="Times New Roman" w:hAnsi="Times New Roman" w:cs="Times New Roman"/>
          <w:b/>
        </w:rPr>
        <w:t xml:space="preserve"> dni od dnia upływu terminu składania ofert, tj. do dnia </w:t>
      </w:r>
      <w:r w:rsidR="00D4605D">
        <w:rPr>
          <w:rFonts w:ascii="Times New Roman" w:hAnsi="Times New Roman" w:cs="Times New Roman"/>
          <w:b/>
        </w:rPr>
        <w:t>22</w:t>
      </w:r>
      <w:r w:rsidRPr="0006684E">
        <w:rPr>
          <w:rFonts w:ascii="Times New Roman" w:hAnsi="Times New Roman" w:cs="Times New Roman"/>
          <w:b/>
        </w:rPr>
        <w:t xml:space="preserve">.02.2024 r.”; </w:t>
      </w:r>
    </w:p>
    <w:p w14:paraId="4A43C767" w14:textId="77777777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  <w:u w:val="single"/>
        </w:rPr>
      </w:pPr>
    </w:p>
    <w:p w14:paraId="2545A7E4" w14:textId="77777777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  <w:u w:val="single"/>
        </w:rPr>
      </w:pPr>
    </w:p>
    <w:p w14:paraId="7C4697C3" w14:textId="0562C892" w:rsidR="0006684E" w:rsidRPr="0006684E" w:rsidRDefault="0006684E" w:rsidP="00570364">
      <w:pPr>
        <w:pStyle w:val="Bezodstpw"/>
        <w:ind w:left="-426"/>
        <w:rPr>
          <w:rFonts w:ascii="Times New Roman" w:hAnsi="Times New Roman" w:cs="Times New Roman"/>
          <w:b/>
        </w:rPr>
      </w:pPr>
      <w:bookmarkStart w:id="1" w:name="_Hlk149151326"/>
      <w:r w:rsidRPr="0006684E">
        <w:rPr>
          <w:rFonts w:ascii="Times New Roman" w:hAnsi="Times New Roman" w:cs="Times New Roman"/>
          <w:b/>
        </w:rPr>
        <w:t xml:space="preserve">- zapis Rozdziału </w:t>
      </w:r>
      <w:r w:rsidR="00570364" w:rsidRPr="00570364">
        <w:rPr>
          <w:rFonts w:ascii="Times New Roman" w:hAnsi="Times New Roman" w:cs="Times New Roman"/>
          <w:b/>
        </w:rPr>
        <w:t>XXVII.   SPOSÓB I TERMIN SKŁADANIA I OTWARCIA OFERT</w:t>
      </w:r>
      <w:r w:rsidRPr="0006684E">
        <w:rPr>
          <w:rFonts w:ascii="Times New Roman" w:hAnsi="Times New Roman" w:cs="Times New Roman"/>
          <w:b/>
        </w:rPr>
        <w:t xml:space="preserve"> </w:t>
      </w:r>
      <w:r w:rsidRPr="0006684E">
        <w:rPr>
          <w:rFonts w:ascii="Times New Roman" w:hAnsi="Times New Roman" w:cs="Times New Roman"/>
          <w:b/>
        </w:rPr>
        <w:br/>
        <w:t>w pkt. 1) i 3) z:</w:t>
      </w:r>
    </w:p>
    <w:p w14:paraId="3B390E0C" w14:textId="77777777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</w:p>
    <w:p w14:paraId="16DCC617" w14:textId="24064A48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  <w:r w:rsidRPr="0006684E">
        <w:rPr>
          <w:rFonts w:ascii="Times New Roman" w:hAnsi="Times New Roman" w:cs="Times New Roman"/>
          <w:b/>
        </w:rPr>
        <w:t xml:space="preserve">„1. Ofertę należy złożyć poprzez platformazakupowa.pl, do dnia </w:t>
      </w:r>
      <w:r w:rsidR="00570364">
        <w:rPr>
          <w:rFonts w:ascii="Times New Roman" w:hAnsi="Times New Roman" w:cs="Times New Roman"/>
          <w:b/>
        </w:rPr>
        <w:t>19.01.2024</w:t>
      </w:r>
      <w:r w:rsidRPr="0006684E">
        <w:rPr>
          <w:rFonts w:ascii="Times New Roman" w:hAnsi="Times New Roman" w:cs="Times New Roman"/>
          <w:b/>
        </w:rPr>
        <w:t xml:space="preserve"> r. do godziny 10:00. </w:t>
      </w:r>
    </w:p>
    <w:p w14:paraId="2EA83121" w14:textId="5B5AC6A4" w:rsidR="0006684E" w:rsidRPr="0006684E" w:rsidRDefault="0006684E" w:rsidP="008D47F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06684E">
        <w:rPr>
          <w:rFonts w:ascii="Times New Roman" w:hAnsi="Times New Roman" w:cs="Times New Roman"/>
          <w:b/>
        </w:rPr>
        <w:t xml:space="preserve">Otwarcie ofert nastąpi w dniu </w:t>
      </w:r>
      <w:r w:rsidR="00570364">
        <w:rPr>
          <w:rFonts w:ascii="Times New Roman" w:hAnsi="Times New Roman" w:cs="Times New Roman"/>
          <w:b/>
        </w:rPr>
        <w:t xml:space="preserve">19.01.2024 </w:t>
      </w:r>
      <w:r w:rsidRPr="0006684E">
        <w:rPr>
          <w:rFonts w:ascii="Times New Roman" w:hAnsi="Times New Roman" w:cs="Times New Roman"/>
          <w:b/>
        </w:rPr>
        <w:t xml:space="preserve">r. o godzinie 10:30” </w:t>
      </w:r>
    </w:p>
    <w:p w14:paraId="0571917D" w14:textId="77777777" w:rsidR="0006684E" w:rsidRPr="0006684E" w:rsidRDefault="0006684E" w:rsidP="0006684E">
      <w:pPr>
        <w:pStyle w:val="Bezodstpw"/>
        <w:ind w:left="-426"/>
        <w:jc w:val="both"/>
        <w:rPr>
          <w:rFonts w:ascii="Times New Roman" w:hAnsi="Times New Roman" w:cs="Times New Roman"/>
          <w:b/>
        </w:rPr>
      </w:pPr>
    </w:p>
    <w:p w14:paraId="70E71B5C" w14:textId="77777777" w:rsidR="0006684E" w:rsidRPr="0006684E" w:rsidRDefault="0006684E" w:rsidP="0006684E">
      <w:pPr>
        <w:pStyle w:val="Bezodstpw"/>
        <w:ind w:left="-426"/>
        <w:jc w:val="both"/>
        <w:rPr>
          <w:rFonts w:ascii="Times New Roman" w:hAnsi="Times New Roman" w:cs="Times New Roman"/>
          <w:b/>
        </w:rPr>
      </w:pPr>
      <w:r w:rsidRPr="0006684E">
        <w:rPr>
          <w:rFonts w:ascii="Times New Roman" w:hAnsi="Times New Roman" w:cs="Times New Roman"/>
          <w:b/>
        </w:rPr>
        <w:t>na:</w:t>
      </w:r>
    </w:p>
    <w:p w14:paraId="6D11860A" w14:textId="77777777" w:rsidR="0006684E" w:rsidRPr="0006684E" w:rsidRDefault="0006684E" w:rsidP="0006684E">
      <w:pPr>
        <w:pStyle w:val="Bezodstpw"/>
        <w:ind w:left="-426"/>
        <w:rPr>
          <w:rFonts w:ascii="Times New Roman" w:hAnsi="Times New Roman" w:cs="Times New Roman"/>
          <w:b/>
        </w:rPr>
      </w:pPr>
    </w:p>
    <w:bookmarkEnd w:id="1"/>
    <w:p w14:paraId="56349E37" w14:textId="0304DE1C" w:rsidR="00570364" w:rsidRDefault="00570364" w:rsidP="00570364">
      <w:pPr>
        <w:pStyle w:val="Bezodstpw"/>
        <w:ind w:left="-426"/>
        <w:rPr>
          <w:rFonts w:ascii="Times New Roman" w:hAnsi="Times New Roman" w:cs="Times New Roman"/>
          <w:b/>
        </w:rPr>
      </w:pPr>
      <w:r w:rsidRPr="0006684E">
        <w:rPr>
          <w:rFonts w:ascii="Times New Roman" w:hAnsi="Times New Roman" w:cs="Times New Roman"/>
          <w:b/>
        </w:rPr>
        <w:t xml:space="preserve">„1. Ofertę należy złożyć poprzez platformazakupowa.pl, do dnia </w:t>
      </w:r>
      <w:r>
        <w:rPr>
          <w:rFonts w:ascii="Times New Roman" w:hAnsi="Times New Roman" w:cs="Times New Roman"/>
          <w:b/>
        </w:rPr>
        <w:t>23.01.2024</w:t>
      </w:r>
      <w:r w:rsidRPr="0006684E">
        <w:rPr>
          <w:rFonts w:ascii="Times New Roman" w:hAnsi="Times New Roman" w:cs="Times New Roman"/>
          <w:b/>
        </w:rPr>
        <w:t xml:space="preserve"> r. do godziny 10:00. </w:t>
      </w:r>
    </w:p>
    <w:p w14:paraId="3EFDCE33" w14:textId="700D778E" w:rsidR="0006684E" w:rsidRPr="0006684E" w:rsidRDefault="00570364" w:rsidP="0057036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06684E">
        <w:rPr>
          <w:rFonts w:ascii="Times New Roman" w:hAnsi="Times New Roman" w:cs="Times New Roman"/>
          <w:b/>
        </w:rPr>
        <w:t xml:space="preserve">Otwarcie ofert nastąpi w dniu </w:t>
      </w:r>
      <w:r>
        <w:rPr>
          <w:rFonts w:ascii="Times New Roman" w:hAnsi="Times New Roman" w:cs="Times New Roman"/>
          <w:b/>
        </w:rPr>
        <w:t xml:space="preserve">23.01.2024 </w:t>
      </w:r>
      <w:r w:rsidRPr="0006684E">
        <w:rPr>
          <w:rFonts w:ascii="Times New Roman" w:hAnsi="Times New Roman" w:cs="Times New Roman"/>
          <w:b/>
        </w:rPr>
        <w:t>r. o godzinie 10:30”</w:t>
      </w:r>
    </w:p>
    <w:p w14:paraId="1C7BF120" w14:textId="77777777" w:rsidR="000D76C4" w:rsidRDefault="000D76C4" w:rsidP="00BC59A3">
      <w:pPr>
        <w:pStyle w:val="Bezodstpw"/>
        <w:ind w:left="-426"/>
        <w:jc w:val="both"/>
        <w:rPr>
          <w:rFonts w:ascii="Times New Roman" w:hAnsi="Times New Roman" w:cs="Times New Roman"/>
          <w:b/>
        </w:rPr>
      </w:pPr>
    </w:p>
    <w:p w14:paraId="5C495458" w14:textId="480B3C54" w:rsidR="00ED1E54" w:rsidRPr="005D719D" w:rsidRDefault="005D719D" w:rsidP="00BC59A3">
      <w:pPr>
        <w:pStyle w:val="Bezodstpw"/>
        <w:ind w:left="-426"/>
        <w:jc w:val="both"/>
        <w:rPr>
          <w:rFonts w:ascii="Times New Roman" w:hAnsi="Times New Roman" w:cs="Times New Roman"/>
          <w:b/>
        </w:rPr>
      </w:pPr>
      <w:r w:rsidRPr="005D719D">
        <w:rPr>
          <w:rFonts w:ascii="Times New Roman" w:hAnsi="Times New Roman" w:cs="Times New Roman"/>
          <w:b/>
        </w:rPr>
        <w:t>Zamawiający dokonuje modyfikacji w Załączniku nr 2 – Formularz ofertowy, w pkt. 7:</w:t>
      </w:r>
    </w:p>
    <w:p w14:paraId="72163276" w14:textId="589AD1CD" w:rsidR="005D719D" w:rsidRPr="005D719D" w:rsidRDefault="005D719D" w:rsidP="00BC59A3">
      <w:pPr>
        <w:pStyle w:val="Bezodstpw"/>
        <w:ind w:left="-426"/>
        <w:jc w:val="both"/>
        <w:rPr>
          <w:rFonts w:ascii="Times New Roman" w:hAnsi="Times New Roman" w:cs="Times New Roman"/>
          <w:b/>
        </w:rPr>
      </w:pPr>
    </w:p>
    <w:p w14:paraId="3F70E65B" w14:textId="691E3611" w:rsidR="005D719D" w:rsidRPr="005D719D" w:rsidRDefault="005D719D" w:rsidP="005D719D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Times New Roman" w:hAnsi="Times New Roman" w:cs="Times New Roman"/>
          <w:noProof/>
          <w:color w:val="auto"/>
          <w:sz w:val="22"/>
        </w:rPr>
      </w:pPr>
      <w:r w:rsidRPr="005D719D">
        <w:rPr>
          <w:rFonts w:ascii="Times New Roman" w:hAnsi="Times New Roman" w:cs="Times New Roman"/>
          <w:noProof/>
          <w:sz w:val="22"/>
        </w:rPr>
        <w:t>Oświadczam/y, że uważam/y się za związanych niniejszą ofertą na czas</w:t>
      </w:r>
      <w:r w:rsidRPr="005D719D">
        <w:rPr>
          <w:rFonts w:ascii="Times New Roman" w:hAnsi="Times New Roman" w:cs="Times New Roman"/>
          <w:b/>
          <w:noProof/>
          <w:sz w:val="22"/>
        </w:rPr>
        <w:t xml:space="preserve"> 30 dni</w:t>
      </w:r>
      <w:r w:rsidRPr="005D719D">
        <w:rPr>
          <w:rFonts w:ascii="Times New Roman" w:hAnsi="Times New Roman" w:cs="Times New Roman"/>
          <w:noProof/>
          <w:sz w:val="22"/>
        </w:rPr>
        <w:t xml:space="preserve"> od upływu terminu składania ofert, tj. do </w:t>
      </w:r>
      <w:r w:rsidRPr="005D719D">
        <w:rPr>
          <w:rFonts w:ascii="Times New Roman" w:hAnsi="Times New Roman" w:cs="Times New Roman"/>
          <w:noProof/>
          <w:color w:val="000000" w:themeColor="text1"/>
          <w:sz w:val="22"/>
        </w:rPr>
        <w:t xml:space="preserve">dnia </w:t>
      </w:r>
      <w:r w:rsidRPr="005D719D">
        <w:rPr>
          <w:rFonts w:ascii="Times New Roman" w:hAnsi="Times New Roman" w:cs="Times New Roman"/>
          <w:b/>
          <w:noProof/>
          <w:color w:val="auto"/>
          <w:sz w:val="22"/>
        </w:rPr>
        <w:t>19.02.2024 r.</w:t>
      </w:r>
    </w:p>
    <w:p w14:paraId="1699CFA9" w14:textId="37F9C18C" w:rsidR="005D719D" w:rsidRPr="005D719D" w:rsidRDefault="005D719D" w:rsidP="005D719D">
      <w:pPr>
        <w:spacing w:line="360" w:lineRule="auto"/>
        <w:contextualSpacing/>
        <w:rPr>
          <w:rFonts w:ascii="Times New Roman" w:hAnsi="Times New Roman" w:cs="Times New Roman"/>
          <w:noProof/>
        </w:rPr>
      </w:pPr>
      <w:r w:rsidRPr="005D719D">
        <w:rPr>
          <w:rFonts w:ascii="Times New Roman" w:hAnsi="Times New Roman" w:cs="Times New Roman"/>
          <w:noProof/>
        </w:rPr>
        <w:t>na:</w:t>
      </w:r>
    </w:p>
    <w:p w14:paraId="0382E5CA" w14:textId="4FB62643" w:rsidR="005D719D" w:rsidRPr="005D719D" w:rsidRDefault="005D719D" w:rsidP="005D719D">
      <w:pPr>
        <w:spacing w:line="360" w:lineRule="auto"/>
        <w:contextualSpacing/>
        <w:rPr>
          <w:rFonts w:ascii="Times New Roman" w:hAnsi="Times New Roman" w:cs="Times New Roman"/>
          <w:noProof/>
        </w:rPr>
      </w:pPr>
    </w:p>
    <w:p w14:paraId="42B2FBDB" w14:textId="090472C9" w:rsidR="005D719D" w:rsidRPr="005D719D" w:rsidRDefault="005D719D" w:rsidP="005D719D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Times New Roman" w:hAnsi="Times New Roman" w:cs="Times New Roman"/>
          <w:noProof/>
          <w:color w:val="FF0000"/>
          <w:sz w:val="22"/>
        </w:rPr>
      </w:pPr>
      <w:r w:rsidRPr="005D719D">
        <w:rPr>
          <w:rFonts w:ascii="Times New Roman" w:hAnsi="Times New Roman" w:cs="Times New Roman"/>
          <w:noProof/>
          <w:sz w:val="22"/>
        </w:rPr>
        <w:t>Oświadczam/y, że uważam/y się za związanych niniejszą ofertą na czas</w:t>
      </w:r>
      <w:r w:rsidRPr="005D719D">
        <w:rPr>
          <w:rFonts w:ascii="Times New Roman" w:hAnsi="Times New Roman" w:cs="Times New Roman"/>
          <w:b/>
          <w:noProof/>
          <w:sz w:val="22"/>
        </w:rPr>
        <w:t xml:space="preserve"> 30 dni</w:t>
      </w:r>
      <w:r w:rsidRPr="005D719D">
        <w:rPr>
          <w:rFonts w:ascii="Times New Roman" w:hAnsi="Times New Roman" w:cs="Times New Roman"/>
          <w:noProof/>
          <w:sz w:val="22"/>
        </w:rPr>
        <w:t xml:space="preserve"> od upływu terminu składania ofert, tj. do </w:t>
      </w:r>
      <w:r w:rsidRPr="005D719D">
        <w:rPr>
          <w:rFonts w:ascii="Times New Roman" w:hAnsi="Times New Roman" w:cs="Times New Roman"/>
          <w:noProof/>
          <w:color w:val="000000" w:themeColor="text1"/>
          <w:sz w:val="22"/>
        </w:rPr>
        <w:t xml:space="preserve">dnia </w:t>
      </w:r>
      <w:r w:rsidRPr="005D719D">
        <w:rPr>
          <w:rFonts w:ascii="Times New Roman" w:hAnsi="Times New Roman" w:cs="Times New Roman"/>
          <w:b/>
          <w:bCs/>
          <w:noProof/>
          <w:color w:val="auto"/>
          <w:sz w:val="22"/>
        </w:rPr>
        <w:t>23</w:t>
      </w:r>
      <w:r w:rsidRPr="005D719D">
        <w:rPr>
          <w:rFonts w:ascii="Times New Roman" w:hAnsi="Times New Roman" w:cs="Times New Roman"/>
          <w:b/>
          <w:bCs/>
          <w:noProof/>
          <w:color w:val="auto"/>
          <w:sz w:val="22"/>
        </w:rPr>
        <w:t>.02.2024 r.</w:t>
      </w:r>
    </w:p>
    <w:p w14:paraId="19E6B4CE" w14:textId="77777777" w:rsidR="005D719D" w:rsidRPr="005D719D" w:rsidRDefault="005D719D" w:rsidP="005D719D">
      <w:pPr>
        <w:spacing w:line="360" w:lineRule="auto"/>
        <w:contextualSpacing/>
        <w:rPr>
          <w:noProof/>
        </w:rPr>
      </w:pPr>
    </w:p>
    <w:p w14:paraId="466F85E8" w14:textId="77777777" w:rsidR="005D719D" w:rsidRPr="002A7D37" w:rsidRDefault="005D719D" w:rsidP="00BC59A3">
      <w:pPr>
        <w:pStyle w:val="Bezodstpw"/>
        <w:ind w:left="-426"/>
        <w:jc w:val="both"/>
        <w:rPr>
          <w:rFonts w:ascii="Times New Roman" w:hAnsi="Times New Roman" w:cs="Times New Roman"/>
          <w:b/>
        </w:rPr>
      </w:pPr>
    </w:p>
    <w:p w14:paraId="0435A4BD" w14:textId="77777777" w:rsidR="003D022B" w:rsidRPr="002A7D37" w:rsidRDefault="003D022B" w:rsidP="00C074EC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0"/>
    <w:p w14:paraId="18FDA84D" w14:textId="77777777" w:rsidR="00EE30CF" w:rsidRPr="005308F7" w:rsidRDefault="00ED1E54" w:rsidP="00C417B4">
      <w:pPr>
        <w:pStyle w:val="Bezodstpw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562E49F1" w14:textId="77777777" w:rsidR="00EE30CF" w:rsidRPr="005308F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48D796B0" w14:textId="77777777" w:rsidR="00EE30CF" w:rsidRPr="005308F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11BCCC9C" w14:textId="77777777" w:rsidR="00EE30CF" w:rsidRPr="005308F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13023B04" w14:textId="77777777" w:rsidR="00EE30CF" w:rsidRPr="003B2D55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sectPr w:rsidR="00EE30CF" w:rsidRPr="003B2D55" w:rsidSect="003413EC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4918" w14:textId="77777777" w:rsidR="00B91659" w:rsidRDefault="00B91659" w:rsidP="002A41CC">
      <w:pPr>
        <w:spacing w:after="0" w:line="240" w:lineRule="auto"/>
      </w:pPr>
      <w:r>
        <w:separator/>
      </w:r>
    </w:p>
  </w:endnote>
  <w:endnote w:type="continuationSeparator" w:id="0">
    <w:p w14:paraId="5AC32B6A" w14:textId="77777777" w:rsidR="00B91659" w:rsidRDefault="00B91659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728C" w14:textId="77777777" w:rsidR="00B91659" w:rsidRDefault="00B91659" w:rsidP="002A41CC">
      <w:pPr>
        <w:spacing w:after="0" w:line="240" w:lineRule="auto"/>
      </w:pPr>
      <w:r>
        <w:separator/>
      </w:r>
    </w:p>
  </w:footnote>
  <w:footnote w:type="continuationSeparator" w:id="0">
    <w:p w14:paraId="155AEEA3" w14:textId="77777777" w:rsidR="00B91659" w:rsidRDefault="00B91659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7942" w14:textId="77777777" w:rsidR="00FE4CD3" w:rsidRDefault="00FE4CD3" w:rsidP="002A4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AB4B31"/>
    <w:multiLevelType w:val="hybridMultilevel"/>
    <w:tmpl w:val="C3982BE0"/>
    <w:lvl w:ilvl="0" w:tplc="9878CA4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6A2AE4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6CD10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A2BE8E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E6EC6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24471C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164BB2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0E5F0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0B80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52593"/>
    <w:multiLevelType w:val="hybridMultilevel"/>
    <w:tmpl w:val="767A816E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A53E8"/>
    <w:multiLevelType w:val="hybridMultilevel"/>
    <w:tmpl w:val="7368DE0C"/>
    <w:lvl w:ilvl="0" w:tplc="109C6DF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6C3CA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DA6B1E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305212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D084E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828F0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767FB4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C6634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CCE46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BB3400"/>
    <w:multiLevelType w:val="hybridMultilevel"/>
    <w:tmpl w:val="EEC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33633"/>
    <w:multiLevelType w:val="hybridMultilevel"/>
    <w:tmpl w:val="01E2BB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EF76A60"/>
    <w:multiLevelType w:val="hybridMultilevel"/>
    <w:tmpl w:val="7C508F30"/>
    <w:lvl w:ilvl="0" w:tplc="C07A86F8">
      <w:start w:val="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F27A41"/>
    <w:multiLevelType w:val="hybridMultilevel"/>
    <w:tmpl w:val="B97699BE"/>
    <w:lvl w:ilvl="0" w:tplc="89B0B2D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001CE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E2CE8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AA0334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A5270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C3110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8D45A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C5546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AA83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35EE1A90"/>
    <w:multiLevelType w:val="hybridMultilevel"/>
    <w:tmpl w:val="97FE5410"/>
    <w:lvl w:ilvl="0" w:tplc="732000F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867E4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AE1F6A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C952E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87110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255CC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491F4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C3780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A6446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64E06"/>
    <w:multiLevelType w:val="hybridMultilevel"/>
    <w:tmpl w:val="1C8463C6"/>
    <w:lvl w:ilvl="0" w:tplc="2CE848A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62AD0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0490EA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4D92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3E46B4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4E0DE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A8682C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D81D4E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DE9ADE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571CC"/>
    <w:multiLevelType w:val="hybridMultilevel"/>
    <w:tmpl w:val="2A102F7A"/>
    <w:lvl w:ilvl="0" w:tplc="9FF854B6">
      <w:start w:val="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2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6F4F0086"/>
    <w:multiLevelType w:val="hybridMultilevel"/>
    <w:tmpl w:val="4E50D1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D1FB8"/>
    <w:multiLevelType w:val="hybridMultilevel"/>
    <w:tmpl w:val="00868996"/>
    <w:lvl w:ilvl="0" w:tplc="A642D0EC">
      <w:start w:val="1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C216A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07F70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80220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6024A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C9D8C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2ACD0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BCA71E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60D5A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23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20"/>
  </w:num>
  <w:num w:numId="13">
    <w:abstractNumId w:val="2"/>
  </w:num>
  <w:num w:numId="14">
    <w:abstractNumId w:val="15"/>
  </w:num>
  <w:num w:numId="15">
    <w:abstractNumId w:val="24"/>
  </w:num>
  <w:num w:numId="16">
    <w:abstractNumId w:val="13"/>
  </w:num>
  <w:num w:numId="17">
    <w:abstractNumId w:val="5"/>
  </w:num>
  <w:num w:numId="18">
    <w:abstractNumId w:val="11"/>
  </w:num>
  <w:num w:numId="19">
    <w:abstractNumId w:val="6"/>
  </w:num>
  <w:num w:numId="20">
    <w:abstractNumId w:val="3"/>
  </w:num>
  <w:num w:numId="21">
    <w:abstractNumId w:val="1"/>
  </w:num>
  <w:num w:numId="22">
    <w:abstractNumId w:val="19"/>
  </w:num>
  <w:num w:numId="2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14360"/>
    <w:rsid w:val="00021937"/>
    <w:rsid w:val="000312F7"/>
    <w:rsid w:val="0006684E"/>
    <w:rsid w:val="00077D97"/>
    <w:rsid w:val="00080C5C"/>
    <w:rsid w:val="000812C0"/>
    <w:rsid w:val="00086991"/>
    <w:rsid w:val="0009060E"/>
    <w:rsid w:val="000D7021"/>
    <w:rsid w:val="000D76C4"/>
    <w:rsid w:val="000E27EA"/>
    <w:rsid w:val="00104A26"/>
    <w:rsid w:val="00141DAD"/>
    <w:rsid w:val="00147C97"/>
    <w:rsid w:val="00177C55"/>
    <w:rsid w:val="00182178"/>
    <w:rsid w:val="00182C2F"/>
    <w:rsid w:val="00193871"/>
    <w:rsid w:val="001A4E79"/>
    <w:rsid w:val="001B6E07"/>
    <w:rsid w:val="001C19E0"/>
    <w:rsid w:val="001C7BAC"/>
    <w:rsid w:val="001E3DD3"/>
    <w:rsid w:val="001E7215"/>
    <w:rsid w:val="001F1703"/>
    <w:rsid w:val="002049B8"/>
    <w:rsid w:val="0023277B"/>
    <w:rsid w:val="00243B65"/>
    <w:rsid w:val="00244F9B"/>
    <w:rsid w:val="002627EA"/>
    <w:rsid w:val="00264A50"/>
    <w:rsid w:val="0028189A"/>
    <w:rsid w:val="002822CF"/>
    <w:rsid w:val="00291992"/>
    <w:rsid w:val="002A1241"/>
    <w:rsid w:val="002A1BE7"/>
    <w:rsid w:val="002A221D"/>
    <w:rsid w:val="002A41CC"/>
    <w:rsid w:val="002A7D37"/>
    <w:rsid w:val="002D1BBF"/>
    <w:rsid w:val="002D76F7"/>
    <w:rsid w:val="002E077E"/>
    <w:rsid w:val="002F36BE"/>
    <w:rsid w:val="002F3DD3"/>
    <w:rsid w:val="00314F84"/>
    <w:rsid w:val="00317BDF"/>
    <w:rsid w:val="003228DC"/>
    <w:rsid w:val="003413EC"/>
    <w:rsid w:val="003548B3"/>
    <w:rsid w:val="00360A9A"/>
    <w:rsid w:val="00383026"/>
    <w:rsid w:val="00391812"/>
    <w:rsid w:val="00391C94"/>
    <w:rsid w:val="003B2D55"/>
    <w:rsid w:val="003D022B"/>
    <w:rsid w:val="003D6FF1"/>
    <w:rsid w:val="003E31FF"/>
    <w:rsid w:val="003F30A3"/>
    <w:rsid w:val="003F7A5A"/>
    <w:rsid w:val="00404D5E"/>
    <w:rsid w:val="0041131F"/>
    <w:rsid w:val="00414719"/>
    <w:rsid w:val="00431ABA"/>
    <w:rsid w:val="004403CA"/>
    <w:rsid w:val="0044594F"/>
    <w:rsid w:val="004718A5"/>
    <w:rsid w:val="00475428"/>
    <w:rsid w:val="0047743A"/>
    <w:rsid w:val="00494CF9"/>
    <w:rsid w:val="004D708D"/>
    <w:rsid w:val="00500F67"/>
    <w:rsid w:val="005021A3"/>
    <w:rsid w:val="00503D7E"/>
    <w:rsid w:val="00516748"/>
    <w:rsid w:val="005308F7"/>
    <w:rsid w:val="005438F0"/>
    <w:rsid w:val="00553064"/>
    <w:rsid w:val="00561674"/>
    <w:rsid w:val="005637C6"/>
    <w:rsid w:val="00570364"/>
    <w:rsid w:val="005D719D"/>
    <w:rsid w:val="00613333"/>
    <w:rsid w:val="00614112"/>
    <w:rsid w:val="00623FD9"/>
    <w:rsid w:val="00645DFF"/>
    <w:rsid w:val="00647A6E"/>
    <w:rsid w:val="006650DD"/>
    <w:rsid w:val="006679E4"/>
    <w:rsid w:val="00692E88"/>
    <w:rsid w:val="006A44DD"/>
    <w:rsid w:val="006A5459"/>
    <w:rsid w:val="006A7D7D"/>
    <w:rsid w:val="006B6975"/>
    <w:rsid w:val="006D69E1"/>
    <w:rsid w:val="007118A6"/>
    <w:rsid w:val="007268A1"/>
    <w:rsid w:val="00735BBB"/>
    <w:rsid w:val="00766344"/>
    <w:rsid w:val="00777BD4"/>
    <w:rsid w:val="00781ACE"/>
    <w:rsid w:val="007A7679"/>
    <w:rsid w:val="007D08BE"/>
    <w:rsid w:val="007F63D1"/>
    <w:rsid w:val="00811E0B"/>
    <w:rsid w:val="008248F4"/>
    <w:rsid w:val="00826FE0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D47FD"/>
    <w:rsid w:val="0091603D"/>
    <w:rsid w:val="00920649"/>
    <w:rsid w:val="0092112A"/>
    <w:rsid w:val="009243E6"/>
    <w:rsid w:val="00944E60"/>
    <w:rsid w:val="00951D47"/>
    <w:rsid w:val="00953832"/>
    <w:rsid w:val="0095428E"/>
    <w:rsid w:val="00955190"/>
    <w:rsid w:val="00963B84"/>
    <w:rsid w:val="00965266"/>
    <w:rsid w:val="009A76BA"/>
    <w:rsid w:val="009D6875"/>
    <w:rsid w:val="009F3B62"/>
    <w:rsid w:val="00A115CC"/>
    <w:rsid w:val="00A245AD"/>
    <w:rsid w:val="00A27072"/>
    <w:rsid w:val="00A52440"/>
    <w:rsid w:val="00A71178"/>
    <w:rsid w:val="00A7733B"/>
    <w:rsid w:val="00A925FB"/>
    <w:rsid w:val="00A935B7"/>
    <w:rsid w:val="00AB733F"/>
    <w:rsid w:val="00AD2C20"/>
    <w:rsid w:val="00AE6A16"/>
    <w:rsid w:val="00AE7605"/>
    <w:rsid w:val="00AF0E9F"/>
    <w:rsid w:val="00B3174D"/>
    <w:rsid w:val="00B35A06"/>
    <w:rsid w:val="00B5333E"/>
    <w:rsid w:val="00B82900"/>
    <w:rsid w:val="00B91659"/>
    <w:rsid w:val="00BA1136"/>
    <w:rsid w:val="00BC59A3"/>
    <w:rsid w:val="00BC635C"/>
    <w:rsid w:val="00BD0F00"/>
    <w:rsid w:val="00C00BC3"/>
    <w:rsid w:val="00C02131"/>
    <w:rsid w:val="00C03CDA"/>
    <w:rsid w:val="00C074EC"/>
    <w:rsid w:val="00C264DE"/>
    <w:rsid w:val="00C417B4"/>
    <w:rsid w:val="00C41F4A"/>
    <w:rsid w:val="00C51930"/>
    <w:rsid w:val="00C82230"/>
    <w:rsid w:val="00CA6B32"/>
    <w:rsid w:val="00CB3704"/>
    <w:rsid w:val="00CC212A"/>
    <w:rsid w:val="00CE1290"/>
    <w:rsid w:val="00D145DC"/>
    <w:rsid w:val="00D21854"/>
    <w:rsid w:val="00D23CD6"/>
    <w:rsid w:val="00D33206"/>
    <w:rsid w:val="00D377A8"/>
    <w:rsid w:val="00D4605D"/>
    <w:rsid w:val="00D57FDE"/>
    <w:rsid w:val="00D84202"/>
    <w:rsid w:val="00D905B6"/>
    <w:rsid w:val="00DB5472"/>
    <w:rsid w:val="00DC3604"/>
    <w:rsid w:val="00DC4CF4"/>
    <w:rsid w:val="00DE31F0"/>
    <w:rsid w:val="00DF0CBE"/>
    <w:rsid w:val="00E13C16"/>
    <w:rsid w:val="00E32C2F"/>
    <w:rsid w:val="00E43071"/>
    <w:rsid w:val="00E457F5"/>
    <w:rsid w:val="00E63D21"/>
    <w:rsid w:val="00E73328"/>
    <w:rsid w:val="00E74A53"/>
    <w:rsid w:val="00E810B8"/>
    <w:rsid w:val="00E81338"/>
    <w:rsid w:val="00ED1E54"/>
    <w:rsid w:val="00EE07A9"/>
    <w:rsid w:val="00EE08D8"/>
    <w:rsid w:val="00EE30CF"/>
    <w:rsid w:val="00EF4030"/>
    <w:rsid w:val="00EF52A4"/>
    <w:rsid w:val="00EF6314"/>
    <w:rsid w:val="00EF6D2E"/>
    <w:rsid w:val="00F00F90"/>
    <w:rsid w:val="00F4096F"/>
    <w:rsid w:val="00F518AC"/>
    <w:rsid w:val="00F75D76"/>
    <w:rsid w:val="00F800A6"/>
    <w:rsid w:val="00F9188E"/>
    <w:rsid w:val="00FA0432"/>
    <w:rsid w:val="00FB2DCC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D3307"/>
  <w15:docId w15:val="{77167ECC-5B84-4F74-948D-EEA184AA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"/>
      </w:numPr>
    </w:pPr>
  </w:style>
  <w:style w:type="numbering" w:customStyle="1" w:styleId="WWNum6">
    <w:name w:val="WWNum6"/>
    <w:basedOn w:val="Bezlisty"/>
    <w:rsid w:val="00AD2C20"/>
    <w:pPr>
      <w:numPr>
        <w:numId w:val="3"/>
      </w:numPr>
    </w:pPr>
  </w:style>
  <w:style w:type="numbering" w:customStyle="1" w:styleId="WWNum26">
    <w:name w:val="WWNum26"/>
    <w:basedOn w:val="Bezlisty"/>
    <w:rsid w:val="00AD2C20"/>
    <w:pPr>
      <w:numPr>
        <w:numId w:val="2"/>
      </w:numPr>
    </w:pPr>
  </w:style>
  <w:style w:type="numbering" w:customStyle="1" w:styleId="WWNum27">
    <w:name w:val="WWNum27"/>
    <w:basedOn w:val="Bezlisty"/>
    <w:rsid w:val="00AD2C2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76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6C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2D76F7"/>
    <w:rPr>
      <w:rFonts w:ascii="Calibri" w:eastAsia="Calibri" w:hAnsi="Calibri" w:cs="Calibri"/>
      <w:color w:val="000000"/>
      <w:sz w:val="24"/>
    </w:rPr>
  </w:style>
  <w:style w:type="paragraph" w:customStyle="1" w:styleId="Tabelapozycja">
    <w:name w:val="Tabela pozycja"/>
    <w:basedOn w:val="Normalny"/>
    <w:rsid w:val="002D76F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6F7"/>
    <w:pPr>
      <w:framePr w:hSpace="141" w:wrap="around" w:vAnchor="text" w:hAnchor="margin" w:y="109"/>
      <w:spacing w:after="0" w:line="240" w:lineRule="auto"/>
      <w:jc w:val="center"/>
    </w:pPr>
    <w:rPr>
      <w:rFonts w:ascii="Calibri" w:hAnsi="Calibri" w:cs="Calibri"/>
      <w:b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D76F7"/>
    <w:rPr>
      <w:rFonts w:ascii="Calibri" w:hAnsi="Calibri" w:cs="Calibri"/>
      <w:b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A83DBFF-5BF5-3243-AC2C-733D35F0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14</Pages>
  <Words>4063</Words>
  <Characters>24384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Maciej Hryc</cp:lastModifiedBy>
  <cp:revision>17</cp:revision>
  <dcterms:created xsi:type="dcterms:W3CDTF">2023-06-02T06:53:00Z</dcterms:created>
  <dcterms:modified xsi:type="dcterms:W3CDTF">2024-01-18T22:09:00Z</dcterms:modified>
</cp:coreProperties>
</file>