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BA0" w:rsidRPr="00CB3754" w:rsidRDefault="00ED4B3F" w:rsidP="00210BA0">
      <w:pPr>
        <w:jc w:val="right"/>
        <w:rPr>
          <w:rFonts w:ascii="Calibri" w:hAnsi="Calibri" w:cs="Calibri"/>
        </w:rPr>
      </w:pPr>
      <w:r>
        <w:rPr>
          <w:rFonts w:ascii="Calibri" w:hAnsi="Calibri" w:cs="Calibri"/>
        </w:rPr>
        <w:t>Załącznik nr ….</w:t>
      </w:r>
      <w:bookmarkStart w:id="0" w:name="_GoBack"/>
      <w:bookmarkEnd w:id="0"/>
      <w:r w:rsidR="00210BA0">
        <w:rPr>
          <w:rFonts w:ascii="Calibri" w:hAnsi="Calibri" w:cs="Calibri"/>
        </w:rPr>
        <w:t xml:space="preserve"> </w:t>
      </w:r>
      <w:r w:rsidR="00210BA0" w:rsidRPr="00CB3754">
        <w:rPr>
          <w:rFonts w:ascii="Calibri" w:hAnsi="Calibri" w:cs="Calibri"/>
        </w:rPr>
        <w:t xml:space="preserve"> d</w:t>
      </w:r>
      <w:r w:rsidR="00210BA0">
        <w:rPr>
          <w:rFonts w:ascii="Calibri" w:hAnsi="Calibri" w:cs="Calibri"/>
        </w:rPr>
        <w:t>o umowy nr IZP.271 ……………….. 2021</w:t>
      </w:r>
      <w:r w:rsidR="00210BA0" w:rsidRPr="00CB3754">
        <w:rPr>
          <w:rFonts w:ascii="Calibri" w:hAnsi="Calibri" w:cs="Calibri"/>
        </w:rPr>
        <w:t>.ZP</w:t>
      </w:r>
    </w:p>
    <w:p w:rsidR="005A2924" w:rsidRPr="004405D1" w:rsidRDefault="008B32E0" w:rsidP="004405D1">
      <w:pPr>
        <w:spacing w:before="240" w:line="276" w:lineRule="auto"/>
        <w:jc w:val="center"/>
        <w:textAlignment w:val="baseline"/>
        <w:rPr>
          <w:rFonts w:asciiTheme="minorHAnsi" w:hAnsiTheme="minorHAnsi" w:cstheme="minorHAnsi"/>
          <w:b/>
          <w:sz w:val="24"/>
          <w:szCs w:val="24"/>
        </w:rPr>
      </w:pPr>
      <w:r w:rsidRPr="004405D1">
        <w:rPr>
          <w:rFonts w:asciiTheme="minorHAnsi" w:eastAsia="Calibri" w:hAnsiTheme="minorHAnsi" w:cstheme="minorHAnsi"/>
          <w:b/>
          <w:bCs/>
          <w:kern w:val="2"/>
          <w:sz w:val="24"/>
          <w:szCs w:val="24"/>
        </w:rPr>
        <w:t>Wymagania Zamawiającego w zakresie organizacji robót w pomieszczeniach technologicznych reaktora MARIA</w:t>
      </w:r>
    </w:p>
    <w:p w:rsidR="005A2924" w:rsidRPr="004405D1" w:rsidRDefault="005A2924" w:rsidP="004405D1">
      <w:pPr>
        <w:spacing w:line="276" w:lineRule="auto"/>
        <w:jc w:val="both"/>
        <w:textAlignment w:val="baseline"/>
        <w:rPr>
          <w:rFonts w:ascii="Arial" w:hAnsi="Arial" w:cs="Arial"/>
          <w:sz w:val="22"/>
          <w:szCs w:val="22"/>
        </w:rPr>
      </w:pPr>
    </w:p>
    <w:p w:rsidR="009F4F30" w:rsidRPr="004405D1" w:rsidRDefault="009F4F30" w:rsidP="004405D1">
      <w:pPr>
        <w:spacing w:line="276" w:lineRule="auto"/>
        <w:jc w:val="both"/>
        <w:rPr>
          <w:rFonts w:asciiTheme="minorHAnsi" w:hAnsiTheme="minorHAnsi"/>
          <w:sz w:val="22"/>
          <w:szCs w:val="22"/>
        </w:rPr>
      </w:pPr>
      <w:bookmarkStart w:id="1" w:name="move64619313"/>
      <w:bookmarkEnd w:id="1"/>
      <w:r w:rsidRPr="004405D1">
        <w:rPr>
          <w:rFonts w:asciiTheme="minorHAnsi" w:hAnsiTheme="minorHAnsi"/>
          <w:b/>
          <w:sz w:val="22"/>
          <w:szCs w:val="22"/>
        </w:rPr>
        <w:t>Zasady wstępu do obiektu reaktora MARIA oraz sposób prowadzenia prac na jego terenie regulują następujące przepisy</w:t>
      </w:r>
      <w:r w:rsidRPr="004405D1">
        <w:rPr>
          <w:rFonts w:asciiTheme="minorHAnsi" w:hAnsiTheme="minorHAnsi"/>
          <w:sz w:val="22"/>
          <w:szCs w:val="22"/>
        </w:rPr>
        <w:t>:</w:t>
      </w:r>
    </w:p>
    <w:p w:rsidR="009F4F30" w:rsidRPr="004405D1" w:rsidRDefault="009F4F30" w:rsidP="004405D1">
      <w:pPr>
        <w:pStyle w:val="Akapitzlist"/>
        <w:numPr>
          <w:ilvl w:val="0"/>
          <w:numId w:val="4"/>
        </w:numPr>
        <w:spacing w:before="120" w:after="0"/>
        <w:ind w:left="568" w:hanging="284"/>
        <w:jc w:val="both"/>
        <w:rPr>
          <w:rFonts w:asciiTheme="minorHAnsi" w:hAnsiTheme="minorHAnsi" w:cstheme="minorHAnsi"/>
        </w:rPr>
      </w:pPr>
      <w:r w:rsidRPr="004405D1">
        <w:rPr>
          <w:rFonts w:asciiTheme="minorHAnsi" w:hAnsiTheme="minorHAnsi" w:cstheme="minorHAnsi"/>
        </w:rPr>
        <w:t>Ustawa Prawo atomowe (Dz. U. z 2019 r., poz. 1792, ze zm.),</w:t>
      </w:r>
    </w:p>
    <w:p w:rsidR="009F4F30" w:rsidRPr="004405D1" w:rsidRDefault="009F4F30" w:rsidP="004405D1">
      <w:pPr>
        <w:pStyle w:val="Akapitzlist"/>
        <w:numPr>
          <w:ilvl w:val="0"/>
          <w:numId w:val="4"/>
        </w:numPr>
        <w:spacing w:before="240" w:after="0"/>
        <w:ind w:left="567" w:hanging="283"/>
        <w:jc w:val="both"/>
        <w:rPr>
          <w:rFonts w:asciiTheme="minorHAnsi" w:hAnsiTheme="minorHAnsi" w:cstheme="minorHAnsi"/>
        </w:rPr>
      </w:pPr>
      <w:r w:rsidRPr="004405D1">
        <w:rPr>
          <w:rFonts w:asciiTheme="minorHAnsi" w:hAnsiTheme="minorHAnsi" w:cstheme="minorHAnsi"/>
        </w:rPr>
        <w:t>Rozporządzenie Rady Ministrów z dnia 4 listopada 2008 r. w sprawie ochrony fizycznej materiałów jądrowych i obiektów jądrowych (Dz. U. z 2008 r., nr 207, poz. 1295),</w:t>
      </w:r>
    </w:p>
    <w:p w:rsidR="009F4F30" w:rsidRPr="004405D1" w:rsidRDefault="009F4F30" w:rsidP="004405D1">
      <w:pPr>
        <w:pStyle w:val="Akapitzlist"/>
        <w:numPr>
          <w:ilvl w:val="0"/>
          <w:numId w:val="4"/>
        </w:numPr>
        <w:spacing w:before="240" w:after="0"/>
        <w:ind w:left="567" w:hanging="283"/>
        <w:jc w:val="both"/>
        <w:rPr>
          <w:rFonts w:asciiTheme="minorHAnsi" w:hAnsiTheme="minorHAnsi" w:cstheme="minorHAnsi"/>
        </w:rPr>
      </w:pPr>
      <w:r w:rsidRPr="004405D1">
        <w:rPr>
          <w:rFonts w:asciiTheme="minorHAnsi" w:hAnsiTheme="minorHAnsi" w:cstheme="minorHAnsi"/>
        </w:rPr>
        <w:t>Rozporządzenie Rady Ministrów z dnia 30 listopada 2020 r. w sprawie ochrony przed promieniowaniem jonizującym pracowników zewnętrznych narażonych podczas pracy na terenie kontrolowanym lub nadzorowanym (Dz. U. z 2020 r., poz. 2313),</w:t>
      </w:r>
    </w:p>
    <w:p w:rsidR="0081157B" w:rsidRPr="004405D1" w:rsidRDefault="009F4F30" w:rsidP="004405D1">
      <w:pPr>
        <w:pStyle w:val="Akapitzlist"/>
        <w:numPr>
          <w:ilvl w:val="0"/>
          <w:numId w:val="4"/>
        </w:numPr>
        <w:spacing w:before="240" w:after="0"/>
        <w:ind w:left="567" w:hanging="283"/>
        <w:jc w:val="both"/>
        <w:rPr>
          <w:rFonts w:asciiTheme="minorHAnsi" w:hAnsiTheme="minorHAnsi" w:cstheme="minorHAnsi"/>
        </w:rPr>
      </w:pPr>
      <w:r w:rsidRPr="004405D1">
        <w:rPr>
          <w:rFonts w:asciiTheme="minorHAnsi" w:hAnsiTheme="minorHAnsi" w:cstheme="minorHAnsi"/>
        </w:rPr>
        <w:t>Rozporządzenie Rady Ministrów z dnia 20 lutego 2007 r. w sprawie podstawowych wymagań dotyczących terenów kontrolowanych i nadzorowanych (Dz. U. z 2007 r., nr 131, poz. 910).</w:t>
      </w:r>
    </w:p>
    <w:p w:rsidR="00B26F3D" w:rsidRPr="004405D1" w:rsidRDefault="009F4F30" w:rsidP="004405D1">
      <w:pPr>
        <w:spacing w:before="120" w:line="276" w:lineRule="auto"/>
        <w:jc w:val="both"/>
        <w:rPr>
          <w:rFonts w:asciiTheme="minorHAnsi" w:hAnsiTheme="minorHAnsi" w:cstheme="minorHAnsi"/>
          <w:b/>
          <w:strike/>
          <w:sz w:val="22"/>
          <w:szCs w:val="22"/>
        </w:rPr>
      </w:pPr>
      <w:r w:rsidRPr="004405D1">
        <w:rPr>
          <w:rFonts w:asciiTheme="minorHAnsi" w:hAnsiTheme="minorHAnsi" w:cs="Calibri"/>
          <w:b/>
          <w:sz w:val="22"/>
          <w:szCs w:val="22"/>
        </w:rPr>
        <w:t>Na podstawie ww. dokumentów przygotowane zostały wymagania niezbędne do spełnienia przed rozpoczęciem oraz w trakcie prowadzania prac na terenie obiektu reaktora MARIA.</w:t>
      </w:r>
    </w:p>
    <w:p w:rsidR="004405D1" w:rsidRDefault="004405D1" w:rsidP="004405D1">
      <w:pPr>
        <w:widowControl/>
        <w:suppressAutoHyphens w:val="0"/>
        <w:spacing w:before="120" w:line="276" w:lineRule="auto"/>
        <w:jc w:val="both"/>
        <w:rPr>
          <w:rFonts w:ascii="Calibri" w:hAnsi="Calibri" w:cs="Calibri"/>
          <w:b/>
          <w:sz w:val="22"/>
          <w:szCs w:val="22"/>
          <w:u w:val="single"/>
          <w:lang w:eastAsia="pl-PL"/>
        </w:rPr>
      </w:pPr>
    </w:p>
    <w:p w:rsidR="00B26F3D" w:rsidRPr="004405D1" w:rsidRDefault="001C70CE" w:rsidP="004405D1">
      <w:pPr>
        <w:widowControl/>
        <w:suppressAutoHyphens w:val="0"/>
        <w:spacing w:before="120" w:line="276" w:lineRule="auto"/>
        <w:jc w:val="both"/>
        <w:rPr>
          <w:rFonts w:ascii="Calibri" w:hAnsi="Calibri" w:cs="Calibri"/>
          <w:b/>
          <w:sz w:val="22"/>
          <w:szCs w:val="22"/>
          <w:u w:val="single"/>
          <w:shd w:val="clear" w:color="auto" w:fill="FFFFFF"/>
          <w:lang w:eastAsia="pl-PL"/>
        </w:rPr>
      </w:pPr>
      <w:r w:rsidRPr="004405D1">
        <w:rPr>
          <w:rFonts w:ascii="Calibri" w:hAnsi="Calibri" w:cs="Calibri"/>
          <w:b/>
          <w:sz w:val="22"/>
          <w:szCs w:val="22"/>
          <w:u w:val="single"/>
          <w:lang w:eastAsia="pl-PL"/>
        </w:rPr>
        <w:t>P</w:t>
      </w:r>
      <w:r w:rsidR="002E7E86" w:rsidRPr="004405D1">
        <w:rPr>
          <w:rFonts w:ascii="Calibri" w:hAnsi="Calibri" w:cs="Calibri"/>
          <w:b/>
          <w:sz w:val="22"/>
          <w:szCs w:val="22"/>
          <w:u w:val="single"/>
          <w:lang w:eastAsia="pl-PL"/>
        </w:rPr>
        <w:t>racownicy firm zewnętrznych prowadzący prace na terenie obiektu reaktora MARIA</w:t>
      </w:r>
      <w:r w:rsidR="002E7E86" w:rsidRPr="004405D1">
        <w:rPr>
          <w:rFonts w:ascii="Calibri" w:hAnsi="Calibri" w:cs="Calibri"/>
          <w:b/>
          <w:sz w:val="22"/>
          <w:szCs w:val="22"/>
          <w:u w:val="single"/>
          <w:shd w:val="clear" w:color="auto" w:fill="FFFFFF"/>
          <w:lang w:eastAsia="pl-PL"/>
        </w:rPr>
        <w:t xml:space="preserve"> muszą:</w:t>
      </w:r>
    </w:p>
    <w:p w:rsidR="00B26F3D" w:rsidRPr="004405D1" w:rsidRDefault="00B26F3D" w:rsidP="004405D1">
      <w:pPr>
        <w:pStyle w:val="Akapitzlist"/>
        <w:numPr>
          <w:ilvl w:val="0"/>
          <w:numId w:val="10"/>
        </w:numPr>
        <w:spacing w:before="120" w:after="100" w:afterAutospacing="1"/>
        <w:jc w:val="both"/>
        <w:rPr>
          <w:rFonts w:eastAsia="Calibri"/>
          <w:lang w:eastAsia="en-US"/>
        </w:rPr>
      </w:pPr>
      <w:r w:rsidRPr="004405D1">
        <w:rPr>
          <w:color w:val="000000"/>
          <w:lang w:eastAsia="pl-PL"/>
        </w:rPr>
        <w:t>posiadać paszporty dozymetryczne</w:t>
      </w:r>
      <w:r w:rsidR="0081157B" w:rsidRPr="004405D1">
        <w:rPr>
          <w:color w:val="000000"/>
          <w:lang w:eastAsia="pl-PL"/>
        </w:rPr>
        <w:t xml:space="preserve"> wydane prze</w:t>
      </w:r>
      <w:r w:rsidR="009E29D8" w:rsidRPr="004405D1">
        <w:rPr>
          <w:color w:val="000000"/>
          <w:lang w:eastAsia="pl-PL"/>
        </w:rPr>
        <w:t>z</w:t>
      </w:r>
      <w:r w:rsidR="0081157B" w:rsidRPr="004405D1">
        <w:rPr>
          <w:color w:val="000000"/>
          <w:lang w:eastAsia="pl-PL"/>
        </w:rPr>
        <w:t xml:space="preserve"> Prezesa Państwowej Agencji Atomistyki</w:t>
      </w:r>
      <w:r w:rsidRPr="004405D1">
        <w:rPr>
          <w:color w:val="000000"/>
          <w:lang w:eastAsia="pl-PL"/>
        </w:rPr>
        <w:t xml:space="preserve"> </w:t>
      </w:r>
      <w:r w:rsidR="0081157B" w:rsidRPr="004405D1">
        <w:rPr>
          <w:color w:val="000000"/>
          <w:lang w:eastAsia="pl-PL"/>
        </w:rPr>
        <w:t xml:space="preserve">(za posiadanie ww. dokumentów odpowiada pracodawca kierujący pracownika firmy zewnętrznej do pracy w warunkach narażenia) </w:t>
      </w:r>
      <w:r w:rsidRPr="004405D1">
        <w:rPr>
          <w:color w:val="000000"/>
          <w:lang w:eastAsia="pl-PL"/>
        </w:rPr>
        <w:t xml:space="preserve">zgodnie z wytycznymi zawartymi w </w:t>
      </w:r>
      <w:r w:rsidRPr="004405D1">
        <w:rPr>
          <w:rFonts w:asciiTheme="minorHAnsi" w:hAnsiTheme="minorHAnsi" w:cstheme="minorHAnsi"/>
        </w:rPr>
        <w:t xml:space="preserve">instrukcji </w:t>
      </w:r>
      <w:r w:rsidRPr="004405D1">
        <w:rPr>
          <w:rFonts w:asciiTheme="minorHAnsi" w:hAnsiTheme="minorHAnsi" w:cstheme="minorHAnsi"/>
          <w:b/>
        </w:rPr>
        <w:t>„Wytyczne dla podmiotów zewnętrznych wykonujących prace na terenach kontrolowanych i nadzorowanych w NCBJ”</w:t>
      </w:r>
      <w:r w:rsidRPr="004405D1">
        <w:rPr>
          <w:rFonts w:asciiTheme="minorHAnsi" w:hAnsiTheme="minorHAnsi" w:cstheme="minorHAnsi"/>
        </w:rPr>
        <w:t xml:space="preserve"> </w:t>
      </w:r>
      <w:r w:rsidRPr="004405D1">
        <w:rPr>
          <w:rFonts w:asciiTheme="minorHAnsi" w:hAnsiTheme="minorHAnsi" w:cstheme="minorHAnsi"/>
          <w:b/>
        </w:rPr>
        <w:t>IO-08-01</w:t>
      </w:r>
      <w:r w:rsidR="0081157B" w:rsidRPr="004405D1">
        <w:rPr>
          <w:rFonts w:asciiTheme="minorHAnsi" w:hAnsiTheme="minorHAnsi" w:cstheme="minorHAnsi"/>
        </w:rPr>
        <w:t xml:space="preserve">, w tym </w:t>
      </w:r>
      <w:r w:rsidRPr="004405D1">
        <w:t xml:space="preserve">posiadać aktualne orzeczenia </w:t>
      </w:r>
      <w:r w:rsidR="0081157B" w:rsidRPr="004405D1">
        <w:t xml:space="preserve">lekarskie o zdolności do pracy </w:t>
      </w:r>
      <w:r w:rsidRPr="004405D1">
        <w:t>stwierdzające brak przeciwwskazania do pracy w warunkach narażenia na promieniowanie jonizujące, wydane przez uprawnionego lekarza</w:t>
      </w:r>
      <w:r w:rsidRPr="004405D1">
        <w:rPr>
          <w:rFonts w:eastAsia="Calibri"/>
          <w:lang w:eastAsia="en-US"/>
        </w:rPr>
        <w:t xml:space="preserve"> </w:t>
      </w:r>
      <w:r w:rsidR="00FC55D1" w:rsidRPr="004405D1">
        <w:rPr>
          <w:rFonts w:eastAsia="Calibri"/>
          <w:lang w:eastAsia="en-US"/>
        </w:rPr>
        <w:t>(</w:t>
      </w:r>
      <w:r w:rsidRPr="004405D1">
        <w:rPr>
          <w:rFonts w:eastAsia="Calibri"/>
          <w:lang w:eastAsia="en-US"/>
        </w:rPr>
        <w:t xml:space="preserve">symbol specjalizacji </w:t>
      </w:r>
      <w:r w:rsidRPr="004405D1">
        <w:rPr>
          <w:rFonts w:eastAsia="Calibri"/>
          <w:b/>
          <w:lang w:eastAsia="en-US"/>
        </w:rPr>
        <w:t>„J” – przeszkolenie w jednostce badawczo-rozwojowej w dziedzinie medycyny pracy w zakresie badań profilaktycznych pracowników narażonych na działanie promieniowania jonizującego</w:t>
      </w:r>
      <w:r w:rsidR="00FC55D1" w:rsidRPr="004405D1">
        <w:rPr>
          <w:rFonts w:eastAsia="Calibri"/>
          <w:lang w:eastAsia="en-US"/>
        </w:rPr>
        <w:t>);</w:t>
      </w:r>
    </w:p>
    <w:p w:rsidR="0081157B" w:rsidRPr="004405D1" w:rsidRDefault="00B26F3D" w:rsidP="004405D1">
      <w:pPr>
        <w:pStyle w:val="Akapitzlist"/>
        <w:numPr>
          <w:ilvl w:val="0"/>
          <w:numId w:val="10"/>
        </w:numPr>
        <w:spacing w:before="120" w:after="120"/>
        <w:jc w:val="both"/>
        <w:textAlignment w:val="baseline"/>
        <w:rPr>
          <w:rFonts w:asciiTheme="minorHAnsi" w:hAnsiTheme="minorHAnsi" w:cstheme="minorHAnsi"/>
        </w:rPr>
      </w:pPr>
      <w:r w:rsidRPr="004405D1">
        <w:rPr>
          <w:color w:val="000000"/>
          <w:lang w:eastAsia="pl-PL"/>
        </w:rPr>
        <w:t xml:space="preserve">postępować zgodnie z </w:t>
      </w:r>
      <w:r w:rsidR="0081157B" w:rsidRPr="004405D1">
        <w:rPr>
          <w:color w:val="000000"/>
          <w:lang w:eastAsia="pl-PL"/>
        </w:rPr>
        <w:t>„</w:t>
      </w:r>
      <w:r w:rsidR="0081157B" w:rsidRPr="004405D1">
        <w:rPr>
          <w:rFonts w:asciiTheme="minorHAnsi" w:hAnsiTheme="minorHAnsi" w:cstheme="minorHAnsi"/>
          <w:b/>
          <w:lang w:eastAsia="pl-PL"/>
        </w:rPr>
        <w:t>Instrukcją ruchu osobowo-materiałowego w NCBJ</w:t>
      </w:r>
      <w:r w:rsidR="0081157B" w:rsidRPr="004405D1">
        <w:rPr>
          <w:rFonts w:asciiTheme="minorHAnsi" w:hAnsiTheme="minorHAnsi" w:cstheme="minorHAnsi"/>
          <w:lang w:eastAsia="pl-PL"/>
        </w:rPr>
        <w:t>”</w:t>
      </w:r>
      <w:r w:rsidR="0081157B" w:rsidRPr="004405D1">
        <w:rPr>
          <w:rFonts w:asciiTheme="minorHAnsi" w:hAnsiTheme="minorHAnsi" w:cstheme="minorHAnsi"/>
        </w:rPr>
        <w:t xml:space="preserve">  dotyczącą ruchu pojazdów mechanicznych i systemów </w:t>
      </w:r>
      <w:proofErr w:type="spellStart"/>
      <w:r w:rsidR="0081157B" w:rsidRPr="004405D1">
        <w:rPr>
          <w:rFonts w:asciiTheme="minorHAnsi" w:hAnsiTheme="minorHAnsi" w:cstheme="minorHAnsi"/>
        </w:rPr>
        <w:t>przepustkowych</w:t>
      </w:r>
      <w:proofErr w:type="spellEnd"/>
      <w:r w:rsidR="0081157B" w:rsidRPr="004405D1">
        <w:rPr>
          <w:rFonts w:asciiTheme="minorHAnsi" w:hAnsiTheme="minorHAnsi" w:cstheme="minorHAnsi"/>
        </w:rPr>
        <w:t xml:space="preserve"> normujących ruch osobowy i obrót materiałowy</w:t>
      </w:r>
      <w:r w:rsidR="00D156BC" w:rsidRPr="004405D1">
        <w:rPr>
          <w:rFonts w:asciiTheme="minorHAnsi" w:hAnsiTheme="minorHAnsi" w:cstheme="minorHAnsi"/>
        </w:rPr>
        <w:t>;</w:t>
      </w:r>
    </w:p>
    <w:p w:rsidR="0081157B" w:rsidRPr="004405D1" w:rsidRDefault="00D156BC" w:rsidP="004405D1">
      <w:pPr>
        <w:pStyle w:val="Akapitzlist"/>
        <w:numPr>
          <w:ilvl w:val="0"/>
          <w:numId w:val="5"/>
        </w:numPr>
        <w:spacing w:before="120" w:after="0"/>
        <w:jc w:val="both"/>
        <w:rPr>
          <w:color w:val="000000"/>
          <w:lang w:eastAsia="pl-PL"/>
        </w:rPr>
      </w:pPr>
      <w:r w:rsidRPr="004405D1">
        <w:rPr>
          <w:color w:val="000000"/>
          <w:lang w:eastAsia="pl-PL"/>
        </w:rPr>
        <w:t xml:space="preserve">zostać zgłoszeni do Działu Profilaktyki Pożarowej NCBJ w celu odbycia szkolenia z zasad bezpieczeństwa pożarowego na terenie obiektu reaktora MARIA, zgodnie z </w:t>
      </w:r>
      <w:r w:rsidR="0081157B" w:rsidRPr="004405D1">
        <w:rPr>
          <w:color w:val="000000"/>
          <w:lang w:eastAsia="pl-PL"/>
        </w:rPr>
        <w:t>„</w:t>
      </w:r>
      <w:r w:rsidR="0081157B" w:rsidRPr="004405D1">
        <w:rPr>
          <w:b/>
          <w:color w:val="000000"/>
          <w:lang w:eastAsia="pl-PL"/>
        </w:rPr>
        <w:t>Instrukcją bezpieczeństwa pożarowego NCBJ</w:t>
      </w:r>
      <w:r w:rsidRPr="004405D1">
        <w:rPr>
          <w:color w:val="000000"/>
          <w:lang w:eastAsia="pl-PL"/>
        </w:rPr>
        <w:t>”;</w:t>
      </w:r>
    </w:p>
    <w:p w:rsidR="00D40875" w:rsidRPr="004405D1" w:rsidRDefault="00D40875" w:rsidP="004405D1">
      <w:pPr>
        <w:widowControl/>
        <w:numPr>
          <w:ilvl w:val="0"/>
          <w:numId w:val="5"/>
        </w:numPr>
        <w:suppressAutoHyphens w:val="0"/>
        <w:spacing w:line="276" w:lineRule="auto"/>
        <w:contextualSpacing/>
        <w:jc w:val="both"/>
        <w:rPr>
          <w:rFonts w:ascii="Calibri" w:hAnsi="Calibri" w:cs="Calibri"/>
          <w:color w:val="000000"/>
          <w:sz w:val="22"/>
          <w:szCs w:val="22"/>
          <w:lang w:eastAsia="pl-PL"/>
        </w:rPr>
      </w:pPr>
      <w:r w:rsidRPr="00D156BC">
        <w:rPr>
          <w:rFonts w:ascii="Calibri" w:hAnsi="Calibri" w:cs="Calibri"/>
          <w:color w:val="000000"/>
          <w:sz w:val="22"/>
          <w:szCs w:val="22"/>
          <w:lang w:eastAsia="pl-PL"/>
        </w:rPr>
        <w:t xml:space="preserve">odbyć podstawowe szkolenie w zakresie bezpieczeństwa jądrowego i ochrony radiologicznej, uwzględniające specyfikę obiektu reaktora MARIA – szkolenie jest prowadzone przez Dział Dozymetrii; </w:t>
      </w:r>
      <w:r w:rsidRPr="004405D1">
        <w:rPr>
          <w:rFonts w:asciiTheme="minorHAnsi" w:hAnsiTheme="minorHAnsi" w:cstheme="minorHAnsi"/>
          <w:sz w:val="22"/>
          <w:szCs w:val="22"/>
        </w:rPr>
        <w:t>oraz pobrać urządzenie do indywidualnego pomiaru dawki.</w:t>
      </w:r>
      <w:r w:rsidRPr="004405D1">
        <w:rPr>
          <w:rFonts w:ascii="Calibri" w:hAnsi="Calibri" w:cs="Calibri"/>
          <w:color w:val="000000"/>
          <w:sz w:val="22"/>
          <w:szCs w:val="22"/>
          <w:lang w:eastAsia="pl-PL"/>
        </w:rPr>
        <w:t xml:space="preserve"> </w:t>
      </w:r>
      <w:r w:rsidRPr="004405D1">
        <w:rPr>
          <w:rFonts w:ascii="Calibri" w:hAnsi="Calibri" w:cs="Calibri"/>
          <w:sz w:val="22"/>
          <w:szCs w:val="22"/>
          <w:lang w:eastAsia="pl-PL"/>
        </w:rPr>
        <w:t>W</w:t>
      </w:r>
      <w:r w:rsidRPr="00D156BC">
        <w:rPr>
          <w:rFonts w:ascii="Calibri" w:hAnsi="Calibri" w:cs="Calibri"/>
          <w:sz w:val="22"/>
          <w:szCs w:val="22"/>
          <w:lang w:eastAsia="pl-PL"/>
        </w:rPr>
        <w:t>e wskazanych przypadkach</w:t>
      </w:r>
      <w:r w:rsidRPr="004405D1">
        <w:rPr>
          <w:rFonts w:ascii="Calibri" w:hAnsi="Calibri" w:cs="Calibri"/>
          <w:color w:val="000000"/>
          <w:sz w:val="22"/>
          <w:szCs w:val="22"/>
          <w:lang w:eastAsia="pl-PL"/>
        </w:rPr>
        <w:t xml:space="preserve"> </w:t>
      </w:r>
      <w:r w:rsidRPr="00D156BC">
        <w:rPr>
          <w:rFonts w:ascii="Calibri" w:hAnsi="Calibri" w:cs="Calibri"/>
          <w:color w:val="000000"/>
          <w:sz w:val="22"/>
          <w:szCs w:val="22"/>
          <w:lang w:eastAsia="pl-PL"/>
        </w:rPr>
        <w:t>być objęci kontrolą dozymetryczną</w:t>
      </w:r>
      <w:r w:rsidRPr="004405D1">
        <w:rPr>
          <w:rFonts w:ascii="Calibri" w:hAnsi="Calibri" w:cs="Calibri"/>
          <w:color w:val="000000"/>
          <w:sz w:val="22"/>
          <w:szCs w:val="22"/>
          <w:lang w:eastAsia="pl-PL"/>
        </w:rPr>
        <w:t xml:space="preserve"> polegającą na</w:t>
      </w:r>
      <w:r w:rsidRPr="00D156BC">
        <w:rPr>
          <w:rFonts w:ascii="Calibri" w:hAnsi="Calibri" w:cs="Calibri"/>
          <w:sz w:val="22"/>
          <w:szCs w:val="22"/>
          <w:lang w:eastAsia="pl-PL"/>
        </w:rPr>
        <w:t xml:space="preserve"> </w:t>
      </w:r>
      <w:r w:rsidRPr="00D156BC">
        <w:rPr>
          <w:rFonts w:ascii="Calibri" w:hAnsi="Calibri" w:cs="Calibri"/>
          <w:color w:val="000000"/>
          <w:sz w:val="22"/>
          <w:szCs w:val="22"/>
          <w:lang w:eastAsia="pl-PL"/>
        </w:rPr>
        <w:t xml:space="preserve">badaniu licznikiem całego ciała przed i po zakończeniu prac – decyzję </w:t>
      </w:r>
      <w:r w:rsidRPr="004405D1">
        <w:rPr>
          <w:rFonts w:ascii="Calibri" w:hAnsi="Calibri" w:cs="Calibri"/>
          <w:color w:val="000000"/>
          <w:sz w:val="22"/>
          <w:szCs w:val="22"/>
          <w:lang w:eastAsia="pl-PL"/>
        </w:rPr>
        <w:t xml:space="preserve">o skierowaniu </w:t>
      </w:r>
      <w:r w:rsidRPr="00D156BC">
        <w:rPr>
          <w:rFonts w:ascii="Calibri" w:hAnsi="Calibri" w:cs="Calibri"/>
          <w:color w:val="000000"/>
          <w:sz w:val="22"/>
          <w:szCs w:val="22"/>
          <w:lang w:eastAsia="pl-PL"/>
        </w:rPr>
        <w:t>podejmuje Kierownik Reaktora w uzgodnieniu z Działem Dozymetrii</w:t>
      </w:r>
      <w:r w:rsidRPr="004405D1">
        <w:rPr>
          <w:rFonts w:ascii="Calibri" w:hAnsi="Calibri" w:cs="Calibri"/>
          <w:color w:val="000000"/>
          <w:sz w:val="22"/>
          <w:szCs w:val="22"/>
          <w:lang w:eastAsia="pl-PL"/>
        </w:rPr>
        <w:t>, szczegóły zostają ustalone w Umowie;</w:t>
      </w:r>
      <w:r w:rsidRPr="004405D1">
        <w:rPr>
          <w:rFonts w:ascii="Calibri" w:hAnsi="Calibri" w:cs="Calibri"/>
          <w:sz w:val="22"/>
          <w:szCs w:val="22"/>
          <w:lang w:eastAsia="pl-PL"/>
        </w:rPr>
        <w:t xml:space="preserve"> </w:t>
      </w:r>
    </w:p>
    <w:p w:rsidR="00D40875" w:rsidRPr="004405D1" w:rsidRDefault="00D40875" w:rsidP="004405D1">
      <w:pPr>
        <w:widowControl/>
        <w:numPr>
          <w:ilvl w:val="0"/>
          <w:numId w:val="5"/>
        </w:numPr>
        <w:suppressAutoHyphens w:val="0"/>
        <w:spacing w:line="276" w:lineRule="auto"/>
        <w:contextualSpacing/>
        <w:jc w:val="both"/>
        <w:rPr>
          <w:rFonts w:ascii="Calibri" w:hAnsi="Calibri" w:cs="Calibri"/>
          <w:color w:val="000000"/>
          <w:sz w:val="22"/>
          <w:szCs w:val="22"/>
          <w:lang w:eastAsia="pl-PL"/>
        </w:rPr>
      </w:pPr>
      <w:r w:rsidRPr="004405D1">
        <w:rPr>
          <w:rFonts w:ascii="Calibri" w:hAnsi="Calibri" w:cs="Calibri"/>
          <w:color w:val="000000"/>
          <w:sz w:val="22"/>
          <w:szCs w:val="22"/>
          <w:lang w:eastAsia="pl-PL"/>
        </w:rPr>
        <w:t>postępować zgodnie z zasadami prowadzenia prac remontowych zawartych w „</w:t>
      </w:r>
      <w:r w:rsidRPr="004405D1">
        <w:rPr>
          <w:rFonts w:ascii="Calibri" w:hAnsi="Calibri" w:cs="Calibri"/>
          <w:b/>
          <w:color w:val="000000"/>
          <w:sz w:val="22"/>
          <w:szCs w:val="22"/>
          <w:lang w:eastAsia="pl-PL"/>
        </w:rPr>
        <w:t>Regulaminie pracy dla obiektu reaktora MARIA</w:t>
      </w:r>
      <w:r w:rsidRPr="004405D1">
        <w:rPr>
          <w:rFonts w:ascii="Calibri" w:hAnsi="Calibri" w:cs="Calibri"/>
          <w:color w:val="000000"/>
          <w:sz w:val="22"/>
          <w:szCs w:val="22"/>
          <w:lang w:eastAsia="pl-PL"/>
        </w:rPr>
        <w:t xml:space="preserve">”, nr </w:t>
      </w:r>
      <w:r w:rsidRPr="004405D1">
        <w:rPr>
          <w:rFonts w:ascii="Calibri" w:hAnsi="Calibri" w:cs="Calibri"/>
          <w:b/>
          <w:color w:val="000000"/>
          <w:sz w:val="22"/>
          <w:szCs w:val="22"/>
          <w:lang w:eastAsia="pl-PL"/>
        </w:rPr>
        <w:t>01-ZR</w:t>
      </w:r>
      <w:r w:rsidRPr="004405D1">
        <w:rPr>
          <w:rFonts w:ascii="Calibri" w:hAnsi="Calibri" w:cs="Calibri"/>
          <w:color w:val="000000"/>
          <w:sz w:val="22"/>
          <w:szCs w:val="22"/>
          <w:lang w:eastAsia="pl-PL"/>
        </w:rPr>
        <w:t>, w szczególności z podanymi poniżej.</w:t>
      </w:r>
    </w:p>
    <w:p w:rsidR="000943D8" w:rsidRPr="004405D1" w:rsidRDefault="000943D8" w:rsidP="004405D1">
      <w:pPr>
        <w:spacing w:before="120" w:line="276" w:lineRule="auto"/>
        <w:jc w:val="both"/>
        <w:rPr>
          <w:rFonts w:asciiTheme="minorHAnsi" w:eastAsia="Calibri" w:hAnsiTheme="minorHAnsi" w:cstheme="minorHAnsi"/>
          <w:b/>
          <w:sz w:val="22"/>
          <w:szCs w:val="22"/>
          <w:u w:val="single"/>
          <w:lang w:eastAsia="en-US"/>
        </w:rPr>
      </w:pPr>
      <w:r w:rsidRPr="004405D1">
        <w:rPr>
          <w:rFonts w:asciiTheme="minorHAnsi" w:eastAsia="Calibri" w:hAnsiTheme="minorHAnsi" w:cstheme="minorHAnsi"/>
          <w:b/>
          <w:sz w:val="22"/>
          <w:szCs w:val="22"/>
          <w:u w:val="single"/>
          <w:lang w:eastAsia="en-US"/>
        </w:rPr>
        <w:lastRenderedPageBreak/>
        <w:t xml:space="preserve">Wykonawca </w:t>
      </w:r>
      <w:r w:rsidRPr="004405D1">
        <w:rPr>
          <w:rFonts w:asciiTheme="minorHAnsi" w:hAnsiTheme="minorHAnsi" w:cstheme="minorHAnsi"/>
          <w:b/>
          <w:sz w:val="22"/>
          <w:szCs w:val="22"/>
          <w:u w:val="single"/>
          <w:lang w:eastAsia="pl-PL"/>
        </w:rPr>
        <w:t>prowadzący prace na terenie obiektu reaktora MARIA</w:t>
      </w:r>
      <w:r w:rsidRPr="004405D1">
        <w:rPr>
          <w:rFonts w:asciiTheme="minorHAnsi" w:hAnsiTheme="minorHAnsi" w:cstheme="minorHAnsi"/>
          <w:b/>
          <w:sz w:val="22"/>
          <w:szCs w:val="22"/>
          <w:u w:val="single"/>
          <w:shd w:val="clear" w:color="auto" w:fill="FFFFFF"/>
          <w:lang w:eastAsia="pl-PL"/>
        </w:rPr>
        <w:t xml:space="preserve"> </w:t>
      </w:r>
      <w:r w:rsidRPr="004405D1">
        <w:rPr>
          <w:rFonts w:asciiTheme="minorHAnsi" w:eastAsia="Calibri" w:hAnsiTheme="minorHAnsi" w:cstheme="minorHAnsi"/>
          <w:b/>
          <w:sz w:val="22"/>
          <w:szCs w:val="22"/>
          <w:u w:val="single"/>
          <w:lang w:eastAsia="en-US"/>
        </w:rPr>
        <w:t>zobowiązany jest:</w:t>
      </w:r>
    </w:p>
    <w:p w:rsidR="00D156BC" w:rsidRPr="004405D1" w:rsidRDefault="000943D8" w:rsidP="004405D1">
      <w:pPr>
        <w:pStyle w:val="Akapitzlist"/>
        <w:numPr>
          <w:ilvl w:val="0"/>
          <w:numId w:val="12"/>
        </w:numPr>
        <w:spacing w:before="120"/>
        <w:ind w:left="567"/>
        <w:jc w:val="both"/>
        <w:rPr>
          <w:rFonts w:asciiTheme="minorHAnsi" w:eastAsia="Calibri" w:hAnsiTheme="minorHAnsi" w:cstheme="minorHAnsi"/>
          <w:lang w:eastAsia="en-US"/>
        </w:rPr>
      </w:pPr>
      <w:r w:rsidRPr="004405D1">
        <w:rPr>
          <w:rFonts w:asciiTheme="minorHAnsi" w:hAnsiTheme="minorHAnsi" w:cstheme="minorHAnsi"/>
          <w:color w:val="000000"/>
          <w:lang w:eastAsia="pl-PL"/>
        </w:rPr>
        <w:t>zgłosić harmonogram prowadzenia prac i otrzymać jego akceptację przez Kierownika</w:t>
      </w:r>
      <w:r w:rsidRPr="004405D1">
        <w:rPr>
          <w:rFonts w:asciiTheme="minorHAnsi" w:eastAsia="Calibri" w:hAnsiTheme="minorHAnsi" w:cstheme="minorHAnsi"/>
          <w:lang w:eastAsia="en-US"/>
        </w:rPr>
        <w:t xml:space="preserve"> Reaktora. Harmonogram prac musi być dostosowany do harmonogramu pracy reaktora, powinien być przedstawiony do akceptacji Kierownikowi Reaktora na tydzień przed rozpoczęciem prac. Szczegółowy harmonogram prac na kolejny tydzień powinien być przekazany do akceptacji przez  Kierownika  Reaktora najpóźniej do czwartku poprzedniego tygodnia. Zaakceptowany harmonogram może ulec zmianie w związku ze zmianą harmonogramu pracy reaktora, o czym Wykonawca zostanie niezwłocznie powiadomiony. Wprowadzenie zmian w harmonogramie przez Wykonawcę musi być skonsultowane z koordynatorem ze strony Reaktora oraz zaakcept</w:t>
      </w:r>
      <w:r w:rsidR="00D40875" w:rsidRPr="004405D1">
        <w:rPr>
          <w:rFonts w:asciiTheme="minorHAnsi" w:eastAsia="Calibri" w:hAnsiTheme="minorHAnsi" w:cstheme="minorHAnsi"/>
          <w:lang w:eastAsia="en-US"/>
        </w:rPr>
        <w:t>owane przez Kierownika Reaktora.</w:t>
      </w:r>
    </w:p>
    <w:p w:rsidR="002E7E86" w:rsidRPr="004405D1" w:rsidRDefault="002E7E86" w:rsidP="004405D1">
      <w:pPr>
        <w:spacing w:before="120" w:line="276" w:lineRule="auto"/>
        <w:jc w:val="both"/>
        <w:rPr>
          <w:rFonts w:asciiTheme="minorHAnsi" w:hAnsiTheme="minorHAnsi" w:cstheme="minorHAnsi"/>
          <w:b/>
          <w:color w:val="000000"/>
          <w:sz w:val="22"/>
          <w:szCs w:val="22"/>
          <w:u w:val="single"/>
          <w:lang w:eastAsia="pl-PL"/>
        </w:rPr>
      </w:pPr>
      <w:r w:rsidRPr="004405D1">
        <w:rPr>
          <w:rFonts w:asciiTheme="minorHAnsi" w:eastAsia="Calibri" w:hAnsiTheme="minorHAnsi" w:cstheme="minorHAnsi"/>
          <w:b/>
          <w:sz w:val="22"/>
          <w:szCs w:val="22"/>
          <w:u w:val="single"/>
          <w:lang w:eastAsia="en-US"/>
        </w:rPr>
        <w:t>Osoby udające się na teren obiektu reaktora MARIA zobowiązane są do:</w:t>
      </w:r>
    </w:p>
    <w:p w:rsidR="004405D1" w:rsidRDefault="00FC55D1" w:rsidP="004405D1">
      <w:pPr>
        <w:pStyle w:val="Akapitzlist"/>
        <w:numPr>
          <w:ilvl w:val="0"/>
          <w:numId w:val="12"/>
        </w:numPr>
        <w:spacing w:before="120"/>
        <w:ind w:left="567"/>
        <w:jc w:val="both"/>
        <w:rPr>
          <w:rFonts w:asciiTheme="minorHAnsi" w:hAnsiTheme="minorHAnsi" w:cstheme="minorHAnsi"/>
          <w:lang w:eastAsia="pl-PL"/>
        </w:rPr>
      </w:pPr>
      <w:r w:rsidRPr="004405D1">
        <w:rPr>
          <w:rFonts w:asciiTheme="minorHAnsi" w:hAnsiTheme="minorHAnsi" w:cstheme="minorHAnsi"/>
          <w:lang w:eastAsia="pl-PL"/>
        </w:rPr>
        <w:t>poruszania się po obiekcie reaktora MARIA w asyście pracownika obiektu oraz podporządkowania się jego poleceniom;</w:t>
      </w:r>
    </w:p>
    <w:p w:rsidR="004405D1" w:rsidRPr="004405D1" w:rsidRDefault="002E7E86" w:rsidP="004405D1">
      <w:pPr>
        <w:pStyle w:val="Akapitzlist"/>
        <w:numPr>
          <w:ilvl w:val="0"/>
          <w:numId w:val="12"/>
        </w:numPr>
        <w:spacing w:before="120"/>
        <w:ind w:left="567"/>
        <w:jc w:val="both"/>
        <w:rPr>
          <w:rFonts w:asciiTheme="minorHAnsi" w:hAnsiTheme="minorHAnsi" w:cstheme="minorHAnsi"/>
          <w:lang w:eastAsia="pl-PL"/>
        </w:rPr>
      </w:pPr>
      <w:r w:rsidRPr="004405D1">
        <w:rPr>
          <w:rFonts w:asciiTheme="minorHAnsi" w:hAnsiTheme="minorHAnsi" w:cstheme="minorHAnsi"/>
          <w:color w:val="000000"/>
          <w:lang w:eastAsia="pl-PL"/>
        </w:rPr>
        <w:t>pozostawienia w szatni wierzchniego okrycia oraz przebrania się w we własną odzież ochronną, w tym obowiązkowo w obuwie ochronne, które w razie skażenia będzie poddane utylizacji/dekontaminacji lub fartuch i pokrowce na buty dostępne na terenie obiektu;</w:t>
      </w:r>
    </w:p>
    <w:p w:rsidR="004405D1" w:rsidRDefault="002E7E86" w:rsidP="004405D1">
      <w:pPr>
        <w:pStyle w:val="Akapitzlist"/>
        <w:numPr>
          <w:ilvl w:val="0"/>
          <w:numId w:val="12"/>
        </w:numPr>
        <w:spacing w:before="120"/>
        <w:ind w:left="567"/>
        <w:jc w:val="both"/>
        <w:rPr>
          <w:rFonts w:asciiTheme="minorHAnsi" w:hAnsiTheme="minorHAnsi" w:cstheme="minorHAnsi"/>
          <w:lang w:eastAsia="pl-PL"/>
        </w:rPr>
      </w:pPr>
      <w:r w:rsidRPr="004405D1">
        <w:rPr>
          <w:rFonts w:asciiTheme="minorHAnsi" w:hAnsiTheme="minorHAnsi" w:cstheme="minorHAnsi"/>
          <w:color w:val="000000"/>
          <w:lang w:eastAsia="pl-PL"/>
        </w:rPr>
        <w:t>przypięcia do odzieży wierzchniej na wysokości klatki piersiowej indywidualnych dozymetrów</w:t>
      </w:r>
      <w:r w:rsidRPr="004405D1">
        <w:rPr>
          <w:rFonts w:asciiTheme="minorHAnsi" w:hAnsiTheme="minorHAnsi" w:cstheme="minorHAnsi"/>
          <w:lang w:eastAsia="pl-PL"/>
        </w:rPr>
        <w:t xml:space="preserve">; </w:t>
      </w:r>
    </w:p>
    <w:p w:rsidR="004405D1" w:rsidRDefault="00F75BA1" w:rsidP="004405D1">
      <w:pPr>
        <w:pStyle w:val="Akapitzlist"/>
        <w:numPr>
          <w:ilvl w:val="0"/>
          <w:numId w:val="12"/>
        </w:numPr>
        <w:spacing w:before="120"/>
        <w:ind w:left="567"/>
        <w:jc w:val="both"/>
        <w:rPr>
          <w:rFonts w:asciiTheme="minorHAnsi" w:hAnsiTheme="minorHAnsi" w:cstheme="minorHAnsi"/>
          <w:lang w:eastAsia="pl-PL"/>
        </w:rPr>
      </w:pPr>
      <w:r w:rsidRPr="004405D1">
        <w:rPr>
          <w:rFonts w:asciiTheme="minorHAnsi" w:hAnsiTheme="minorHAnsi" w:cstheme="minorHAnsi"/>
          <w:lang w:eastAsia="pl-PL"/>
        </w:rPr>
        <w:t>przeprowadzania kontroli skażeń osobistych w bramce dozymetrycznej; w przypadku stwierdzenia (lub podejrzenia) skażeń (uruchomienie sygnalizacji alarmowej w bramce dozymetrycznej) należy niezwłocznie powiadomić dyżurnego dozymetrystę, który zobowiązany jest do ustalenia okoliczności i miejsca powstania skażeń oraz dalszego postępowania;</w:t>
      </w:r>
    </w:p>
    <w:p w:rsidR="009906F1" w:rsidRPr="005769DB" w:rsidRDefault="00F75BA1" w:rsidP="004405D1">
      <w:pPr>
        <w:pStyle w:val="Akapitzlist"/>
        <w:numPr>
          <w:ilvl w:val="0"/>
          <w:numId w:val="12"/>
        </w:numPr>
        <w:spacing w:before="120"/>
        <w:ind w:left="567"/>
        <w:jc w:val="both"/>
        <w:rPr>
          <w:rFonts w:asciiTheme="minorHAnsi" w:hAnsiTheme="minorHAnsi" w:cstheme="minorHAnsi"/>
          <w:lang w:eastAsia="pl-PL"/>
        </w:rPr>
      </w:pPr>
      <w:r w:rsidRPr="004405D1">
        <w:rPr>
          <w:rFonts w:asciiTheme="minorHAnsi" w:hAnsiTheme="minorHAnsi" w:cstheme="minorHAnsi"/>
          <w:lang w:eastAsia="pl-PL"/>
        </w:rPr>
        <w:t>przeprowadzenia kontroli skażeń przedmiotów (narzędzi, materiałów) wykorzystywanych podczas prac na terenie obiektu reaktora MARIA lub pochodzących z reaktora MARIA, które przekazywane są poza teren reaktora.</w:t>
      </w:r>
    </w:p>
    <w:p w:rsidR="009E29D8" w:rsidRPr="004405D1" w:rsidRDefault="009E29D8" w:rsidP="004405D1">
      <w:pPr>
        <w:widowControl/>
        <w:suppressAutoHyphens w:val="0"/>
        <w:spacing w:before="120" w:line="276" w:lineRule="auto"/>
        <w:contextualSpacing/>
        <w:jc w:val="both"/>
        <w:rPr>
          <w:rFonts w:asciiTheme="minorHAnsi" w:hAnsiTheme="minorHAnsi" w:cstheme="minorHAnsi"/>
          <w:b/>
          <w:color w:val="000000"/>
          <w:sz w:val="22"/>
          <w:szCs w:val="22"/>
          <w:u w:val="single"/>
          <w:lang w:eastAsia="pl-PL"/>
        </w:rPr>
      </w:pPr>
      <w:r w:rsidRPr="004405D1">
        <w:rPr>
          <w:rFonts w:asciiTheme="minorHAnsi" w:hAnsiTheme="minorHAnsi" w:cstheme="minorHAnsi"/>
          <w:b/>
          <w:color w:val="000000"/>
          <w:sz w:val="22"/>
          <w:szCs w:val="22"/>
          <w:u w:val="single"/>
          <w:lang w:eastAsia="pl-PL"/>
        </w:rPr>
        <w:t>Kierownik Zmiany lub Operator Reaktora mają prawo:</w:t>
      </w:r>
    </w:p>
    <w:p w:rsidR="004405D1" w:rsidRDefault="00D40875" w:rsidP="004405D1">
      <w:pPr>
        <w:pStyle w:val="Akapitzlist"/>
        <w:numPr>
          <w:ilvl w:val="0"/>
          <w:numId w:val="13"/>
        </w:numPr>
        <w:spacing w:before="120"/>
        <w:ind w:left="709"/>
        <w:jc w:val="both"/>
        <w:rPr>
          <w:rFonts w:asciiTheme="minorHAnsi" w:hAnsiTheme="minorHAnsi" w:cstheme="minorHAnsi"/>
          <w:color w:val="000000"/>
          <w:lang w:eastAsia="pl-PL"/>
        </w:rPr>
      </w:pPr>
      <w:r w:rsidRPr="004405D1">
        <w:rPr>
          <w:rFonts w:asciiTheme="minorHAnsi" w:hAnsiTheme="minorHAnsi" w:cstheme="minorHAnsi"/>
          <w:color w:val="000000"/>
          <w:lang w:eastAsia="pl-PL"/>
        </w:rPr>
        <w:t xml:space="preserve">nie udzielić zgody na wejście do pomieszczeń technologicznych i prowadzenia w nich prac w przypadku braku odpowiednich </w:t>
      </w:r>
      <w:r w:rsidR="004405D1">
        <w:rPr>
          <w:rFonts w:asciiTheme="minorHAnsi" w:hAnsiTheme="minorHAnsi" w:cstheme="minorHAnsi"/>
          <w:color w:val="000000"/>
          <w:lang w:eastAsia="pl-PL"/>
        </w:rPr>
        <w:t>dokumentów i innych uwarunkowań;</w:t>
      </w:r>
    </w:p>
    <w:p w:rsidR="00D40875" w:rsidRPr="004405D1" w:rsidRDefault="00D40875" w:rsidP="004405D1">
      <w:pPr>
        <w:pStyle w:val="Akapitzlist"/>
        <w:numPr>
          <w:ilvl w:val="0"/>
          <w:numId w:val="13"/>
        </w:numPr>
        <w:spacing w:before="120"/>
        <w:ind w:left="709"/>
        <w:jc w:val="both"/>
        <w:rPr>
          <w:rFonts w:asciiTheme="minorHAnsi" w:hAnsiTheme="minorHAnsi" w:cstheme="minorHAnsi"/>
          <w:color w:val="000000"/>
          <w:lang w:eastAsia="pl-PL"/>
        </w:rPr>
      </w:pPr>
      <w:r w:rsidRPr="004405D1">
        <w:rPr>
          <w:rFonts w:asciiTheme="minorHAnsi" w:hAnsiTheme="minorHAnsi" w:cstheme="minorHAnsi"/>
          <w:color w:val="000000"/>
          <w:lang w:eastAsia="pl-PL"/>
        </w:rPr>
        <w:t>przerwać prowadzone prace, gdy są one realizowane niezgodnie z obowiązującymi instrukcjami lub z powodu braku nadzoru, niezgodności z przepisami BHP lub w przypadku, gdy kontynuacja prac może być niebezpieczna dla ludzi bądź urządzeń.</w:t>
      </w:r>
    </w:p>
    <w:p w:rsidR="00D40875" w:rsidRPr="00D40875" w:rsidRDefault="00D40875" w:rsidP="00D40875">
      <w:pPr>
        <w:widowControl/>
        <w:suppressAutoHyphens w:val="0"/>
        <w:spacing w:before="120" w:line="276" w:lineRule="auto"/>
        <w:contextualSpacing/>
        <w:jc w:val="both"/>
        <w:rPr>
          <w:rFonts w:asciiTheme="minorHAnsi" w:hAnsiTheme="minorHAnsi" w:cstheme="minorHAnsi"/>
          <w:color w:val="000000"/>
          <w:sz w:val="24"/>
          <w:szCs w:val="24"/>
          <w:lang w:eastAsia="pl-PL"/>
        </w:rPr>
      </w:pPr>
    </w:p>
    <w:p w:rsidR="009906F1" w:rsidRPr="004A170A" w:rsidRDefault="009906F1" w:rsidP="004A170A">
      <w:pPr>
        <w:spacing w:before="120" w:after="120"/>
        <w:rPr>
          <w:rFonts w:asciiTheme="minorHAnsi" w:hAnsiTheme="minorHAnsi" w:cstheme="minorHAnsi"/>
          <w:sz w:val="24"/>
          <w:szCs w:val="24"/>
        </w:rPr>
      </w:pPr>
    </w:p>
    <w:sectPr w:rsidR="009906F1" w:rsidRPr="004A170A">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92BEB"/>
    <w:multiLevelType w:val="multilevel"/>
    <w:tmpl w:val="3EB06EB8"/>
    <w:lvl w:ilvl="0">
      <w:start w:val="1"/>
      <w:numFmt w:val="decimal"/>
      <w:lvlText w:val="%1."/>
      <w:lvlJc w:val="left"/>
      <w:pPr>
        <w:ind w:left="360" w:hanging="360"/>
      </w:pPr>
      <w:rPr>
        <w:rFonts w:ascii="Arial" w:hAnsi="Arial"/>
        <w:b w:val="0"/>
        <w:lang w:val="pl-PL"/>
      </w:rPr>
    </w:lvl>
    <w:lvl w:ilvl="1">
      <w:start w:val="1"/>
      <w:numFmt w:val="decimal"/>
      <w:lvlText w:val="%1.%2."/>
      <w:lvlJc w:val="left"/>
      <w:pPr>
        <w:ind w:left="792" w:hanging="432"/>
      </w:pPr>
      <w:rPr>
        <w:rFonts w:ascii="Arial" w:hAnsi="Arial"/>
        <w:b/>
        <w:sz w:val="22"/>
        <w:szCs w:val="22"/>
        <w:lang w:val="pl-PL"/>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6E9100B"/>
    <w:multiLevelType w:val="hybridMultilevel"/>
    <w:tmpl w:val="71CE8776"/>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ACF2589"/>
    <w:multiLevelType w:val="hybridMultilevel"/>
    <w:tmpl w:val="99BE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C2863DD"/>
    <w:multiLevelType w:val="multilevel"/>
    <w:tmpl w:val="DC10EFEC"/>
    <w:lvl w:ilvl="0">
      <w:start w:val="1"/>
      <w:numFmt w:val="decimal"/>
      <w:lvlText w:val="%1."/>
      <w:lvlJc w:val="left"/>
      <w:pPr>
        <w:tabs>
          <w:tab w:val="num" w:pos="502"/>
        </w:tabs>
        <w:ind w:left="502" w:hanging="360"/>
      </w:pPr>
      <w:rPr>
        <w:rFonts w:cs="Times New Roman" w:hint="default"/>
      </w:rPr>
    </w:lvl>
    <w:lvl w:ilvl="1">
      <w:start w:val="1"/>
      <w:numFmt w:val="decimal"/>
      <w:isLgl/>
      <w:lvlText w:val="%1.%2."/>
      <w:lvlJc w:val="left"/>
      <w:pPr>
        <w:tabs>
          <w:tab w:val="num" w:pos="420"/>
        </w:tabs>
        <w:ind w:left="420" w:hanging="420"/>
      </w:pPr>
      <w:rPr>
        <w:rFonts w:cs="Times New Roman" w:hint="default"/>
        <w:b/>
      </w:rPr>
    </w:lvl>
    <w:lvl w:ilvl="2">
      <w:start w:val="1"/>
      <w:numFmt w:val="decimal"/>
      <w:isLgl/>
      <w:lvlText w:val="%1.%2.%3."/>
      <w:lvlJc w:val="left"/>
      <w:pPr>
        <w:tabs>
          <w:tab w:val="num" w:pos="720"/>
        </w:tabs>
        <w:ind w:left="720" w:hanging="720"/>
      </w:pPr>
      <w:rPr>
        <w:rFonts w:cs="Times New Roman" w:hint="default"/>
        <w:b/>
        <w:strike w:val="0"/>
        <w:color w:val="auto"/>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4">
    <w:nsid w:val="1E6962BA"/>
    <w:multiLevelType w:val="hybridMultilevel"/>
    <w:tmpl w:val="BAF255A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0C9246A"/>
    <w:multiLevelType w:val="hybridMultilevel"/>
    <w:tmpl w:val="3ED27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57B4102"/>
    <w:multiLevelType w:val="hybridMultilevel"/>
    <w:tmpl w:val="76B0E3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69E52FE"/>
    <w:multiLevelType w:val="hybridMultilevel"/>
    <w:tmpl w:val="538819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31F7093"/>
    <w:multiLevelType w:val="multilevel"/>
    <w:tmpl w:val="F9A03C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64DC27CB"/>
    <w:multiLevelType w:val="hybridMultilevel"/>
    <w:tmpl w:val="9792632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741646D5"/>
    <w:multiLevelType w:val="hybridMultilevel"/>
    <w:tmpl w:val="389E60A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nsid w:val="7A596CA1"/>
    <w:multiLevelType w:val="hybridMultilevel"/>
    <w:tmpl w:val="A3963D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303B57"/>
    <w:multiLevelType w:val="multilevel"/>
    <w:tmpl w:val="4B4E7FAE"/>
    <w:lvl w:ilvl="0">
      <w:start w:val="1"/>
      <w:numFmt w:val="bullet"/>
      <w:lvlText w:val=""/>
      <w:lvlJc w:val="left"/>
      <w:pPr>
        <w:ind w:left="1854" w:hanging="360"/>
      </w:pPr>
      <w:rPr>
        <w:rFonts w:ascii="Wingdings" w:hAnsi="Wingdings" w:cs="Wingdings"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num w:numId="1">
    <w:abstractNumId w:val="0"/>
  </w:num>
  <w:num w:numId="2">
    <w:abstractNumId w:val="12"/>
  </w:num>
  <w:num w:numId="3">
    <w:abstractNumId w:val="8"/>
  </w:num>
  <w:num w:numId="4">
    <w:abstractNumId w:val="10"/>
  </w:num>
  <w:num w:numId="5">
    <w:abstractNumId w:val="4"/>
  </w:num>
  <w:num w:numId="6">
    <w:abstractNumId w:val="3"/>
  </w:num>
  <w:num w:numId="7">
    <w:abstractNumId w:val="11"/>
  </w:num>
  <w:num w:numId="8">
    <w:abstractNumId w:val="7"/>
  </w:num>
  <w:num w:numId="9">
    <w:abstractNumId w:val="5"/>
  </w:num>
  <w:num w:numId="10">
    <w:abstractNumId w:val="6"/>
  </w:num>
  <w:num w:numId="11">
    <w:abstractNumId w:val="2"/>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924"/>
    <w:rsid w:val="000943D8"/>
    <w:rsid w:val="001C70CE"/>
    <w:rsid w:val="00210BA0"/>
    <w:rsid w:val="00276122"/>
    <w:rsid w:val="002E7E86"/>
    <w:rsid w:val="004405D1"/>
    <w:rsid w:val="004A170A"/>
    <w:rsid w:val="005769DB"/>
    <w:rsid w:val="005A2924"/>
    <w:rsid w:val="0081157B"/>
    <w:rsid w:val="008B32E0"/>
    <w:rsid w:val="009906F1"/>
    <w:rsid w:val="009E29D8"/>
    <w:rsid w:val="009F4F30"/>
    <w:rsid w:val="00B26F3D"/>
    <w:rsid w:val="00BB03F3"/>
    <w:rsid w:val="00D156BC"/>
    <w:rsid w:val="00D40875"/>
    <w:rsid w:val="00ED4B3F"/>
    <w:rsid w:val="00F6730D"/>
    <w:rsid w:val="00F75BA1"/>
    <w:rsid w:val="00FC55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1A53"/>
    <w:pPr>
      <w:widowControl w:val="0"/>
      <w:suppressAutoHyphens/>
    </w:pPr>
    <w:rPr>
      <w:rFonts w:ascii="Times New Roman" w:eastAsia="Times New Roman" w:hAnsi="Times New Roman" w:cs="Times New Roman"/>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qFormat/>
    <w:rsid w:val="00AC1A53"/>
    <w:rPr>
      <w:sz w:val="16"/>
      <w:szCs w:val="16"/>
    </w:rPr>
  </w:style>
  <w:style w:type="character" w:customStyle="1" w:styleId="TekstkomentarzaZnak">
    <w:name w:val="Tekst komentarza Znak"/>
    <w:basedOn w:val="Domylnaczcionkaakapitu"/>
    <w:link w:val="Tekstkomentarza"/>
    <w:uiPriority w:val="99"/>
    <w:semiHidden/>
    <w:qFormat/>
    <w:rsid w:val="00AC1A53"/>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sid w:val="00AC1A53"/>
    <w:rPr>
      <w:rFonts w:ascii="Tahoma" w:eastAsia="Times New Roman" w:hAnsi="Tahoma" w:cs="Tahoma"/>
      <w:sz w:val="16"/>
      <w:szCs w:val="16"/>
      <w:lang w:eastAsia="ar-SA"/>
    </w:rPr>
  </w:style>
  <w:style w:type="character" w:customStyle="1" w:styleId="TematkomentarzaZnak">
    <w:name w:val="Temat komentarza Znak"/>
    <w:basedOn w:val="TekstkomentarzaZnak"/>
    <w:link w:val="Tematkomentarza"/>
    <w:uiPriority w:val="99"/>
    <w:semiHidden/>
    <w:qFormat/>
    <w:rsid w:val="00A0352B"/>
    <w:rPr>
      <w:rFonts w:ascii="Times New Roman" w:eastAsia="Times New Roman" w:hAnsi="Times New Roman" w:cs="Times New Roman"/>
      <w:b/>
      <w:bCs/>
      <w:sz w:val="20"/>
      <w:szCs w:val="20"/>
      <w:lang w:eastAsia="ar-SA"/>
    </w:rPr>
  </w:style>
  <w:style w:type="character" w:customStyle="1" w:styleId="NagwekZnak">
    <w:name w:val="Nagłówek Znak"/>
    <w:basedOn w:val="Domylnaczcionkaakapitu"/>
    <w:link w:val="Nagwek"/>
    <w:uiPriority w:val="99"/>
    <w:qFormat/>
    <w:rsid w:val="00714DFE"/>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qFormat/>
    <w:rsid w:val="00714DFE"/>
    <w:rPr>
      <w:rFonts w:ascii="Times New Roman" w:eastAsia="Times New Roman" w:hAnsi="Times New Roman" w:cs="Times New Roman"/>
      <w:sz w:val="20"/>
      <w:szCs w:val="20"/>
      <w:lang w:eastAsia="ar-SA"/>
    </w:rPr>
  </w:style>
  <w:style w:type="character" w:customStyle="1" w:styleId="ListLabel1">
    <w:name w:val="ListLabel 1"/>
    <w:qFormat/>
    <w:rPr>
      <w:rFonts w:ascii="Arial" w:hAnsi="Arial"/>
      <w:b w:val="0"/>
      <w:lang w:val="pl-PL"/>
    </w:rPr>
  </w:style>
  <w:style w:type="character" w:customStyle="1" w:styleId="ListLabel2">
    <w:name w:val="ListLabel 2"/>
    <w:qFormat/>
    <w:rPr>
      <w:rFonts w:ascii="Arial" w:hAnsi="Arial"/>
      <w:b/>
      <w:sz w:val="22"/>
      <w:szCs w:val="22"/>
      <w:lang w:val="pl-PL"/>
    </w:rPr>
  </w:style>
  <w:style w:type="character" w:customStyle="1" w:styleId="ListLabel3">
    <w:name w:val="ListLabel 3"/>
    <w:qFormat/>
    <w:rPr>
      <w:b w:val="0"/>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paragraph" w:styleId="Nagwek">
    <w:name w:val="header"/>
    <w:basedOn w:val="Normalny"/>
    <w:next w:val="Tekstpodstawowy"/>
    <w:link w:val="NagwekZnak"/>
    <w:uiPriority w:val="99"/>
    <w:unhideWhenUsed/>
    <w:rsid w:val="00714DFE"/>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komentarza">
    <w:name w:val="annotation text"/>
    <w:basedOn w:val="Normalny"/>
    <w:link w:val="TekstkomentarzaZnak"/>
    <w:uiPriority w:val="99"/>
    <w:semiHidden/>
    <w:unhideWhenUsed/>
    <w:qFormat/>
    <w:rsid w:val="00AC1A53"/>
  </w:style>
  <w:style w:type="paragraph" w:styleId="Akapitzlist">
    <w:name w:val="List Paragraph"/>
    <w:basedOn w:val="Normalny"/>
    <w:uiPriority w:val="34"/>
    <w:qFormat/>
    <w:rsid w:val="00AC1A53"/>
    <w:pPr>
      <w:widowControl/>
      <w:suppressAutoHyphens w:val="0"/>
      <w:spacing w:after="200" w:line="276" w:lineRule="auto"/>
      <w:ind w:left="720"/>
      <w:contextualSpacing/>
    </w:pPr>
    <w:rPr>
      <w:rFonts w:ascii="Calibri" w:hAnsi="Calibri" w:cs="Calibri"/>
      <w:sz w:val="22"/>
      <w:szCs w:val="22"/>
      <w:lang w:eastAsia="zh-CN"/>
    </w:rPr>
  </w:style>
  <w:style w:type="paragraph" w:styleId="Tekstdymka">
    <w:name w:val="Balloon Text"/>
    <w:basedOn w:val="Normalny"/>
    <w:link w:val="TekstdymkaZnak"/>
    <w:uiPriority w:val="99"/>
    <w:semiHidden/>
    <w:unhideWhenUsed/>
    <w:qFormat/>
    <w:rsid w:val="00AC1A53"/>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qFormat/>
    <w:rsid w:val="00A0352B"/>
    <w:rPr>
      <w:b/>
      <w:bCs/>
    </w:rPr>
  </w:style>
  <w:style w:type="paragraph" w:styleId="Stopka">
    <w:name w:val="footer"/>
    <w:basedOn w:val="Normalny"/>
    <w:link w:val="StopkaZnak"/>
    <w:uiPriority w:val="99"/>
    <w:unhideWhenUsed/>
    <w:rsid w:val="00714DFE"/>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1A53"/>
    <w:pPr>
      <w:widowControl w:val="0"/>
      <w:suppressAutoHyphens/>
    </w:pPr>
    <w:rPr>
      <w:rFonts w:ascii="Times New Roman" w:eastAsia="Times New Roman" w:hAnsi="Times New Roman" w:cs="Times New Roman"/>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qFormat/>
    <w:rsid w:val="00AC1A53"/>
    <w:rPr>
      <w:sz w:val="16"/>
      <w:szCs w:val="16"/>
    </w:rPr>
  </w:style>
  <w:style w:type="character" w:customStyle="1" w:styleId="TekstkomentarzaZnak">
    <w:name w:val="Tekst komentarza Znak"/>
    <w:basedOn w:val="Domylnaczcionkaakapitu"/>
    <w:link w:val="Tekstkomentarza"/>
    <w:uiPriority w:val="99"/>
    <w:semiHidden/>
    <w:qFormat/>
    <w:rsid w:val="00AC1A53"/>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sid w:val="00AC1A53"/>
    <w:rPr>
      <w:rFonts w:ascii="Tahoma" w:eastAsia="Times New Roman" w:hAnsi="Tahoma" w:cs="Tahoma"/>
      <w:sz w:val="16"/>
      <w:szCs w:val="16"/>
      <w:lang w:eastAsia="ar-SA"/>
    </w:rPr>
  </w:style>
  <w:style w:type="character" w:customStyle="1" w:styleId="TematkomentarzaZnak">
    <w:name w:val="Temat komentarza Znak"/>
    <w:basedOn w:val="TekstkomentarzaZnak"/>
    <w:link w:val="Tematkomentarza"/>
    <w:uiPriority w:val="99"/>
    <w:semiHidden/>
    <w:qFormat/>
    <w:rsid w:val="00A0352B"/>
    <w:rPr>
      <w:rFonts w:ascii="Times New Roman" w:eastAsia="Times New Roman" w:hAnsi="Times New Roman" w:cs="Times New Roman"/>
      <w:b/>
      <w:bCs/>
      <w:sz w:val="20"/>
      <w:szCs w:val="20"/>
      <w:lang w:eastAsia="ar-SA"/>
    </w:rPr>
  </w:style>
  <w:style w:type="character" w:customStyle="1" w:styleId="NagwekZnak">
    <w:name w:val="Nagłówek Znak"/>
    <w:basedOn w:val="Domylnaczcionkaakapitu"/>
    <w:link w:val="Nagwek"/>
    <w:uiPriority w:val="99"/>
    <w:qFormat/>
    <w:rsid w:val="00714DFE"/>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qFormat/>
    <w:rsid w:val="00714DFE"/>
    <w:rPr>
      <w:rFonts w:ascii="Times New Roman" w:eastAsia="Times New Roman" w:hAnsi="Times New Roman" w:cs="Times New Roman"/>
      <w:sz w:val="20"/>
      <w:szCs w:val="20"/>
      <w:lang w:eastAsia="ar-SA"/>
    </w:rPr>
  </w:style>
  <w:style w:type="character" w:customStyle="1" w:styleId="ListLabel1">
    <w:name w:val="ListLabel 1"/>
    <w:qFormat/>
    <w:rPr>
      <w:rFonts w:ascii="Arial" w:hAnsi="Arial"/>
      <w:b w:val="0"/>
      <w:lang w:val="pl-PL"/>
    </w:rPr>
  </w:style>
  <w:style w:type="character" w:customStyle="1" w:styleId="ListLabel2">
    <w:name w:val="ListLabel 2"/>
    <w:qFormat/>
    <w:rPr>
      <w:rFonts w:ascii="Arial" w:hAnsi="Arial"/>
      <w:b/>
      <w:sz w:val="22"/>
      <w:szCs w:val="22"/>
      <w:lang w:val="pl-PL"/>
    </w:rPr>
  </w:style>
  <w:style w:type="character" w:customStyle="1" w:styleId="ListLabel3">
    <w:name w:val="ListLabel 3"/>
    <w:qFormat/>
    <w:rPr>
      <w:b w:val="0"/>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paragraph" w:styleId="Nagwek">
    <w:name w:val="header"/>
    <w:basedOn w:val="Normalny"/>
    <w:next w:val="Tekstpodstawowy"/>
    <w:link w:val="NagwekZnak"/>
    <w:uiPriority w:val="99"/>
    <w:unhideWhenUsed/>
    <w:rsid w:val="00714DFE"/>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komentarza">
    <w:name w:val="annotation text"/>
    <w:basedOn w:val="Normalny"/>
    <w:link w:val="TekstkomentarzaZnak"/>
    <w:uiPriority w:val="99"/>
    <w:semiHidden/>
    <w:unhideWhenUsed/>
    <w:qFormat/>
    <w:rsid w:val="00AC1A53"/>
  </w:style>
  <w:style w:type="paragraph" w:styleId="Akapitzlist">
    <w:name w:val="List Paragraph"/>
    <w:basedOn w:val="Normalny"/>
    <w:uiPriority w:val="34"/>
    <w:qFormat/>
    <w:rsid w:val="00AC1A53"/>
    <w:pPr>
      <w:widowControl/>
      <w:suppressAutoHyphens w:val="0"/>
      <w:spacing w:after="200" w:line="276" w:lineRule="auto"/>
      <w:ind w:left="720"/>
      <w:contextualSpacing/>
    </w:pPr>
    <w:rPr>
      <w:rFonts w:ascii="Calibri" w:hAnsi="Calibri" w:cs="Calibri"/>
      <w:sz w:val="22"/>
      <w:szCs w:val="22"/>
      <w:lang w:eastAsia="zh-CN"/>
    </w:rPr>
  </w:style>
  <w:style w:type="paragraph" w:styleId="Tekstdymka">
    <w:name w:val="Balloon Text"/>
    <w:basedOn w:val="Normalny"/>
    <w:link w:val="TekstdymkaZnak"/>
    <w:uiPriority w:val="99"/>
    <w:semiHidden/>
    <w:unhideWhenUsed/>
    <w:qFormat/>
    <w:rsid w:val="00AC1A53"/>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qFormat/>
    <w:rsid w:val="00A0352B"/>
    <w:rPr>
      <w:b/>
      <w:bCs/>
    </w:rPr>
  </w:style>
  <w:style w:type="paragraph" w:styleId="Stopka">
    <w:name w:val="footer"/>
    <w:basedOn w:val="Normalny"/>
    <w:link w:val="StopkaZnak"/>
    <w:uiPriority w:val="99"/>
    <w:unhideWhenUsed/>
    <w:rsid w:val="00714DFE"/>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757</Words>
  <Characters>4548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Narodowe Centrum Badań Jądrowych</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Niepokólczycka-Fenik Aleksandra</dc:creator>
  <cp:lastModifiedBy>Radomska Małgorzata</cp:lastModifiedBy>
  <cp:revision>4</cp:revision>
  <dcterms:created xsi:type="dcterms:W3CDTF">2021-03-31T10:54:00Z</dcterms:created>
  <dcterms:modified xsi:type="dcterms:W3CDTF">2021-07-15T13:06:00Z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Narodowe Centrum Badań Jądrowych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