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 w:val="false"/>
          <w:sz w:val="22"/>
          <w:szCs w:val="22"/>
        </w:rPr>
        <w:t>Budowa sieci elektroenergetycznej na terenie Gminy Słupsk w m. Jezierzyce, Krępa Słupska i Włynkowo. Znak sprawy: ZP.271.19.2021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w zakresie osób, które będą uczestniczyć w wykonywaniu zamówienia, opisanego  w niniejszym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9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85"/>
        <w:gridCol w:w="2215"/>
        <w:gridCol w:w="1995"/>
        <w:gridCol w:w="2430"/>
        <w:gridCol w:w="2265"/>
      </w:tblGrid>
      <w:tr>
        <w:trPr>
          <w:trHeight w:val="894" w:hRule="atLeast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Lp.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 xml:space="preserve">Planowana funkcja 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Kwalifikacje zawodowe/posiadan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e uprawnienia (pełna nazwa)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 xml:space="preserve">Oświadczenie </w:t>
              <w:br/>
              <w:t xml:space="preserve">o podstawie do dysponowania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wykazaną osobą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/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/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1.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LibreOffice/6.4.4.2$Windows_X86_64 LibreOffice_project/3d775be2011f3886db32dfd395a6a6d1ca2630ff</Application>
  <Pages>1</Pages>
  <Words>157</Words>
  <Characters>1073</Characters>
  <CharactersWithSpaces>1224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2021-07-08T14:08:35Z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