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Załącznik nr 1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Opis przedmiotu zamówienia wraz z warunkami realizacji usługi kompleksowego utrzymania czystości obiektów PTHU Interpromex Sp. z o.o. w Będzinie.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Usługą kompleksowego sprzątania objęte są pomieszczenia znajdujące się: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 w budynku administracji  Spółki,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 w budynku stacji OSKP,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 w kompleksie magazynowym – biuro magazynu.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I. Zasady wykonania przedmiotu zamówienia: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1. Obowiązki Wykonawcy.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Usługa sprzątania rozpoczyna się od godziny 15</w:t>
      </w:r>
      <w:r>
        <w:rPr>
          <w:rFonts w:cs="Arial" w:ascii="Arial" w:hAnsi="Arial"/>
          <w:vertAlign w:val="superscript"/>
        </w:rPr>
        <w:t>00</w:t>
      </w:r>
      <w:r>
        <w:rPr>
          <w:rFonts w:cs="Arial" w:ascii="Arial" w:hAnsi="Arial"/>
        </w:rPr>
        <w:t xml:space="preserve"> od poniedziałku do piątku.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na bieżąco oceniać będzie zakres prac do wykonania </w:t>
        <w:br/>
        <w:t xml:space="preserve">z uwzględnieniem czynności wymaganych do wykonania codziennie.  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poinformuje przedstawiciela Zamawiającego o uszkodzeniach sprzętu, urządzeń lub awariach stwierdzonych podczas sprzątania.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Środki czystości oraz narzędzia pracy niezbędne do prawidłowego wykonania przedmiotu zamówienia zapewnia Wykonawca we własnym zakresie.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we własnym zakresie wyposaży pracowników wykonujących przedmiot zamówienia w środki ochrony indywidualnej oraz odzież roboczą.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odpowiedzialny jest za dopuszczenie do pracy osób posiadających aktualne badania lekarskie oraz które odbyły szkolenie stanowiskowe BHP</w:t>
        <w:br/>
        <w:t xml:space="preserve">w zakresie zagrożeń dla bezpieczeństwa i zdrowia podczas wykonywania pracy.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ponosi odpowiedzialność finansową z tytułu szkód materialnych wynikłych z winy osób świadczących usługę w jego imieniu.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dopuszcza, aby Koordynatorem był jeden z pracowników świadczących usługę. Koordynator będzie obowiązany do utrzymywania stałego kontaktu (np. Telefonicznego) z Zamawiającym. Do zadań Koordynatora będzie należało ciągłe organizowanie i sprawowanie nadzoru nad świadczeniem usług, oraz zarządzanie pracownikami Wykonawcy.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Koordynator odpowiada za prawidłowe użycie środków czystości, maszyn i urządzeń, za bezpieczeństwo pracowników Wykonawcy oraz za należyte wykonywanie świadczonych usług z zachowaniem zasad BHP i obowiązujących u Zamawiającego regulaminów i procedur.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zobowiązany jest przestawić Zamawiającemu informacje o rodzaju stosowanych środków, częstotliwości, stosowanym stężeniu preparatów, sposobu wykonywania usługi tj. mycie ręczne, mechaniczne.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2. Obowiązki Zamawiającego: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udostępni Wykonawcy pomieszczenie do przechowywania środków czystości oraz innych narzędzi pracy oraz zapewni możliwość korzystania z energii elektrycznej, wody niezbędnych do prawidłowego wykonania usługi.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zapewni środki higieniczne tj.: papier toaletowy, ręczniki papierowe.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3. Wymagania w zakresie wykonywanych czynności w danych pomieszczeniach.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pomieszczenia biurowe, sekretariat oraz korytarze i klatki schodowe sprzątane codziennie od poniedziałku do piątku: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całościowe sprzątanie, zamiatanie i mycie podłóg zmywalnych (panele, płytki) </w:t>
        <w:br/>
        <w:t xml:space="preserve">z użyciem środków czyszczących i myjących, zamiatanie wejść do budynku.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utrzymanie czystości wyposażenia pomieszczeń biurowych, a w szczególności biurek, szaf, regałów biurowych, kontenerów, luster i innych mebli i urządzeń stanowiących wyposażenie biura.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i wycieranie parapetów i grzejników.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i wycieranie tablic identyfikacyjnych przy gabinetach.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mycie i wycieranie ram obrazów, zegarów i innych dekoracji ściennych.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odkurzanie mebli tapicerowanych: krzeseł, foteli.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opróżnianie koszy na śmieci z wymianą worków.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opróżnianie koszy niszczarek.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drzwi wejściowych do budynku i pomieszczeń.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omiatanie pajęczyn.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opróżnianie popielniczek w miejscach wyznaczonych do palenia.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czyszczenie poręczy, balustrad.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pomieszczenia toalet i sanitariatów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sprzątane codziennie od poniedziałku</w:t>
        <w:br/>
        <w:t>do piątku: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i dezynfekcja toalet przy użyciu środków czyszczących i dezynfekujących.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uzupełnianie kostek toaletowych.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armatury, umywalek, pisuarów, muszli klozetowych.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i wycieranie nawierzchni ściennych w toaletach  (odpowiednimi środkami myjącymi).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i wycieranie podłóg w pomieszczeniach ubikacji odpowiednimi środkami myjącymi.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opróżnianie koszy na śmieci z wymianą worka.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uzupełnianie papieru toaletowego oraz ręczników papierowych.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uzupełnianie mydła w płynie w dozownikach. </w:t>
      </w:r>
    </w:p>
    <w:p>
      <w:pPr>
        <w:pStyle w:val="Normal"/>
        <w:spacing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pomieszczenia pryszniców – łaźnie sprzątane nie rzadziej niż raz w tygodniu: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i dezynfekcja przy użyciu właściwych środków kabin prysznicowych.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i wycieranie nawierzchni ściennych w pomieszczeniach łaźni (odpowiednimi środkami myjącymi).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i wycieranie podłogi w pomieszczeniach łaźni odpowiednimi środkami myjącymi.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 armatury łazienkowej odpowiednimi środkami myjącymi.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dopuszcza użycie w pomieszczeniach socjalnych tj łaźnia i szatnia odpowiedniego sprzętu sprzątającego typu </w:t>
      </w:r>
      <w:r>
        <w:rPr>
          <w:rFonts w:cs="Arial" w:ascii="Arial" w:hAnsi="Arial"/>
        </w:rPr>
        <w:t>k</w:t>
      </w:r>
      <w:r>
        <w:rPr>
          <w:rFonts w:cs="Arial" w:ascii="Arial" w:hAnsi="Arial"/>
        </w:rPr>
        <w:t>archer.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b/>
          <w:bCs/>
        </w:rPr>
      </w:pPr>
      <w:r>
        <w:rPr>
          <w:rFonts w:cs="Arial" w:ascii="Arial" w:hAnsi="Arial"/>
          <w:b/>
          <w:bCs/>
        </w:rPr>
        <w:t>mycie okien  w pomieszczeniach nie rzadziej niż raz na 4 miesiące: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pacing w:before="0" w:after="0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zakres mycia okien wchodzi obustronne mycie szyb, ram okiennych oraz parapetów wewnętrznych i zewnętrznych.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before="0" w:after="0"/>
        <w:ind w:left="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>
      <w:pPr>
        <w:pStyle w:val="Normal"/>
        <w:spacing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II. Wykaz pomieszczeń:</w:t>
      </w:r>
    </w:p>
    <w:p>
      <w:pPr>
        <w:pStyle w:val="Normal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1. Budynek Główny </w:t>
      </w:r>
    </w:p>
    <w:p>
      <w:pPr>
        <w:pStyle w:val="Normal"/>
        <w:spacing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I piętro: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pomieszczenia biurowe – 236,57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pomieszczenia socjalne – 26,30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komunikacja 73,47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w tym: 23 drzwi,  41 okien ( ok. 120 m2), luksfery – ok. 5m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, 9 przyborów sanitarnych.</w:t>
      </w:r>
    </w:p>
    <w:p>
      <w:pPr>
        <w:pStyle w:val="Normal"/>
        <w:spacing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Parter: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pomieszczenia biurowe – 224,58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>- pomieszczenia socjalne – 35,65 m</w:t>
      </w:r>
      <w:r>
        <w:rPr>
          <w:rFonts w:cs="Arial" w:ascii="Arial" w:hAnsi="Arial"/>
          <w:vertAlign w:val="superscript"/>
        </w:rPr>
        <w:t xml:space="preserve">2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komunikacja – 84,87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w tym: 26 drzwi, 35 okien (ok. 110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), luksfery – ok. 3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,  10 przyborów sanitarnych.</w:t>
      </w:r>
    </w:p>
    <w:p>
      <w:pPr>
        <w:pStyle w:val="Normal"/>
        <w:spacing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Część socjalna – poziom 0: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powierzchnia – 217,46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w tym: 14 okien ( ok. 40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), 13 drzwi, 16 przyborów sanitarnych, 8 kabin prysznicowych.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Część socjalna – poziom  -1: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powierzchnia – 124,64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w tym: 3 okna ( ok. 5m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), 9 drzwi, 14 przyborów sanitarnych, 9 kabin prysznicowych.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Okręgowa Stacja Kontroli Pojazdów: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powierzchnia hali – 420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w tym 39 okien (ok. 100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  – okna 1 x w roku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- powierzchnia biurowa i socjalna – 87 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 w tym 13 okien (ok. 50m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),  3 przybory sanitarne.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III. Pozostałe warunki realizacji przedmiotu zamówienia.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 zamówienia realizowany będzie przez okres 12 miesięcy liczony od dnia podpisania umowy. 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Wynagrodzenie należne Wykonawcy określone zostanie kwotą ryczałtową za miesięczny okres wykonania przedmiotu zamówienia. 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Cena winna zawierać wszystkie koszty, jakie poniesie Wykonawca w celu prawidłowej realizacji zamówienia. 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Termin płatności prawidłowo wystawionej faktury VAT: 30 dni.</w:t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wyznaczy osobę odpowiedzialną za kontrole nad prawidłowa realizacją przedmiotu zamówienia.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IV. Zamawiający dopuszcza spotkanie z Wykonawca na etapie złożenia oferty w celu oceny zakresu i wielkości prac polegających na utrzymaniu czystości oraz ocenie stanu pomieszczeń biurowych, socjalnych i sanitariatów.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umówienia spotkania należy kontaktować się z Panią Dominiką Więcławską </w:t>
        <w:br/>
        <w:t xml:space="preserve">tel:  507-186-532.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5"/>
  <w:embedSystemFonts/>
  <w:defaultTabStop w:val="708"/>
  <w:autoHyphenation w:val="true"/>
  <w:doNotHyphenateCaps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7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LibreOffice/7.5.3.2$Windows_X86_64 LibreOffice_project/9f56dff12ba03b9acd7730a5a481eea045e468f3</Application>
  <AppVersion>15.0000</AppVersion>
  <Pages>3</Pages>
  <Words>858</Words>
  <Characters>5531</Characters>
  <CharactersWithSpaces>6332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2021-10-06T08:40:00Z</dcterms:created>
  <dc:creator>User</dc:creator>
  <dc:description/>
  <dc:language>pl-PL</dc:language>
  <cp:lastModifiedBy/>
  <cp:lastPrinted>2022-05-13T14:08:00Z</cp:lastPrinted>
  <dcterms:modified xsi:type="dcterms:W3CDTF">2023-12-04T13:04:50Z</dcterms:modified>
  <cp:revision>10</cp:revision>
  <dc:subject/>
  <dc:title>Szczegółowy wykaz pomieszczeń obiektów PTHU INTERPROMEX 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