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32241" w:rsidRDefault="00A579B2" w:rsidP="00E172EC">
      <w:pPr>
        <w:ind w:left="5664"/>
        <w:rPr>
          <w:color w:val="000000" w:themeColor="text1"/>
        </w:rPr>
      </w:pPr>
      <w:r w:rsidRPr="00C32241">
        <w:rPr>
          <w:color w:val="000000" w:themeColor="text1"/>
        </w:rPr>
        <w:t>Bydgoszcz, dnia</w:t>
      </w:r>
      <w:r w:rsidR="00B2265A" w:rsidRPr="00C32241">
        <w:rPr>
          <w:color w:val="000000" w:themeColor="text1"/>
        </w:rPr>
        <w:t xml:space="preserve"> </w:t>
      </w:r>
      <w:r w:rsidR="00E4487D">
        <w:rPr>
          <w:color w:val="000000" w:themeColor="text1"/>
        </w:rPr>
        <w:t>25</w:t>
      </w:r>
      <w:r w:rsidR="008D6CEA" w:rsidRPr="00C32241">
        <w:rPr>
          <w:color w:val="000000" w:themeColor="text1"/>
        </w:rPr>
        <w:t xml:space="preserve"> czerwca </w:t>
      </w:r>
      <w:r w:rsidR="00D9104C" w:rsidRPr="00C32241">
        <w:rPr>
          <w:color w:val="000000" w:themeColor="text1"/>
        </w:rPr>
        <w:t>2024</w:t>
      </w:r>
      <w:r w:rsidR="00571D7B" w:rsidRPr="00C32241">
        <w:rPr>
          <w:color w:val="000000" w:themeColor="text1"/>
        </w:rPr>
        <w:t xml:space="preserve"> </w:t>
      </w:r>
      <w:r w:rsidR="00E916BD" w:rsidRPr="00C32241">
        <w:rPr>
          <w:color w:val="000000" w:themeColor="text1"/>
        </w:rPr>
        <w:t>r.</w:t>
      </w:r>
    </w:p>
    <w:p w:rsidR="00C55F14" w:rsidRPr="00C32241" w:rsidRDefault="00C67153" w:rsidP="00C55F14">
      <w:pPr>
        <w:rPr>
          <w:color w:val="000000" w:themeColor="text1"/>
        </w:rPr>
      </w:pPr>
      <w:r w:rsidRPr="00C322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61620"/>
                <wp:effectExtent l="0" t="0" r="381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CE39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9DE">
                              <w:rPr>
                                <w:sz w:val="22"/>
                                <w:szCs w:val="22"/>
                              </w:rPr>
                              <w:t>ZZE.271.</w:t>
                            </w:r>
                            <w:r w:rsidR="008D6CEA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A5110F" w:rsidRPr="00CE39DE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D9104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">
                <v:textbox style="mso-fit-shape-to-text:t">
                  <w:txbxContent>
                    <w:p w:rsidR="00A5110F" w:rsidRPr="00CE39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E39DE">
                        <w:rPr>
                          <w:sz w:val="22"/>
                          <w:szCs w:val="22"/>
                        </w:rPr>
                        <w:t>ZZE.271.</w:t>
                      </w:r>
                      <w:r w:rsidR="008D6CEA">
                        <w:rPr>
                          <w:sz w:val="22"/>
                          <w:szCs w:val="22"/>
                        </w:rPr>
                        <w:t>20</w:t>
                      </w:r>
                      <w:r w:rsidR="00A5110F" w:rsidRPr="00CE39DE">
                        <w:rPr>
                          <w:sz w:val="22"/>
                          <w:szCs w:val="22"/>
                        </w:rPr>
                        <w:t>.202</w:t>
                      </w:r>
                      <w:r w:rsidR="00D9104C">
                        <w:rPr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E39DE" w:rsidRPr="00C32241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CE39DE" w:rsidRPr="00C32241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1E5736" w:rsidRPr="00C32241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32241">
        <w:rPr>
          <w:color w:val="000000" w:themeColor="text1"/>
          <w:szCs w:val="24"/>
        </w:rPr>
        <w:t xml:space="preserve">OGŁOSZENIE </w:t>
      </w:r>
    </w:p>
    <w:p w:rsidR="001E5736" w:rsidRPr="00C32241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32241">
        <w:rPr>
          <w:color w:val="000000" w:themeColor="text1"/>
          <w:szCs w:val="24"/>
        </w:rPr>
        <w:t>O ZAPYTANIU OFERTOWYM</w:t>
      </w:r>
    </w:p>
    <w:p w:rsidR="00B038A7" w:rsidRPr="00C32241" w:rsidRDefault="00B038A7" w:rsidP="00B038A7">
      <w:pPr>
        <w:pStyle w:val="Tekstpodstawowy3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(o wartości szacunkowej zamówienia niższej niż 130 000 zł netto)</w:t>
      </w:r>
    </w:p>
    <w:p w:rsidR="00B038A7" w:rsidRPr="00C32241" w:rsidRDefault="00B038A7" w:rsidP="00B038A7">
      <w:pPr>
        <w:jc w:val="both"/>
        <w:rPr>
          <w:color w:val="000000" w:themeColor="text1"/>
        </w:rPr>
      </w:pPr>
    </w:p>
    <w:p w:rsidR="00B038A7" w:rsidRPr="00C32241" w:rsidRDefault="00B038A7" w:rsidP="00B038A7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4"/>
          <w:szCs w:val="24"/>
        </w:rPr>
      </w:pPr>
      <w:r w:rsidRPr="00C32241">
        <w:rPr>
          <w:b w:val="0"/>
          <w:i/>
          <w:sz w:val="24"/>
          <w:szCs w:val="24"/>
        </w:rPr>
        <w:t xml:space="preserve">(na podst. art. 2 ust. 1 pkt 1 ustawy z dnia 11 września 2019 roku, Prawo zamówień publicznych </w:t>
      </w:r>
      <w:r w:rsidRPr="00C32241">
        <w:rPr>
          <w:b w:val="0"/>
          <w:i/>
          <w:sz w:val="24"/>
          <w:szCs w:val="24"/>
        </w:rPr>
        <w:br/>
        <w:t xml:space="preserve">oraz § 5 Zarządzenia Nr 175/2023 Prezydenta Miasta Bydgoszczy z dnia 16 marca 2023 r. </w:t>
      </w:r>
      <w:r w:rsidRPr="00C32241">
        <w:rPr>
          <w:b w:val="0"/>
          <w:i/>
          <w:sz w:val="24"/>
          <w:szCs w:val="24"/>
        </w:rPr>
        <w:br/>
        <w:t xml:space="preserve">w sprawie realizacji w Urzędzie Miasta Bydgoszczy zamówień o wartości </w:t>
      </w:r>
      <w:r w:rsidRPr="00C32241">
        <w:rPr>
          <w:b w:val="0"/>
          <w:i/>
          <w:sz w:val="24"/>
          <w:szCs w:val="24"/>
        </w:rPr>
        <w:br/>
        <w:t>szacunkowej niższej niż 130 000 zł)</w:t>
      </w:r>
    </w:p>
    <w:p w:rsidR="00D9104C" w:rsidRPr="00C32241" w:rsidRDefault="00D9104C" w:rsidP="00D9104C"/>
    <w:p w:rsidR="00D9104C" w:rsidRPr="00C32241" w:rsidRDefault="00D9104C" w:rsidP="001E5736">
      <w:pPr>
        <w:jc w:val="both"/>
        <w:rPr>
          <w:color w:val="000000" w:themeColor="text1"/>
        </w:rPr>
      </w:pPr>
    </w:p>
    <w:p w:rsidR="001E5736" w:rsidRPr="00C32241" w:rsidRDefault="001E5736" w:rsidP="000A1241">
      <w:pPr>
        <w:numPr>
          <w:ilvl w:val="0"/>
          <w:numId w:val="1"/>
        </w:numPr>
        <w:ind w:left="284" w:hanging="284"/>
        <w:jc w:val="both"/>
        <w:rPr>
          <w:b/>
          <w:color w:val="000000" w:themeColor="text1"/>
          <w:u w:val="single"/>
        </w:rPr>
      </w:pPr>
      <w:r w:rsidRPr="00C32241">
        <w:rPr>
          <w:b/>
          <w:color w:val="000000" w:themeColor="text1"/>
          <w:u w:val="single"/>
        </w:rPr>
        <w:t xml:space="preserve"> Nazwa oraz adres Zamawiającego:</w:t>
      </w:r>
    </w:p>
    <w:p w:rsidR="00B34526" w:rsidRPr="00C32241" w:rsidRDefault="00B34526" w:rsidP="00B34526">
      <w:pPr>
        <w:ind w:left="284"/>
        <w:jc w:val="both"/>
        <w:rPr>
          <w:b/>
          <w:color w:val="000000" w:themeColor="text1"/>
        </w:rPr>
      </w:pPr>
    </w:p>
    <w:p w:rsidR="001E5736" w:rsidRPr="00C32241" w:rsidRDefault="001E5736" w:rsidP="001E5736">
      <w:pPr>
        <w:jc w:val="both"/>
        <w:rPr>
          <w:b/>
          <w:color w:val="000000" w:themeColor="text1"/>
        </w:rPr>
      </w:pPr>
      <w:r w:rsidRPr="00C32241">
        <w:rPr>
          <w:color w:val="000000" w:themeColor="text1"/>
        </w:rPr>
        <w:t xml:space="preserve">     </w:t>
      </w:r>
      <w:r w:rsidRPr="00C32241">
        <w:rPr>
          <w:b/>
          <w:color w:val="000000" w:themeColor="text1"/>
        </w:rPr>
        <w:t>Miasto Bydgoszcz, ul. Jezuicka 1, 85-102 Bydgoszcz</w:t>
      </w:r>
    </w:p>
    <w:p w:rsidR="001E5736" w:rsidRPr="00C32241" w:rsidRDefault="001E5736" w:rsidP="001E5736">
      <w:pPr>
        <w:jc w:val="both"/>
        <w:rPr>
          <w:b/>
          <w:color w:val="000000" w:themeColor="text1"/>
        </w:rPr>
      </w:pPr>
      <w:r w:rsidRPr="00C32241">
        <w:rPr>
          <w:b/>
          <w:color w:val="000000" w:themeColor="text1"/>
        </w:rPr>
        <w:t xml:space="preserve">     </w:t>
      </w:r>
    </w:p>
    <w:p w:rsidR="001E5736" w:rsidRPr="00C32241" w:rsidRDefault="00B34526" w:rsidP="001E5736">
      <w:pPr>
        <w:jc w:val="both"/>
        <w:rPr>
          <w:color w:val="000000" w:themeColor="text1"/>
        </w:rPr>
      </w:pPr>
      <w:r w:rsidRPr="00C32241">
        <w:rPr>
          <w:b/>
          <w:color w:val="000000" w:themeColor="text1"/>
        </w:rPr>
        <w:t xml:space="preserve">     </w:t>
      </w:r>
      <w:r w:rsidR="001E5736" w:rsidRPr="00C32241">
        <w:rPr>
          <w:color w:val="000000" w:themeColor="text1"/>
        </w:rPr>
        <w:t>Wydział przeprowadzający postępowanie:</w:t>
      </w:r>
    </w:p>
    <w:p w:rsidR="00B34526" w:rsidRPr="00C32241" w:rsidRDefault="00B34526" w:rsidP="001E5736">
      <w:pPr>
        <w:jc w:val="both"/>
        <w:rPr>
          <w:b/>
          <w:color w:val="000000" w:themeColor="text1"/>
        </w:rPr>
      </w:pPr>
    </w:p>
    <w:p w:rsidR="00F11CB4" w:rsidRPr="00C32241" w:rsidRDefault="001E5736" w:rsidP="00FE05AD">
      <w:pPr>
        <w:spacing w:line="360" w:lineRule="auto"/>
        <w:jc w:val="both"/>
        <w:rPr>
          <w:b/>
          <w:color w:val="000000" w:themeColor="text1"/>
        </w:rPr>
      </w:pPr>
      <w:r w:rsidRPr="00C32241">
        <w:rPr>
          <w:b/>
          <w:color w:val="000000" w:themeColor="text1"/>
        </w:rPr>
        <w:t xml:space="preserve">      Zespół ds. Zarządzania Energią</w:t>
      </w:r>
    </w:p>
    <w:p w:rsidR="00F11CB4" w:rsidRPr="00C32241" w:rsidRDefault="00F11CB4" w:rsidP="00FE05AD">
      <w:pPr>
        <w:spacing w:line="360" w:lineRule="auto"/>
        <w:jc w:val="both"/>
        <w:rPr>
          <w:color w:val="000000" w:themeColor="text1"/>
        </w:rPr>
      </w:pPr>
      <w:r w:rsidRPr="00C32241">
        <w:rPr>
          <w:color w:val="000000" w:themeColor="text1"/>
        </w:rPr>
        <w:t xml:space="preserve">      ul. Wojska Polskiego 65</w:t>
      </w:r>
    </w:p>
    <w:p w:rsidR="00571D7B" w:rsidRPr="00C32241" w:rsidRDefault="00F11CB4" w:rsidP="00FE05AD">
      <w:pPr>
        <w:spacing w:line="360" w:lineRule="auto"/>
        <w:jc w:val="both"/>
        <w:rPr>
          <w:color w:val="000000" w:themeColor="text1"/>
        </w:rPr>
      </w:pPr>
      <w:r w:rsidRPr="00C32241">
        <w:rPr>
          <w:color w:val="000000" w:themeColor="text1"/>
        </w:rPr>
        <w:t xml:space="preserve">      85-825 Bydgoszcz</w:t>
      </w:r>
      <w:r w:rsidR="001E5736" w:rsidRPr="00C32241">
        <w:rPr>
          <w:color w:val="000000" w:themeColor="text1"/>
        </w:rPr>
        <w:t xml:space="preserve"> </w:t>
      </w:r>
    </w:p>
    <w:p w:rsidR="00F11CB4" w:rsidRPr="00C32241" w:rsidRDefault="00571D7B" w:rsidP="00EF7DCD">
      <w:pPr>
        <w:jc w:val="center"/>
        <w:rPr>
          <w:b/>
          <w:bCs/>
          <w:color w:val="000000" w:themeColor="text1"/>
        </w:rPr>
      </w:pPr>
      <w:r w:rsidRPr="00C32241">
        <w:rPr>
          <w:b/>
          <w:bCs/>
          <w:color w:val="000000" w:themeColor="text1"/>
        </w:rPr>
        <w:t>Nazwa:</w:t>
      </w:r>
    </w:p>
    <w:p w:rsidR="00BB644B" w:rsidRPr="00C32241" w:rsidRDefault="00BB644B" w:rsidP="007C56E5">
      <w:pPr>
        <w:jc w:val="both"/>
        <w:rPr>
          <w:b/>
          <w:bCs/>
          <w:color w:val="000000" w:themeColor="text1"/>
        </w:rPr>
      </w:pPr>
    </w:p>
    <w:p w:rsidR="001E5736" w:rsidRPr="00C32241" w:rsidRDefault="008D6CEA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</w:rPr>
      </w:pPr>
      <w:r w:rsidRPr="00C32241">
        <w:rPr>
          <w:b/>
          <w:bCs/>
          <w:color w:val="000000" w:themeColor="text1"/>
        </w:rPr>
        <w:t>Dobór, dostawa i uruchomienie urządzeń do kompensacji mocy biernej</w:t>
      </w:r>
    </w:p>
    <w:p w:rsidR="00B038A7" w:rsidRPr="00C32241" w:rsidRDefault="00B038A7" w:rsidP="00B038A7">
      <w:pPr>
        <w:jc w:val="both"/>
        <w:rPr>
          <w:bCs/>
          <w:color w:val="000000" w:themeColor="text1"/>
          <w:sz w:val="22"/>
          <w:szCs w:val="22"/>
        </w:rPr>
      </w:pPr>
    </w:p>
    <w:p w:rsidR="00B038A7" w:rsidRPr="00C32241" w:rsidRDefault="00B038A7" w:rsidP="00B038A7">
      <w:pPr>
        <w:jc w:val="both"/>
        <w:rPr>
          <w:bCs/>
          <w:color w:val="000000" w:themeColor="text1"/>
          <w:sz w:val="22"/>
          <w:szCs w:val="22"/>
        </w:rPr>
      </w:pPr>
      <w:r w:rsidRPr="00C32241">
        <w:rPr>
          <w:bCs/>
          <w:color w:val="000000" w:themeColor="text1"/>
          <w:sz w:val="22"/>
          <w:szCs w:val="22"/>
        </w:rPr>
        <w:t>Do postępowania nie będzie miała zastosowania ustawa z dnia 11 września 2019 r. - Prawo zamówień, ponieważ wartość zamówienia jest mniejsza od kwoty określonej w art. 2 ust.1 pkt 1 ustawy.</w:t>
      </w:r>
    </w:p>
    <w:p w:rsidR="000C25DF" w:rsidRPr="00C32241" w:rsidRDefault="000C25DF" w:rsidP="000C25DF">
      <w:pPr>
        <w:ind w:right="1"/>
        <w:rPr>
          <w:b/>
          <w:color w:val="000000" w:themeColor="text1"/>
        </w:rPr>
      </w:pPr>
    </w:p>
    <w:p w:rsidR="00A70CEB" w:rsidRPr="00C32241" w:rsidRDefault="000C25DF" w:rsidP="000A1241">
      <w:pPr>
        <w:pStyle w:val="Akapitzlist"/>
        <w:numPr>
          <w:ilvl w:val="0"/>
          <w:numId w:val="1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Cel </w:t>
      </w:r>
      <w:r w:rsidR="00571D7B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zamówienia</w:t>
      </w:r>
      <w:r w:rsidR="001A3636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8D6CEA" w:rsidRDefault="00E25D9A" w:rsidP="00B4659B">
      <w:pPr>
        <w:pStyle w:val="Tekstblokowy"/>
        <w:numPr>
          <w:ilvl w:val="0"/>
          <w:numId w:val="2"/>
        </w:numPr>
        <w:tabs>
          <w:tab w:val="left" w:pos="851"/>
        </w:tabs>
        <w:ind w:right="1"/>
        <w:jc w:val="both"/>
        <w:rPr>
          <w:bCs/>
          <w:color w:val="000000" w:themeColor="text1"/>
          <w:sz w:val="24"/>
          <w:szCs w:val="24"/>
        </w:rPr>
      </w:pPr>
      <w:r w:rsidRPr="00C32241">
        <w:rPr>
          <w:color w:val="000000" w:themeColor="text1"/>
          <w:sz w:val="24"/>
          <w:szCs w:val="24"/>
        </w:rPr>
        <w:t xml:space="preserve">Przedmiotem zamówienia jest </w:t>
      </w:r>
      <w:r w:rsidR="008D6CEA" w:rsidRPr="00C32241">
        <w:rPr>
          <w:color w:val="000000" w:themeColor="text1"/>
          <w:sz w:val="24"/>
          <w:szCs w:val="24"/>
        </w:rPr>
        <w:t xml:space="preserve">dobór, dostawa i montaż urządzeń do kompensacji mocy biernej </w:t>
      </w:r>
      <w:r w:rsidR="00AE26BB">
        <w:rPr>
          <w:bCs/>
          <w:color w:val="000000" w:themeColor="text1"/>
          <w:sz w:val="24"/>
          <w:szCs w:val="24"/>
        </w:rPr>
        <w:t>mających na celu zniwelowanie</w:t>
      </w:r>
      <w:r w:rsidR="008D6CEA" w:rsidRPr="00C32241">
        <w:rPr>
          <w:bCs/>
          <w:color w:val="000000" w:themeColor="text1"/>
          <w:sz w:val="24"/>
          <w:szCs w:val="24"/>
        </w:rPr>
        <w:t xml:space="preserve"> do poziomu nie wyższego niż  15 % względem wartości wyjściowej, opłaty za </w:t>
      </w:r>
      <w:proofErr w:type="spellStart"/>
      <w:r w:rsidR="008D6CEA" w:rsidRPr="00C32241">
        <w:rPr>
          <w:bCs/>
          <w:color w:val="000000" w:themeColor="text1"/>
          <w:sz w:val="24"/>
          <w:szCs w:val="24"/>
        </w:rPr>
        <w:t>ponadumowny</w:t>
      </w:r>
      <w:proofErr w:type="spellEnd"/>
      <w:r w:rsidR="008D6CEA" w:rsidRPr="00C32241">
        <w:rPr>
          <w:bCs/>
          <w:color w:val="000000" w:themeColor="text1"/>
          <w:sz w:val="24"/>
          <w:szCs w:val="24"/>
        </w:rPr>
        <w:t xml:space="preserve"> pobór energii biernej (indukcyjnej oraz pojemnościowej). </w:t>
      </w:r>
    </w:p>
    <w:p w:rsidR="00C32241" w:rsidRPr="00C32241" w:rsidRDefault="00C32241" w:rsidP="00B4659B">
      <w:pPr>
        <w:pStyle w:val="Tekstblokowy"/>
        <w:numPr>
          <w:ilvl w:val="0"/>
          <w:numId w:val="2"/>
        </w:numPr>
        <w:tabs>
          <w:tab w:val="left" w:pos="851"/>
        </w:tabs>
        <w:ind w:right="1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Dobór urządzeń musi zostać poprzedzony analizą sieci, </w:t>
      </w:r>
      <w:r w:rsidR="00AE26BB">
        <w:rPr>
          <w:bCs/>
          <w:color w:val="000000" w:themeColor="text1"/>
          <w:sz w:val="24"/>
          <w:szCs w:val="24"/>
        </w:rPr>
        <w:t xml:space="preserve">przez okres odpowiedni </w:t>
      </w:r>
      <w:r w:rsidR="00B4659B">
        <w:rPr>
          <w:bCs/>
          <w:color w:val="000000" w:themeColor="text1"/>
          <w:sz w:val="24"/>
          <w:szCs w:val="24"/>
        </w:rPr>
        <w:br/>
      </w:r>
      <w:r w:rsidR="00AE26BB">
        <w:rPr>
          <w:bCs/>
          <w:color w:val="000000" w:themeColor="text1"/>
          <w:sz w:val="24"/>
          <w:szCs w:val="24"/>
        </w:rPr>
        <w:t>do zapewnienia prawidłowego wyboru kompensatorów, co potwierdzone musi zostać odpowiednią dokumentacją.</w:t>
      </w:r>
    </w:p>
    <w:p w:rsidR="00EF2F25" w:rsidRPr="00C32241" w:rsidRDefault="00EF2F25" w:rsidP="00B4659B">
      <w:pPr>
        <w:ind w:right="1"/>
        <w:jc w:val="both"/>
        <w:rPr>
          <w:b/>
          <w:color w:val="000000" w:themeColor="text1"/>
        </w:rPr>
      </w:pPr>
    </w:p>
    <w:p w:rsidR="00EC7097" w:rsidRPr="00C32241" w:rsidRDefault="00EF2F25" w:rsidP="000A1241">
      <w:pPr>
        <w:pStyle w:val="Akapitzlist"/>
        <w:numPr>
          <w:ilvl w:val="0"/>
          <w:numId w:val="1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Opis p</w:t>
      </w:r>
      <w:r w:rsidR="00605770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rzedmiotu zamówienia</w:t>
      </w:r>
      <w:r w:rsidR="0041035C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A92362" w:rsidRPr="00C32241" w:rsidRDefault="00C32241" w:rsidP="00C32241">
      <w:pPr>
        <w:pStyle w:val="Akapitzlist"/>
        <w:overflowPunct w:val="0"/>
        <w:autoSpaceDE w:val="0"/>
        <w:ind w:left="502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C32241">
        <w:rPr>
          <w:rFonts w:ascii="Times New Roman" w:hAnsi="Times New Roman"/>
          <w:color w:val="000000" w:themeColor="text1"/>
          <w:sz w:val="23"/>
          <w:szCs w:val="23"/>
        </w:rPr>
        <w:t>Wdrożenie rozwiązań technicznych mających na celu zniwelowa</w:t>
      </w:r>
      <w:r w:rsidR="00B4659B">
        <w:rPr>
          <w:rFonts w:ascii="Times New Roman" w:hAnsi="Times New Roman"/>
          <w:color w:val="000000" w:themeColor="text1"/>
          <w:sz w:val="23"/>
          <w:szCs w:val="23"/>
        </w:rPr>
        <w:t>nie do poziomu nie wyższego niż</w:t>
      </w:r>
      <w:r w:rsidRPr="00C32241">
        <w:rPr>
          <w:rFonts w:ascii="Times New Roman" w:hAnsi="Times New Roman"/>
          <w:color w:val="000000" w:themeColor="text1"/>
          <w:sz w:val="23"/>
          <w:szCs w:val="23"/>
        </w:rPr>
        <w:t xml:space="preserve"> 15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% względem wartości wyjściowej</w:t>
      </w:r>
      <w:r w:rsidRPr="00C32241">
        <w:rPr>
          <w:rFonts w:ascii="Times New Roman" w:hAnsi="Times New Roman"/>
          <w:color w:val="000000" w:themeColor="text1"/>
          <w:sz w:val="23"/>
          <w:szCs w:val="23"/>
        </w:rPr>
        <w:t xml:space="preserve"> opłaty za </w:t>
      </w:r>
      <w:proofErr w:type="spellStart"/>
      <w:r w:rsidRPr="00C32241">
        <w:rPr>
          <w:rFonts w:ascii="Times New Roman" w:hAnsi="Times New Roman"/>
          <w:color w:val="000000" w:themeColor="text1"/>
          <w:sz w:val="23"/>
          <w:szCs w:val="23"/>
        </w:rPr>
        <w:t>ponadumowny</w:t>
      </w:r>
      <w:proofErr w:type="spellEnd"/>
      <w:r w:rsidRPr="00C32241">
        <w:rPr>
          <w:rFonts w:ascii="Times New Roman" w:hAnsi="Times New Roman"/>
          <w:color w:val="000000" w:themeColor="text1"/>
          <w:sz w:val="23"/>
          <w:szCs w:val="23"/>
        </w:rPr>
        <w:t xml:space="preserve"> pobór energii biernej </w:t>
      </w:r>
      <w:r w:rsidRPr="00C32241">
        <w:rPr>
          <w:rFonts w:ascii="Times New Roman" w:hAnsi="Times New Roman"/>
          <w:color w:val="000000" w:themeColor="text1"/>
          <w:sz w:val="23"/>
          <w:szCs w:val="23"/>
        </w:rPr>
        <w:lastRenderedPageBreak/>
        <w:t>(indukcyjnej oraz pojemnościowej) nastąpi poprzez zakup oraz instalację odpowiednich urządzeń. Wartość wyjściowa zostanie określona dla każdego obiektu na podstawie dokumentów rozliczeniowych i Zestawienia obiektów</w:t>
      </w:r>
      <w:r w:rsidR="00B4659B">
        <w:rPr>
          <w:rFonts w:ascii="Times New Roman" w:hAnsi="Times New Roman"/>
          <w:color w:val="000000" w:themeColor="text1"/>
          <w:sz w:val="23"/>
          <w:szCs w:val="23"/>
        </w:rPr>
        <w:t xml:space="preserve"> wytypowanych do wdrożenia układów kompensacji</w:t>
      </w:r>
      <w:r w:rsidRPr="00C32241">
        <w:rPr>
          <w:rFonts w:ascii="Times New Roman" w:hAnsi="Times New Roman"/>
          <w:color w:val="000000" w:themeColor="text1"/>
          <w:sz w:val="23"/>
          <w:szCs w:val="23"/>
        </w:rPr>
        <w:t xml:space="preserve"> oraz kosztów energii biernej, przekazanych przez Zamawiającego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C32241">
        <w:rPr>
          <w:rFonts w:ascii="Times New Roman" w:hAnsi="Times New Roman"/>
          <w:color w:val="000000" w:themeColor="text1"/>
          <w:sz w:val="23"/>
          <w:szCs w:val="23"/>
        </w:rPr>
        <w:t xml:space="preserve"> ustalonych na podstawie danych od Operatora Sieci Dystrybucyjnej wynikających z faktur za określony przedział czasu.</w:t>
      </w:r>
    </w:p>
    <w:p w:rsidR="00C32241" w:rsidRPr="00C32241" w:rsidRDefault="00C32241" w:rsidP="00C32241">
      <w:pPr>
        <w:pStyle w:val="Akapitzlist"/>
        <w:overflowPunct w:val="0"/>
        <w:autoSpaceDE w:val="0"/>
        <w:ind w:left="502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C32241" w:rsidRPr="00C32241" w:rsidRDefault="00C32241" w:rsidP="00C32241">
      <w:pPr>
        <w:pStyle w:val="Akapitzlist"/>
        <w:overflowPunct w:val="0"/>
        <w:ind w:left="502"/>
        <w:jc w:val="both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C32241">
        <w:rPr>
          <w:rFonts w:ascii="Times New Roman" w:hAnsi="Times New Roman"/>
          <w:bCs/>
          <w:color w:val="000000" w:themeColor="text1"/>
          <w:sz w:val="23"/>
          <w:szCs w:val="23"/>
        </w:rPr>
        <w:t>Wykonawca w ramach rękojmi za wady przeprowadzi dwa audyty pozwalające na określenie stopnia zniwelowania przekroczeń mocy biernej energii elektrycznej oraz sprawności wykonanej instalacji. Pierwszy audyt nastąpi w okresie od 2 do 4 tygodni od daty odbioru końcowego przedmiotu umowy, drugi audyt nastąpi w okresie od 10 do 12 miesięcy od daty odbioru końcowego przedmiotu umowy.</w:t>
      </w:r>
    </w:p>
    <w:p w:rsidR="00C32241" w:rsidRPr="00C32241" w:rsidRDefault="00C32241" w:rsidP="00C32241">
      <w:pPr>
        <w:pStyle w:val="Akapitzlist"/>
        <w:overflowPunct w:val="0"/>
        <w:ind w:left="502"/>
        <w:jc w:val="both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C32241" w:rsidRDefault="00C32241" w:rsidP="00C32241">
      <w:pPr>
        <w:pStyle w:val="Akapitzlist"/>
        <w:overflowPunct w:val="0"/>
        <w:ind w:left="502"/>
        <w:jc w:val="both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C32241">
        <w:rPr>
          <w:rFonts w:ascii="Times New Roman" w:hAnsi="Times New Roman"/>
          <w:bCs/>
          <w:color w:val="000000" w:themeColor="text1"/>
          <w:sz w:val="23"/>
          <w:szCs w:val="23"/>
        </w:rPr>
        <w:t>Wykonawca zobowiązany jest do poniesienia kosztów wynikających z nienale</w:t>
      </w:r>
      <w:r>
        <w:rPr>
          <w:rFonts w:ascii="Times New Roman" w:hAnsi="Times New Roman"/>
          <w:bCs/>
          <w:color w:val="000000" w:themeColor="text1"/>
          <w:sz w:val="23"/>
          <w:szCs w:val="23"/>
        </w:rPr>
        <w:t>żytego wykonania umowy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,</w:t>
      </w:r>
      <w:r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to jest </w:t>
      </w:r>
      <w:r w:rsidRPr="00C32241">
        <w:rPr>
          <w:rFonts w:ascii="Times New Roman" w:hAnsi="Times New Roman"/>
          <w:bCs/>
          <w:color w:val="000000" w:themeColor="text1"/>
          <w:sz w:val="23"/>
          <w:szCs w:val="23"/>
        </w:rPr>
        <w:t>opłat za przekroczenie mocy biernej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,</w:t>
      </w:r>
      <w:r w:rsidRPr="00C32241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po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wyżej wskaźnika określonego w §1 ust.</w:t>
      </w:r>
      <w:r w:rsidRPr="00C32241">
        <w:rPr>
          <w:rFonts w:ascii="Times New Roman" w:hAnsi="Times New Roman"/>
          <w:bCs/>
          <w:color w:val="000000" w:themeColor="text1"/>
          <w:sz w:val="23"/>
          <w:szCs w:val="23"/>
        </w:rPr>
        <w:t>4</w:t>
      </w:r>
      <w:r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Umowy</w:t>
      </w:r>
      <w:r w:rsidRPr="00C32241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dla każdego z obiektów, wobec którego wskaźnik nie został osiągnięty, za okres 12 miesięcy od daty odbioru końcowego przedmiotu umowy.</w:t>
      </w:r>
    </w:p>
    <w:p w:rsidR="00AE26BB" w:rsidRDefault="00AE26BB" w:rsidP="00C32241">
      <w:pPr>
        <w:pStyle w:val="Akapitzlist"/>
        <w:overflowPunct w:val="0"/>
        <w:ind w:left="502"/>
        <w:jc w:val="both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AE26BB" w:rsidRPr="00C32241" w:rsidRDefault="00AE26BB" w:rsidP="00C32241">
      <w:pPr>
        <w:pStyle w:val="Akapitzlist"/>
        <w:overflowPunct w:val="0"/>
        <w:ind w:left="502"/>
        <w:jc w:val="both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Spis obiektów wraz z dokumentami rozliczeniowymi za okres ostatnich 12 miesięcy stanowi załącznik do niniejszego postępowania.</w:t>
      </w:r>
    </w:p>
    <w:p w:rsidR="00C32241" w:rsidRDefault="00C32241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 xml:space="preserve">- 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Układ kompensacji należy dobrać z około 20% zapasem mocy w stosunku do dokonanych pomiarów,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montaż odpowiednio dobranych urządzeń do kompensacji mocy biernej (zarówno indukcyjnej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,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jak i pojemnościowej),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wykonanie wszystkich niezbędnych połączeń układu kompe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nsacji mocy biernej z istniejącą instalacją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elektryczną,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montaż w rozdzielnicach głównych 3 przekładników prądowych - do sterowania układami kompensacji,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 xml:space="preserve">- 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>u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zgodnienie z jednostkami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terminu wyłączenia zasilania elektrycznego i dostosowanie się do jej planu organizacyjnego,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 xml:space="preserve">- 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uruchomienie układów kompensacji mocy biernej,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konfiguracja i parametryzacja układów,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wykonanie pomiarów i badań oraz sporządzenie stosownych protokołów z tych czynności,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wykonanie wszelkich prac naprawczych </w:t>
      </w:r>
      <w:proofErr w:type="spellStart"/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>pomontażowych</w:t>
      </w:r>
      <w:proofErr w:type="spellEnd"/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(jeśli zajdzie potrzeba), </w:t>
      </w:r>
    </w:p>
    <w:p w:rsidR="00AE26BB" w:rsidRDefault="00AE26BB" w:rsidP="00C32241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sporządzenie dokumentacji powykonawczej (schemat rozdzielni z zaznaczonym miejscem włączenia układu, atesty, certyfikaty, aprobaty, instrukcja obsługi, DTR, karty gwarancyjne, protokoły z badań i pomiarów, na elewacji urządzenia wymagana tabliczka znamionowa z nr telefonu oraz mailem serwisowym), </w:t>
      </w:r>
    </w:p>
    <w:p w:rsidR="00A92362" w:rsidRDefault="00AE26BB" w:rsidP="00B4659B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-</w:t>
      </w:r>
      <w:r w:rsidRPr="00AE26B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wszelkie koszty związane </w:t>
      </w:r>
      <w:r w:rsidR="00B4659B">
        <w:rPr>
          <w:rFonts w:ascii="Times New Roman" w:hAnsi="Times New Roman"/>
          <w:bCs/>
          <w:color w:val="000000" w:themeColor="text1"/>
          <w:sz w:val="23"/>
          <w:szCs w:val="23"/>
        </w:rPr>
        <w:t>z montażem po stronie Wykonawcy.</w:t>
      </w:r>
    </w:p>
    <w:p w:rsidR="00B4659B" w:rsidRPr="00B4659B" w:rsidRDefault="00B4659B" w:rsidP="00B4659B">
      <w:pPr>
        <w:pStyle w:val="Akapitzlist"/>
        <w:overflowPunct w:val="0"/>
        <w:ind w:left="502"/>
        <w:textAlignment w:val="baseline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EC7097" w:rsidRPr="00C32241" w:rsidRDefault="005E4F65" w:rsidP="000A1241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Przekazanie </w:t>
      </w:r>
      <w:r w:rsidR="00EF2F25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przedmiotu zamówienia</w:t>
      </w:r>
      <w:r w:rsidR="000033F8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C32241" w:rsidRPr="00C32241" w:rsidRDefault="00C32241" w:rsidP="00C32241">
      <w:pPr>
        <w:pStyle w:val="Tekstblokowy"/>
        <w:tabs>
          <w:tab w:val="left" w:pos="851"/>
        </w:tabs>
        <w:ind w:left="502" w:right="1"/>
        <w:jc w:val="both"/>
        <w:rPr>
          <w:color w:val="000000" w:themeColor="text1"/>
          <w:sz w:val="24"/>
          <w:szCs w:val="24"/>
        </w:rPr>
      </w:pPr>
      <w:r w:rsidRPr="00C32241">
        <w:rPr>
          <w:color w:val="000000" w:themeColor="text1"/>
          <w:sz w:val="24"/>
          <w:szCs w:val="24"/>
        </w:rPr>
        <w:lastRenderedPageBreak/>
        <w:t>Przedmiot zamówienia zostanie wykonany w ciągu 3 miesięcy od zawarcia umowy.</w:t>
      </w:r>
    </w:p>
    <w:p w:rsidR="00FC317D" w:rsidRPr="00C32241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4228" w:rsidRPr="00C32241" w:rsidRDefault="001E5736" w:rsidP="000A1241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Wymagania </w:t>
      </w:r>
      <w:r w:rsidR="00B2631E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dla Wykonawców </w:t>
      </w:r>
      <w:r w:rsidR="006F04AF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="007155C6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obligatoryjne</w:t>
      </w:r>
      <w:r w:rsidR="006F04AF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9654C2" w:rsidRPr="00C32241" w:rsidRDefault="009654C2" w:rsidP="009654C2">
      <w:pPr>
        <w:spacing w:line="276" w:lineRule="auto"/>
        <w:ind w:left="502"/>
        <w:jc w:val="both"/>
        <w:rPr>
          <w:bCs/>
          <w:sz w:val="22"/>
          <w:szCs w:val="22"/>
        </w:rPr>
      </w:pPr>
      <w:r w:rsidRPr="00C32241">
        <w:rPr>
          <w:bCs/>
          <w:sz w:val="22"/>
          <w:szCs w:val="22"/>
        </w:rPr>
        <w:t xml:space="preserve">- Wykonawca musi przedstawić dokument potwierdzający, że jest ubezpieczony od odpowiedzialności cywilnej w zakresie prowadzonej działalności związanej z przedmiotem zamówienia na sumę gwarancyjną nie mniejszą niż 300 000,00 zł </w:t>
      </w:r>
    </w:p>
    <w:p w:rsidR="009654C2" w:rsidRDefault="009654C2" w:rsidP="009654C2">
      <w:pPr>
        <w:spacing w:line="276" w:lineRule="auto"/>
        <w:ind w:left="502"/>
        <w:jc w:val="both"/>
        <w:rPr>
          <w:rFonts w:eastAsia="TimesNewRoman"/>
          <w:color w:val="000000"/>
          <w:sz w:val="22"/>
          <w:szCs w:val="22"/>
        </w:rPr>
      </w:pPr>
      <w:r w:rsidRPr="00C32241">
        <w:rPr>
          <w:rFonts w:eastAsia="TimesNewRoman"/>
          <w:color w:val="000000"/>
          <w:sz w:val="22"/>
          <w:szCs w:val="22"/>
        </w:rPr>
        <w:t>- Wykonawca wykaże, że dysponuje następującymi kluczowymi osobami, które posiadają pełne uprawnienia budowlane we wskazanym zakresie:</w:t>
      </w:r>
    </w:p>
    <w:p w:rsidR="00BB0CD8" w:rsidRPr="00BB0CD8" w:rsidRDefault="00BB0CD8" w:rsidP="00BB0CD8">
      <w:pPr>
        <w:spacing w:line="276" w:lineRule="auto"/>
        <w:ind w:left="502"/>
        <w:jc w:val="both"/>
        <w:rPr>
          <w:rFonts w:eastAsia="TimesNewRoman"/>
          <w:color w:val="000000"/>
          <w:sz w:val="22"/>
          <w:szCs w:val="22"/>
        </w:rPr>
      </w:pPr>
    </w:p>
    <w:p w:rsidR="00BB0CD8" w:rsidRPr="00BB0CD8" w:rsidRDefault="00BB0CD8" w:rsidP="00BB0CD8">
      <w:pPr>
        <w:spacing w:line="276" w:lineRule="auto"/>
        <w:ind w:left="502"/>
        <w:jc w:val="both"/>
        <w:rPr>
          <w:rFonts w:eastAsia="TimesNewRoman"/>
          <w:b/>
          <w:color w:val="000000"/>
          <w:sz w:val="22"/>
          <w:szCs w:val="22"/>
          <w:lang w:bidi="pl-PL"/>
        </w:rPr>
      </w:pPr>
      <w:r w:rsidRPr="00BB0CD8">
        <w:rPr>
          <w:rFonts w:eastAsia="TimesNewRoman"/>
          <w:color w:val="000000"/>
          <w:sz w:val="22"/>
          <w:szCs w:val="22"/>
        </w:rPr>
        <w:t xml:space="preserve">co najmniej jedną osobą – przewidzianą do pełnienia funkcji </w:t>
      </w:r>
      <w:r w:rsidRPr="00BB0CD8">
        <w:rPr>
          <w:rFonts w:eastAsia="TimesNewRoman"/>
          <w:b/>
          <w:bCs/>
          <w:i/>
          <w:iCs/>
          <w:color w:val="000000"/>
          <w:sz w:val="22"/>
          <w:szCs w:val="22"/>
        </w:rPr>
        <w:t>inspektora nadzoru robót o specjalności elektrycznej i elektroenergetycznej</w:t>
      </w:r>
      <w:r w:rsidRPr="00BB0CD8">
        <w:rPr>
          <w:rFonts w:eastAsia="TimesNewRoman"/>
          <w:color w:val="000000"/>
          <w:sz w:val="22"/>
          <w:szCs w:val="22"/>
        </w:rPr>
        <w:t xml:space="preserve"> – posiadającą odpowiednie do zakresu robót uprawnienia budowlane do kierowania robotami budowlanymi w zakresie sieci, instalacji  i urządzeń elektrycznych i elektroenergetycznych lub odpowiadające im ważne uprawnienia budowlane do kierowania robotami budowlanymi, które zostały wydane na podstawie wcześniej obowiązujących przepisów, albo w innym państwie upoważniające do kierowania robotami w branży elektrycznej i elektroenergetycznej, doświadczenie: co najmniej 12-miesięcy doświadczenia zawodowego na stanowisku inspektora nadzoru robót  elektrycznych i energoelektrycznych; </w:t>
      </w:r>
    </w:p>
    <w:p w:rsidR="00AE26BB" w:rsidRDefault="00AE26BB" w:rsidP="009654C2">
      <w:pPr>
        <w:spacing w:line="276" w:lineRule="auto"/>
        <w:ind w:left="502"/>
        <w:jc w:val="both"/>
        <w:rPr>
          <w:rFonts w:eastAsia="TimesNewRoman"/>
          <w:color w:val="000000"/>
          <w:sz w:val="22"/>
          <w:szCs w:val="22"/>
        </w:rPr>
      </w:pPr>
    </w:p>
    <w:p w:rsidR="00AE26BB" w:rsidRDefault="00BB0CD8" w:rsidP="009654C2">
      <w:pPr>
        <w:spacing w:line="276" w:lineRule="auto"/>
        <w:ind w:left="502"/>
        <w:jc w:val="both"/>
        <w:rPr>
          <w:rFonts w:eastAsia="TimesNewRoman"/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>Ponadto:</w:t>
      </w:r>
    </w:p>
    <w:p w:rsidR="00AE26BB" w:rsidRDefault="00AE26BB" w:rsidP="009654C2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AE26BB">
        <w:rPr>
          <w:bCs/>
          <w:sz w:val="22"/>
          <w:szCs w:val="22"/>
        </w:rPr>
        <w:t xml:space="preserve">parametry techniczne urządzenia oraz miejsce montażu układu kompensacji na etapie doboru musi być uzgodnione z Zamawiającym oraz przez niego zaakceptowane, </w:t>
      </w:r>
    </w:p>
    <w:p w:rsidR="00BB0CD8" w:rsidRDefault="00AE26BB" w:rsidP="009654C2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AE26BB">
        <w:rPr>
          <w:bCs/>
          <w:sz w:val="22"/>
          <w:szCs w:val="22"/>
        </w:rPr>
        <w:t xml:space="preserve"> układ kompensacji należy dobrać dla każdego obiektu na podstawie wyników pomiarów elektrycznych pod kątem doboru układu do kompensacji mocy biernej przeprowadzonych przez Wykonawcę. Po uruchomieniu układu należy dokonać pomiarów współczynnika </w:t>
      </w:r>
      <w:proofErr w:type="spellStart"/>
      <w:r w:rsidRPr="00AE26BB">
        <w:rPr>
          <w:bCs/>
          <w:sz w:val="22"/>
          <w:szCs w:val="22"/>
        </w:rPr>
        <w:t>tgϕ</w:t>
      </w:r>
      <w:proofErr w:type="spellEnd"/>
      <w:r w:rsidRPr="00AE26BB">
        <w:rPr>
          <w:bCs/>
          <w:sz w:val="22"/>
          <w:szCs w:val="22"/>
        </w:rPr>
        <w:t xml:space="preserve">. Wyniki pomiarów należy załączyć do dokumentacji doboru oraz dokumentacji powykonawczej, </w:t>
      </w:r>
    </w:p>
    <w:p w:rsidR="00BB0CD8" w:rsidRDefault="00BB0CD8" w:rsidP="009654C2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E26BB" w:rsidRPr="00AE26BB">
        <w:rPr>
          <w:bCs/>
          <w:sz w:val="22"/>
          <w:szCs w:val="22"/>
        </w:rPr>
        <w:t xml:space="preserve"> układ powinien spowodować uzyskanie współczynnika </w:t>
      </w:r>
      <w:proofErr w:type="spellStart"/>
      <w:r w:rsidR="00AE26BB" w:rsidRPr="00AE26BB">
        <w:rPr>
          <w:bCs/>
          <w:sz w:val="22"/>
          <w:szCs w:val="22"/>
        </w:rPr>
        <w:t>tgϕ</w:t>
      </w:r>
      <w:proofErr w:type="spellEnd"/>
      <w:r w:rsidR="00AE26BB" w:rsidRPr="00AE26BB">
        <w:rPr>
          <w:bCs/>
          <w:sz w:val="22"/>
          <w:szCs w:val="22"/>
        </w:rPr>
        <w:t xml:space="preserve"> pozwalającego na zniwelowanie do poziomu nie wyższego niż 15 % względem wartości wyjściowej opłaty za </w:t>
      </w:r>
      <w:proofErr w:type="spellStart"/>
      <w:r w:rsidR="00AE26BB" w:rsidRPr="00AE26BB">
        <w:rPr>
          <w:bCs/>
          <w:sz w:val="22"/>
          <w:szCs w:val="22"/>
        </w:rPr>
        <w:t>ponadumowny</w:t>
      </w:r>
      <w:proofErr w:type="spellEnd"/>
      <w:r w:rsidR="00AE26BB" w:rsidRPr="00AE26BB">
        <w:rPr>
          <w:bCs/>
          <w:sz w:val="22"/>
          <w:szCs w:val="22"/>
        </w:rPr>
        <w:t xml:space="preserve"> pobór energii biernej indukcyjnej i pojemnościowej za okres 12 miesięcy dla każdego z obiektów, </w:t>
      </w: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AE26BB" w:rsidRPr="00AE26BB">
        <w:rPr>
          <w:bCs/>
          <w:sz w:val="22"/>
          <w:szCs w:val="22"/>
        </w:rPr>
        <w:t xml:space="preserve">Zamawiający nie dopuszcza w okresie 12 miesięcy po wdrożeniu rozwiązania technicznego możliwości zwiększenia opłat za przekroczenie energii biernej dla każdego z obiektów - do poziomu nie wyższego niż 15% celu wskazanego jako referencyjny, </w:t>
      </w: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E26BB" w:rsidRPr="00AE26BB">
        <w:rPr>
          <w:bCs/>
          <w:sz w:val="22"/>
          <w:szCs w:val="22"/>
        </w:rPr>
        <w:t xml:space="preserve"> w przypadku nie osiągnięcia określonych wskaźników Wykonawca zobowiązany jest do poniesienia kosztów wynikających z nienależytego wykonania zadania umowy: to jest opłat za przekroczenie mocy biernej powyżej wskaźnika określonego dla każdego z obiektów, wobec którego wskaźnik nie został osiągnięty, za cały okres wykonywania przedmiotu umowy tj. 12 miesięcy od dnia wdrożenia rozwiązań technicznych, </w:t>
      </w: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E26BB" w:rsidRPr="00AE26BB">
        <w:rPr>
          <w:bCs/>
          <w:sz w:val="22"/>
          <w:szCs w:val="22"/>
        </w:rPr>
        <w:t xml:space="preserve"> uruchomienie i ciągła praca urządzenia w miejscu instalacji będzie zgodna z przepisami </w:t>
      </w:r>
      <w:proofErr w:type="spellStart"/>
      <w:r w:rsidR="00AE26BB" w:rsidRPr="00AE26BB">
        <w:rPr>
          <w:bCs/>
          <w:sz w:val="22"/>
          <w:szCs w:val="22"/>
        </w:rPr>
        <w:t>ppoż</w:t>
      </w:r>
      <w:proofErr w:type="spellEnd"/>
      <w:r w:rsidR="00AE26BB" w:rsidRPr="00AE26BB">
        <w:rPr>
          <w:bCs/>
          <w:sz w:val="22"/>
          <w:szCs w:val="22"/>
        </w:rPr>
        <w:t xml:space="preserve">, BHP oraz innymi dotyczącymi lokalizacji i eksploatacji urządzeń danego rodzaju, </w:t>
      </w: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E26BB" w:rsidRPr="00AE26BB">
        <w:rPr>
          <w:bCs/>
          <w:sz w:val="22"/>
          <w:szCs w:val="22"/>
        </w:rPr>
        <w:t xml:space="preserve"> pracownicy Wykonawcy wyznaczeni do montażu w obiektach Zamawiającego urządzenia stanowiącego przedmiot niniejszego zamówienia zobowiązani są posiadać Świadectwa Kwalifikacyjne uprawniające do zajmowania się eksploatacją urządzeń, instalacji i sieci o napięciu do 1 </w:t>
      </w:r>
      <w:proofErr w:type="spellStart"/>
      <w:r w:rsidR="00AE26BB" w:rsidRPr="00AE26BB">
        <w:rPr>
          <w:bCs/>
          <w:sz w:val="22"/>
          <w:szCs w:val="22"/>
        </w:rPr>
        <w:t>kV</w:t>
      </w:r>
      <w:proofErr w:type="spellEnd"/>
      <w:r w:rsidR="00AE26BB" w:rsidRPr="00AE26BB">
        <w:rPr>
          <w:bCs/>
          <w:sz w:val="22"/>
          <w:szCs w:val="22"/>
        </w:rPr>
        <w:t xml:space="preserve">, </w:t>
      </w: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E26BB" w:rsidRPr="00AE26BB">
        <w:rPr>
          <w:bCs/>
          <w:sz w:val="22"/>
          <w:szCs w:val="22"/>
        </w:rPr>
        <w:t xml:space="preserve"> dostarczone urządzenie musi posiadać gwarancję i być fabrycznie nowe, nieuszkodzone, nieużywane, nieobciążone prawami podmiotów trzecich, </w:t>
      </w:r>
    </w:p>
    <w:p w:rsidR="00AE26BB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E26BB" w:rsidRPr="00AE26BB">
        <w:rPr>
          <w:bCs/>
          <w:sz w:val="22"/>
          <w:szCs w:val="22"/>
        </w:rPr>
        <w:t xml:space="preserve"> na dostarczone urządzenia i wykonaną instalację Wykonawca udzieli minimum 24 miesięcznej gwarancji</w:t>
      </w:r>
      <w:r w:rsidR="00044486">
        <w:rPr>
          <w:bCs/>
          <w:sz w:val="22"/>
          <w:szCs w:val="22"/>
        </w:rPr>
        <w:t>.</w:t>
      </w: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</w:p>
    <w:p w:rsidR="00BB0CD8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Dla urządzeń wymagania techniczne to odpowiednio minimum: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aktywny kompensator mocy biernej typu SVG,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moc urządzenia: dostosowana do występującego obciążenia (20% zapasu mocy),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regulacja bezstopniowa,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kompensacja indywidualna w każdej fazie,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zalecana kompensacja mocy biernej indukcyjnej</w:t>
      </w:r>
      <w:r w:rsidR="00044486">
        <w:t>,</w:t>
      </w:r>
      <w:r>
        <w:t xml:space="preserve"> jak i pojemnościowej,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napięcie znamionowe: 400V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częstotliwość znamionowa: 50Hz,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do sterowania układem kompensacji: pomiar napięcia i prądu z trzech faz,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zakres współczynnika mocy: od</w:t>
      </w:r>
      <w:r w:rsidR="00044486">
        <w:t xml:space="preserve"> -</w:t>
      </w:r>
      <w:r>
        <w:t xml:space="preserve">1 do +1,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stopień ochrony IP min. IP31,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 w:rsidR="00044486">
        <w:t xml:space="preserve"> temperatura otoczenia: od -10°C do</w:t>
      </w:r>
      <w:r>
        <w:t xml:space="preserve"> + 40°C, </w:t>
      </w:r>
    </w:p>
    <w:p w:rsidR="00BB0CD8" w:rsidRDefault="00BB0CD8" w:rsidP="00BB0CD8">
      <w:pPr>
        <w:spacing w:line="276" w:lineRule="auto"/>
        <w:ind w:left="502"/>
        <w:jc w:val="both"/>
      </w:pPr>
      <w:r>
        <w:sym w:font="Symbol" w:char="F0BE"/>
      </w:r>
      <w:r>
        <w:t xml:space="preserve"> automatyczna wentylacja: termostat + wentylatory</w:t>
      </w:r>
    </w:p>
    <w:p w:rsidR="00BB0CD8" w:rsidRPr="00C32241" w:rsidRDefault="00BB0CD8" w:rsidP="00BB0CD8">
      <w:pPr>
        <w:spacing w:line="276" w:lineRule="auto"/>
        <w:ind w:left="502"/>
        <w:jc w:val="both"/>
        <w:rPr>
          <w:bCs/>
          <w:sz w:val="22"/>
          <w:szCs w:val="22"/>
        </w:rPr>
      </w:pPr>
    </w:p>
    <w:p w:rsidR="004454D7" w:rsidRPr="00C32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Zamawiający </w:t>
      </w:r>
      <w:r w:rsidR="00BB644B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dopuszcza </w:t>
      </w: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składani</w:t>
      </w:r>
      <w:r w:rsidR="00BB644B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ofert częściowych</w:t>
      </w:r>
      <w:r w:rsidR="006F04AF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32241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4D7" w:rsidRPr="00C32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Zamawiający zastrzega sobie prawo unieważnienia postępowania bez podania przyczyny</w:t>
      </w:r>
      <w:r w:rsidR="006F04AF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32241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302E" w:rsidRPr="00C32241" w:rsidRDefault="0019302E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Ocena ofert</w:t>
      </w:r>
      <w:r w:rsidR="004454D7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</w:t>
      </w:r>
      <w:r w:rsidRPr="00CC5704">
        <w:rPr>
          <w:rFonts w:ascii="Times New Roman" w:hAnsi="Times New Roman"/>
          <w:sz w:val="24"/>
          <w:szCs w:val="24"/>
        </w:rPr>
        <w:t>% cena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40 % gwarancja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gdzie: 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lata gwarancji – 10 pkt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lata gwarancji – 20 pkt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i więcej lat gwarancji  - 30 pkt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punktów obliczana wg. wzoru: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pkt = 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60)</m:t>
        </m:r>
      </m:oMath>
      <w:r>
        <w:rPr>
          <w:rFonts w:ascii="Times New Roman" w:hAnsi="Times New Roman"/>
          <w:sz w:val="24"/>
          <w:szCs w:val="24"/>
        </w:rPr>
        <w:t xml:space="preserve"> + G 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– łączna ilość punktów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Cmin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BD535B">
        <w:rPr>
          <w:rFonts w:ascii="Times New Roman" w:hAnsi="Times New Roman"/>
          <w:sz w:val="24"/>
          <w:szCs w:val="24"/>
        </w:rPr>
        <w:t>najniższa cen</w:t>
      </w:r>
      <w:r>
        <w:rPr>
          <w:rFonts w:ascii="Times New Roman" w:hAnsi="Times New Roman"/>
          <w:sz w:val="24"/>
          <w:szCs w:val="24"/>
        </w:rPr>
        <w:t xml:space="preserve">a spośród nieodrzuconych ofert 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– </w:t>
      </w:r>
      <w:r w:rsidRPr="00BD535B">
        <w:rPr>
          <w:rFonts w:ascii="Times New Roman" w:hAnsi="Times New Roman"/>
          <w:sz w:val="24"/>
          <w:szCs w:val="24"/>
        </w:rPr>
        <w:t>cena ocenianej oferty</w:t>
      </w:r>
    </w:p>
    <w:p w:rsidR="00B616F6" w:rsidRDefault="00B616F6" w:rsidP="00B616F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– punkty za gwarancje </w:t>
      </w:r>
    </w:p>
    <w:p w:rsidR="00545162" w:rsidRPr="00C32241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45162" w:rsidRPr="00C32241" w:rsidRDefault="00545162" w:rsidP="000A1241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Wadium</w:t>
      </w:r>
    </w:p>
    <w:p w:rsidR="00F6607B" w:rsidRPr="00C32241" w:rsidRDefault="00545162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>Zamawiający nie wymaga wniesienia wadium.</w:t>
      </w:r>
    </w:p>
    <w:p w:rsidR="00CE39DE" w:rsidRPr="00C32241" w:rsidRDefault="00CE39DE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</w:p>
    <w:p w:rsidR="00807460" w:rsidRPr="00C32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807460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posób komunikacji</w:t>
      </w: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7F83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osoby</w:t>
      </w:r>
      <w:r w:rsidR="00327F83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uprawnione do kontaktów z </w:t>
      </w:r>
      <w:r w:rsidR="006F04AF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</w:t>
      </w:r>
      <w:r w:rsidR="00327F83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ykonawcami:</w:t>
      </w:r>
    </w:p>
    <w:p w:rsidR="00327F83" w:rsidRPr="00C32241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7F83" w:rsidRPr="00C32241" w:rsidRDefault="00480091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>Michał Gruszczyński</w:t>
      </w:r>
      <w:r w:rsidR="00260CED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F83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- tel. </w:t>
      </w:r>
      <w:r w:rsidR="00260CED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52 585 </w:t>
      </w:r>
      <w:r w:rsidRPr="00C32241">
        <w:rPr>
          <w:rFonts w:ascii="Times New Roman" w:hAnsi="Times New Roman"/>
          <w:color w:val="000000" w:themeColor="text1"/>
          <w:sz w:val="24"/>
          <w:szCs w:val="24"/>
        </w:rPr>
        <w:t>9486</w:t>
      </w:r>
      <w:r w:rsidR="00327F83" w:rsidRPr="00C32241">
        <w:rPr>
          <w:rFonts w:ascii="Times New Roman" w:hAnsi="Times New Roman"/>
          <w:color w:val="000000" w:themeColor="text1"/>
          <w:sz w:val="24"/>
          <w:szCs w:val="24"/>
        </w:rPr>
        <w:t>, e-mail</w:t>
      </w:r>
      <w:r w:rsidR="00545162" w:rsidRPr="00C3224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7F83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2241">
        <w:rPr>
          <w:rFonts w:ascii="Times New Roman" w:hAnsi="Times New Roman"/>
          <w:color w:val="000000" w:themeColor="text1"/>
          <w:sz w:val="24"/>
          <w:szCs w:val="24"/>
        </w:rPr>
        <w:t>michal.gruszczynski</w:t>
      </w:r>
      <w:r w:rsidR="00260CED" w:rsidRPr="00C32241">
        <w:rPr>
          <w:rFonts w:ascii="Times New Roman" w:hAnsi="Times New Roman"/>
          <w:color w:val="000000" w:themeColor="text1"/>
          <w:sz w:val="24"/>
          <w:szCs w:val="24"/>
        </w:rPr>
        <w:t>@um.bydgoszcz.pl</w:t>
      </w:r>
    </w:p>
    <w:p w:rsidR="00807460" w:rsidRPr="00C32241" w:rsidRDefault="00807460" w:rsidP="00807460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CAC" w:rsidRPr="00C32241" w:rsidRDefault="00B51CAC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Termin składania ofert </w:t>
      </w:r>
      <w:r w:rsidR="006D7ACB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wskazany jest na platformie zakupowej Open </w:t>
      </w:r>
      <w:proofErr w:type="spellStart"/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Nexus</w:t>
      </w:r>
      <w:proofErr w:type="spellEnd"/>
      <w:r w:rsidR="006D7ACB"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384E" w:rsidRPr="00C32241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DE6" w:rsidRPr="00C32241" w:rsidRDefault="00D96DE6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32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Informacje dodatkowe</w:t>
      </w:r>
    </w:p>
    <w:p w:rsidR="00D96DE6" w:rsidRPr="00C32241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>- w toku badania i oceny ofert Zamawiający może żądać od oferentów wyjaśnień</w:t>
      </w:r>
    </w:p>
    <w:p w:rsidR="00D96DE6" w:rsidRPr="00C32241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>dotyczących treści złożonych ofert, uzupełnienia treści oferty</w:t>
      </w:r>
      <w:r w:rsidR="00F5652E" w:rsidRPr="00C322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5652E" w:rsidRPr="00C32241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652E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Zamawiający odrzuci ofertę Wykonawcy, który nie złożył wyjaśnień, nie złoży ich </w:t>
      </w:r>
      <w:r w:rsidR="008F2132" w:rsidRPr="00C32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w wyznaczonym do tego terminie lub jeżeli dokonana ocena wyjaśnień wraz </w:t>
      </w:r>
      <w:r w:rsidR="00CE39DE" w:rsidRPr="00C32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z dostarczonymi dowodami potwierdza, że oferta zawiera rażąco niską cenę w stosunku </w:t>
      </w:r>
      <w:r w:rsidR="00CE39DE" w:rsidRPr="00C32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32241">
        <w:rPr>
          <w:rFonts w:ascii="Times New Roman" w:hAnsi="Times New Roman"/>
          <w:color w:val="000000" w:themeColor="text1"/>
          <w:sz w:val="24"/>
          <w:szCs w:val="24"/>
        </w:rPr>
        <w:t>do przedmiotu zamówienia. Obowiązek wykazania, że oferta nie zawiera ra</w:t>
      </w:r>
      <w:r w:rsidRPr="00C32241">
        <w:rPr>
          <w:rFonts w:ascii="Times New Roman" w:hAnsi="Times New Roman"/>
          <w:color w:val="000000" w:themeColor="text1"/>
          <w:sz w:val="24"/>
          <w:szCs w:val="24"/>
        </w:rPr>
        <w:t>żąco niskiej ceny, spoczywa na W</w:t>
      </w:r>
      <w:r w:rsidR="00F5652E" w:rsidRPr="00C32241">
        <w:rPr>
          <w:rFonts w:ascii="Times New Roman" w:hAnsi="Times New Roman"/>
          <w:color w:val="000000" w:themeColor="text1"/>
          <w:sz w:val="24"/>
          <w:szCs w:val="24"/>
        </w:rPr>
        <w:t>ykonawcy.</w:t>
      </w:r>
    </w:p>
    <w:p w:rsidR="00F5652E" w:rsidRPr="00C32241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>Zamawiający zastrzega sobie prawo do:</w:t>
      </w:r>
    </w:p>
    <w:p w:rsidR="00F5652E" w:rsidRPr="00C32241" w:rsidRDefault="00FC317D" w:rsidP="00FC317D">
      <w:pPr>
        <w:ind w:left="765"/>
        <w:jc w:val="both"/>
        <w:rPr>
          <w:color w:val="000000" w:themeColor="text1"/>
        </w:rPr>
      </w:pPr>
      <w:r w:rsidRPr="00C32241">
        <w:rPr>
          <w:color w:val="000000" w:themeColor="text1"/>
        </w:rPr>
        <w:t xml:space="preserve">- </w:t>
      </w:r>
      <w:r w:rsidR="00F5652E" w:rsidRPr="00C32241">
        <w:rPr>
          <w:color w:val="000000" w:themeColor="text1"/>
        </w:rPr>
        <w:t>zmiany lub odwołania niniejszego ogłoszenia,</w:t>
      </w:r>
    </w:p>
    <w:p w:rsidR="00F5652E" w:rsidRPr="00C32241" w:rsidRDefault="00FC317D" w:rsidP="00CE5C27">
      <w:pPr>
        <w:ind w:left="765"/>
        <w:jc w:val="both"/>
        <w:rPr>
          <w:color w:val="000000" w:themeColor="text1"/>
        </w:rPr>
      </w:pPr>
      <w:r w:rsidRPr="00C32241">
        <w:rPr>
          <w:color w:val="000000" w:themeColor="text1"/>
        </w:rPr>
        <w:t xml:space="preserve">- </w:t>
      </w:r>
      <w:r w:rsidR="00F5652E" w:rsidRPr="00C32241">
        <w:rPr>
          <w:color w:val="000000" w:themeColor="text1"/>
        </w:rPr>
        <w:t>zmiany warunków lub terminów prowadzonego postępowania ofertowego,</w:t>
      </w:r>
    </w:p>
    <w:p w:rsidR="00FC317D" w:rsidRPr="00C32241" w:rsidRDefault="00FC317D" w:rsidP="00FC317D">
      <w:pPr>
        <w:ind w:left="765"/>
        <w:jc w:val="both"/>
        <w:rPr>
          <w:color w:val="000000" w:themeColor="text1"/>
        </w:rPr>
      </w:pPr>
      <w:r w:rsidRPr="00C32241">
        <w:rPr>
          <w:color w:val="000000" w:themeColor="text1"/>
        </w:rPr>
        <w:t xml:space="preserve">- </w:t>
      </w:r>
      <w:r w:rsidR="00F5652E" w:rsidRPr="00C32241">
        <w:rPr>
          <w:color w:val="000000" w:themeColor="text1"/>
        </w:rPr>
        <w:t>pozostawienia postępowania bez wyboru oferty,</w:t>
      </w:r>
      <w:r w:rsidRPr="00C32241">
        <w:rPr>
          <w:color w:val="000000" w:themeColor="text1"/>
        </w:rPr>
        <w:t xml:space="preserve"> </w:t>
      </w:r>
    </w:p>
    <w:p w:rsidR="00F5652E" w:rsidRPr="00C32241" w:rsidRDefault="00F5652E" w:rsidP="00FC317D">
      <w:pPr>
        <w:ind w:left="765"/>
        <w:jc w:val="both"/>
        <w:rPr>
          <w:color w:val="000000" w:themeColor="text1"/>
        </w:rPr>
      </w:pPr>
      <w:r w:rsidRPr="00C32241">
        <w:rPr>
          <w:color w:val="000000" w:themeColor="text1"/>
        </w:rPr>
        <w:t>bez ponoszenia jakichkolwiek skutków prawnych i finansowych.</w:t>
      </w:r>
      <w:r w:rsidRPr="00C32241">
        <w:rPr>
          <w:color w:val="000000" w:themeColor="text1"/>
        </w:rPr>
        <w:cr/>
      </w:r>
    </w:p>
    <w:p w:rsidR="009924B8" w:rsidRPr="00C32241" w:rsidRDefault="002B384E" w:rsidP="00260CED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modyfikacji przedmiotu zamówienia w wyniku konsultacji przeprowadzonych z Wykonawcą, które będą miały wpływ na jakość realizacji </w:t>
      </w:r>
      <w:r w:rsidR="00CE39DE" w:rsidRPr="00C322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32241">
        <w:rPr>
          <w:rFonts w:ascii="Times New Roman" w:hAnsi="Times New Roman"/>
          <w:color w:val="000000" w:themeColor="text1"/>
          <w:sz w:val="24"/>
          <w:szCs w:val="24"/>
        </w:rPr>
        <w:t>i jakość przedmiotu zamówienia.</w:t>
      </w:r>
    </w:p>
    <w:p w:rsidR="00B347C1" w:rsidRPr="00C32241" w:rsidRDefault="00480091" w:rsidP="00CE5C27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241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przeprowadzenia negocjacji po zakończeniu składania ofert.</w:t>
      </w:r>
    </w:p>
    <w:p w:rsidR="00CE5C27" w:rsidRPr="00C32241" w:rsidRDefault="00CE5C27" w:rsidP="00CE5C27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E5C27" w:rsidRPr="00C32241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5B73DA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16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616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C6715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C67153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1DE4D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A925180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616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0CD2"/>
    <w:multiLevelType w:val="hybridMultilevel"/>
    <w:tmpl w:val="FF74D19C"/>
    <w:lvl w:ilvl="0" w:tplc="FD88005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0051"/>
    <w:multiLevelType w:val="hybridMultilevel"/>
    <w:tmpl w:val="E5C4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D4276"/>
    <w:multiLevelType w:val="hybridMultilevel"/>
    <w:tmpl w:val="5E205628"/>
    <w:lvl w:ilvl="0" w:tplc="D486AC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C331089"/>
    <w:multiLevelType w:val="hybridMultilevel"/>
    <w:tmpl w:val="5A1C3E9C"/>
    <w:lvl w:ilvl="0" w:tplc="2DAEB332">
      <w:start w:val="1"/>
      <w:numFmt w:val="bullet"/>
      <w:lvlText w:val="­"/>
      <w:lvlJc w:val="left"/>
      <w:pPr>
        <w:ind w:left="929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486"/>
    <w:rsid w:val="000448C5"/>
    <w:rsid w:val="00047FA2"/>
    <w:rsid w:val="00053E6B"/>
    <w:rsid w:val="000736ED"/>
    <w:rsid w:val="00076456"/>
    <w:rsid w:val="000775F8"/>
    <w:rsid w:val="00083B97"/>
    <w:rsid w:val="00085A1A"/>
    <w:rsid w:val="00086502"/>
    <w:rsid w:val="000942F5"/>
    <w:rsid w:val="00097899"/>
    <w:rsid w:val="00097A5D"/>
    <w:rsid w:val="000A1241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2432"/>
    <w:rsid w:val="000E5C43"/>
    <w:rsid w:val="000E6B01"/>
    <w:rsid w:val="000E7C65"/>
    <w:rsid w:val="000E7DC3"/>
    <w:rsid w:val="0010100B"/>
    <w:rsid w:val="0011140C"/>
    <w:rsid w:val="00111F00"/>
    <w:rsid w:val="00112E02"/>
    <w:rsid w:val="00121DEF"/>
    <w:rsid w:val="00130C89"/>
    <w:rsid w:val="00135A9B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60CED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16F7F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D4ACC"/>
    <w:rsid w:val="003E2ADA"/>
    <w:rsid w:val="003E6407"/>
    <w:rsid w:val="003E7FED"/>
    <w:rsid w:val="0041035C"/>
    <w:rsid w:val="00417182"/>
    <w:rsid w:val="00437723"/>
    <w:rsid w:val="004454D7"/>
    <w:rsid w:val="00454A0F"/>
    <w:rsid w:val="00462094"/>
    <w:rsid w:val="00480091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2A98"/>
    <w:rsid w:val="005850A2"/>
    <w:rsid w:val="00596D07"/>
    <w:rsid w:val="00597CCE"/>
    <w:rsid w:val="005A7140"/>
    <w:rsid w:val="005B2628"/>
    <w:rsid w:val="005B73DA"/>
    <w:rsid w:val="005C3FAD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A7455"/>
    <w:rsid w:val="006B26D6"/>
    <w:rsid w:val="006B4FAA"/>
    <w:rsid w:val="006C1A07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3161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8746F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E306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45F2C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D6CEA"/>
    <w:rsid w:val="008E5A36"/>
    <w:rsid w:val="008E620C"/>
    <w:rsid w:val="008E7891"/>
    <w:rsid w:val="008F2132"/>
    <w:rsid w:val="008F37DB"/>
    <w:rsid w:val="00906775"/>
    <w:rsid w:val="00906EC7"/>
    <w:rsid w:val="00911727"/>
    <w:rsid w:val="00911FF0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54C2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8448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09EB"/>
    <w:rsid w:val="00A5110F"/>
    <w:rsid w:val="00A579B2"/>
    <w:rsid w:val="00A63983"/>
    <w:rsid w:val="00A6649C"/>
    <w:rsid w:val="00A67063"/>
    <w:rsid w:val="00A6738D"/>
    <w:rsid w:val="00A70CEB"/>
    <w:rsid w:val="00A92362"/>
    <w:rsid w:val="00A97680"/>
    <w:rsid w:val="00AA43A8"/>
    <w:rsid w:val="00AA56E3"/>
    <w:rsid w:val="00AB3E45"/>
    <w:rsid w:val="00AD2E31"/>
    <w:rsid w:val="00AD2FE3"/>
    <w:rsid w:val="00AE26BB"/>
    <w:rsid w:val="00AE37B7"/>
    <w:rsid w:val="00AF13FA"/>
    <w:rsid w:val="00AF471F"/>
    <w:rsid w:val="00AF58EC"/>
    <w:rsid w:val="00B038A7"/>
    <w:rsid w:val="00B04FA1"/>
    <w:rsid w:val="00B12F37"/>
    <w:rsid w:val="00B20F60"/>
    <w:rsid w:val="00B21979"/>
    <w:rsid w:val="00B2265A"/>
    <w:rsid w:val="00B2406A"/>
    <w:rsid w:val="00B2631E"/>
    <w:rsid w:val="00B34526"/>
    <w:rsid w:val="00B347C1"/>
    <w:rsid w:val="00B3643A"/>
    <w:rsid w:val="00B4103F"/>
    <w:rsid w:val="00B44F1A"/>
    <w:rsid w:val="00B4659B"/>
    <w:rsid w:val="00B51CAC"/>
    <w:rsid w:val="00B524C5"/>
    <w:rsid w:val="00B532CF"/>
    <w:rsid w:val="00B566E6"/>
    <w:rsid w:val="00B615CB"/>
    <w:rsid w:val="00B616F6"/>
    <w:rsid w:val="00B65D9B"/>
    <w:rsid w:val="00B660E9"/>
    <w:rsid w:val="00B66497"/>
    <w:rsid w:val="00B70DAA"/>
    <w:rsid w:val="00B71891"/>
    <w:rsid w:val="00B840D5"/>
    <w:rsid w:val="00B86CDE"/>
    <w:rsid w:val="00B9345E"/>
    <w:rsid w:val="00B96892"/>
    <w:rsid w:val="00BA2803"/>
    <w:rsid w:val="00BA4B0A"/>
    <w:rsid w:val="00BB0CD8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241"/>
    <w:rsid w:val="00C46FE1"/>
    <w:rsid w:val="00C50A4A"/>
    <w:rsid w:val="00C50F60"/>
    <w:rsid w:val="00C55204"/>
    <w:rsid w:val="00C55F14"/>
    <w:rsid w:val="00C61598"/>
    <w:rsid w:val="00C62B47"/>
    <w:rsid w:val="00C63DAF"/>
    <w:rsid w:val="00C67153"/>
    <w:rsid w:val="00C745FE"/>
    <w:rsid w:val="00C84649"/>
    <w:rsid w:val="00C85C14"/>
    <w:rsid w:val="00C86203"/>
    <w:rsid w:val="00C90778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9DE"/>
    <w:rsid w:val="00CE5C27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6336E"/>
    <w:rsid w:val="00D7099E"/>
    <w:rsid w:val="00D73C63"/>
    <w:rsid w:val="00D73DC0"/>
    <w:rsid w:val="00D81315"/>
    <w:rsid w:val="00D81497"/>
    <w:rsid w:val="00D841D3"/>
    <w:rsid w:val="00D85B0D"/>
    <w:rsid w:val="00D9104C"/>
    <w:rsid w:val="00D96DE6"/>
    <w:rsid w:val="00DB17AC"/>
    <w:rsid w:val="00DB3687"/>
    <w:rsid w:val="00DB72B3"/>
    <w:rsid w:val="00DC425B"/>
    <w:rsid w:val="00DC525F"/>
    <w:rsid w:val="00DD36AE"/>
    <w:rsid w:val="00DD66F4"/>
    <w:rsid w:val="00DE06C1"/>
    <w:rsid w:val="00DE3252"/>
    <w:rsid w:val="00DE4ADE"/>
    <w:rsid w:val="00DE6488"/>
    <w:rsid w:val="00DF055C"/>
    <w:rsid w:val="00DF2611"/>
    <w:rsid w:val="00DF34A5"/>
    <w:rsid w:val="00DF51DE"/>
    <w:rsid w:val="00E0333B"/>
    <w:rsid w:val="00E04C87"/>
    <w:rsid w:val="00E060AD"/>
    <w:rsid w:val="00E172EC"/>
    <w:rsid w:val="00E20A34"/>
    <w:rsid w:val="00E25D9A"/>
    <w:rsid w:val="00E32A1C"/>
    <w:rsid w:val="00E33018"/>
    <w:rsid w:val="00E3429B"/>
    <w:rsid w:val="00E37476"/>
    <w:rsid w:val="00E41658"/>
    <w:rsid w:val="00E418BA"/>
    <w:rsid w:val="00E42147"/>
    <w:rsid w:val="00E4487D"/>
    <w:rsid w:val="00E55F0C"/>
    <w:rsid w:val="00E602FA"/>
    <w:rsid w:val="00E66B0E"/>
    <w:rsid w:val="00E71A63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05A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CFC64C-D3A1-4E49-844E-7363107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86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00"/>
            <w:bottom w:val="none" w:sz="0" w:space="0" w:color="auto"/>
            <w:right w:val="single" w:sz="12" w:space="5" w:color="000000"/>
          </w:divBdr>
          <w:divsChild>
            <w:div w:id="183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FF26-109B-4B46-9CB8-F82F5C0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1298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14</cp:revision>
  <cp:lastPrinted>2022-09-12T08:10:00Z</cp:lastPrinted>
  <dcterms:created xsi:type="dcterms:W3CDTF">2024-03-14T09:46:00Z</dcterms:created>
  <dcterms:modified xsi:type="dcterms:W3CDTF">2024-06-27T08:40:00Z</dcterms:modified>
</cp:coreProperties>
</file>