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575819">
        <w:rPr>
          <w:rFonts w:ascii="Times New Roman" w:hAnsi="Times New Roman" w:cs="Times New Roman"/>
          <w:b/>
        </w:rPr>
        <w:t>011</w:t>
      </w:r>
      <w:r w:rsidRPr="00F168F8">
        <w:rPr>
          <w:rFonts w:ascii="Times New Roman" w:hAnsi="Times New Roman" w:cs="Times New Roman"/>
          <w:b/>
        </w:rPr>
        <w:t>/202</w:t>
      </w:r>
      <w:r w:rsidR="00800AE8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r w:rsidR="00800AE8">
        <w:rPr>
          <w:rFonts w:ascii="Times New Roman" w:hAnsi="Times New Roman" w:cs="Times New Roman"/>
          <w:b/>
        </w:rPr>
        <w:t>Aparat do znieczuleń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005F65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98435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4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35"/>
        <w:gridCol w:w="1417"/>
        <w:gridCol w:w="923"/>
        <w:gridCol w:w="1843"/>
      </w:tblGrid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* Wartość oferowana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800AE8" w:rsidRPr="00800AE8" w:rsidTr="00575819">
        <w:trPr>
          <w:trHeight w:val="2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8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B7C7F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Calibri" w:hAnsi="Calibri" w:cs="Calibri"/>
                <w:sz w:val="20"/>
                <w:szCs w:val="20"/>
              </w:rPr>
              <w:t>Stanowisko znieczulenia w polu MRI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Aparat przeznaczony do bezpiecznej pracy w środowisku rezonansu magnetycznego do min. 3 [T].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Aparat przystosowany do wentylacji dorosłych, dzieci, noworodków i wcześniaków.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Co najmniej 3 szuflady na akcesoria.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Podstawa jezdna z centralnym hamulcem i antystatycznymi kołami.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Ssak anestetyczny zasilany z sieci centralnej (powietrze).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Możliwość podłączenia butli zasilania awaryjnego w 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i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8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Zasilanie gazowe (O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, powietrze,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O) ze ściany (sieć centralna). Zasilanie ciśnieniem od min. 2,8 –  do min. 5,5 bar.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Wyświetlanie na ekranie aparatu zmierzonej wartości ciśnienia zasilania gazów.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Waga aparatu max. 15</w:t>
            </w: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Aparat przystosowany do zasilania 230 V, 50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Zasilanie awaryjne bateryjne lub akumulatorowe wbudowane w aparat, czas zasilania min. 90 [min].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Min. 3 dodatkowe gniazda elektryczne umieszczone na tylnej ścianie aparatu do zasilania innych urządzeń.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Wymagania podaży gazów</w:t>
            </w:r>
          </w:p>
        </w:tc>
      </w:tr>
      <w:tr w:rsidR="00800AE8" w:rsidRPr="00800AE8" w:rsidTr="0057581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 xml:space="preserve">Gniazdo kompatybilne z parownikami typu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Selectatec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, umożliwiające jednoczesne zamontowanie dwóch parowników. Blokada uniemożliwiająca podaż środków wziewnych z dwóch parowników jednocześnie.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 xml:space="preserve">W ofercie ujęty jeden parownik do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Sevofluranu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Aparat wyposażony w mechaniczne, rotametryczne przepływomierze dla tlenu, podtlenku azotu i powietrza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System automatycznego utrzymania minimalnego stężenia 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w mieszaninie oddechowej z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 na poziomie min.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Wymagania układu oddechowego</w:t>
            </w:r>
          </w:p>
        </w:tc>
      </w:tr>
      <w:tr w:rsidR="00800AE8" w:rsidRPr="00800AE8" w:rsidTr="00575819">
        <w:trPr>
          <w:trHeight w:val="6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Możliwość sterylizacji układu oddechowego.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Układ oddechowy wykonany z metalu lub stopu metalu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Wszystkie elementy układu oddechowego pozbawione lateksu.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Układ oddechowy podgrzewany.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Obejście tlenowe o dużej wydajności, min. 35 l/min.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Eliminacja gazów anestetycznych poza salę operacyjną.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Regulowana ciśnieniowa zastawka bezpieczeństwa APL.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Rozdzielony układ dopływu świeżych gazów, poprzez zawór jednokierunkowy, eliminujący wpływ podaży świeżych gazów na objętość oddechową i ciśnienie w drogach oddechowych.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Pochłaniacz CO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o obudowie przeziernej i pojemności min. 1,7 [l]. Możliwość użycia jednorazowych pochłaniaczy CO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Możliwość wymiany zbiornika z wapnem w trakcie operacji bez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rozszczelniania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układu oddechowego.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Wymagane cechy respiratora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Pneumatyczny napęd respiratora.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Praca respiratora sterowana elektronicznie.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Maksymalny przepływ wdechowy osiągany przez aparat: min. 170 l/min.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Prowadzenie wentylacji ręcznej.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PSV - oddech spontaniczny z PS.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Synchronizowana przerywana wentylacja wymuszona kontrolowana objętościowo.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Synchronizowana przerywana wentylacja wymuszona kontrolowana ciśnieniowo.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IMV - wentylacja wymuszona kontrolowana objętościowo z ustawianym limitem max. Ciśnienia.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PCV - wentylacja wymuszona kontrolowana ciśnieniowo.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Funkcja ustawienia gwarantowanej objętości dla wentylacji ciśnieniowej.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Wentylacja PCV z docelową objętością z</w:t>
            </w:r>
            <w:r w:rsidRPr="00800A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możliwością ustawienia objętości pojedynczego oddechu &lt; 4 ml.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Tak – 10 pkt.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– 0 pkt.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Wstępne ustawianie parametrów wentylacji na podstawie IBW.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Wyzwalacz przepływowy z regulacją czułości.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zakres czułości wyzwalacza przepływowego przy SIMV, min. 0,5 do 10,0 [l/min]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Regulacja PS w zakresie min.: od 10 do 55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reg. stosunku wdechu do wydechu: minimum 4:1 do 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reg. częstości oddechu minimum od 5 do 95 1/min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zakres objętości oddechowej dla wentylacji objętościowej, min. od 5 [ml] do 1550 [ml]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Zakres PEEP, min. od 1 do 20 [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].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Regulacja poziomu PEEP płynna lub skokowa ze skokiem max. 1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mbar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zakres Plateau wdechu, min. od 10 do 50% czasu wdechu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Możliwość rozbudowy aparatu o tryb wentylacji w krążeniu pozaustrojowym HLM/CBM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Tak – 10 pkt.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– 0 pkt.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Alarmy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Min. 3 poziomy hierarchii alarmów.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Alarm bezdechu.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Alarm rozłączenia pacjenta.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Alarm awarii zasilania w gazy.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Alarm maksymalnego ciśnienia wdechowego.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Alarm dolny i górny objętości minutowej.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>Alarm dolny wydechowej objętości oddechowej.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Funkcja automatycznego ustawienia granic alarmowych.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Czujnik natężenia pola magnetycznego pozwalający na monitorowanie położenia aparatu względem pola MRI. Akustyczna sygnalizacja znalezienia się aparatu w zbyt silnym polu magnetycznym.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Aparat z dwoma czujnikami pola magnetycznego – 10 pkt.</w:t>
            </w:r>
          </w:p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Spełnienie wymagań – 0 pkt.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Możliwość wyciszenia alarmów na min. 2 minuty.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Możliwość wyłączenia alarmów pacjenta na min. 6 min podczas wentylacji ręcznej/spontanicznej (np. przy wprowadzaniu pacjenta w sedację)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Wymagane pomiary i obrazowanie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Trendy tabelaryczne oraz graficzne mierzonych parametrów.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Pojedynczy ekran kolorowy typu TFT o przekątnej min. 12 cali. Jednoczesne wyświetlanie nastaw i mierzonych parametrów.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Możliwość obsługi aparatu poprzez ekran dotykowy, przyciski i pokrętła.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 wypadku awarii ekranu dotykowego całkowita obsługa aparatu możliwa za pomocą pokrętła i przycisków.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Jednoczesna prezentacja min. 4 krzywych dynamicznych na ekranie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Automatyczne oznaczenie oddechów wyzwolonych przez pacjenta na wyświetlanych krzywych dynamicznych.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Prezentacja krzywej ciśnienia w drogach oddechowych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Prezentacja krzywej przepływu w drogach oddechowych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Czujnik przepływu typu „hot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wire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” (anemometr z gorącym drutem) umożliwiający dokładne pomiary.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Prezentacja krzywej objętości w drogach oddechowych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Prezentacja krzywych stężenia gazów min. CO2, N2O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Dowolne konfigurowanie kolejności wyświetlanych krzywych na ekranie monitora.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Pomiar stężenia gazów anestetycznych na wdechu i wydechu min.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Halotan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Enfluran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Izofluran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Sevofluran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Automatyczne rozpoznawanie używanego anestetyku wziewnego.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Pomiar objętości min.: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Vte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, minutowej MV,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Vti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Pomiar ciśnień, min.: szczytowego, średniego, Plateau, PEEP.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Pomiar dodatkowych parametrów: min. C20/C, oporu, podatność statyczna/dynamiczna.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Możliwość konfiguracji zmierzonych danych cyfrowych wyświetlanych na ekranie głównym respiratora.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Analiza MAC z uwzględnieniem wieku pacjenta.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Zaimplementowana funkcja stopera.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75819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Wyposażenie dodatkowe każdego aparatu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Przewody zasilania gazów z instalacji centralnej do 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,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O i powietrza min. 5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24 zestawy: pułapka woda + linia próbkująca dla pacjentów dorosłych i dzieci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10 zestawów: pułapka woda + linia próbkująca dla niemowląt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Jednorazowy z pojemnik na wapno sodowane min. 6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- jednorazowy obwód do znieczulenia w polu MRI dla dorosłych x 10 szt.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- jednorazowy obwód do znieczulenia w polu MRI dla dzieci x 10 szt.</w:t>
            </w:r>
          </w:p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- jednorazowy obwód do znieczulenia w polu MRI dla niemowląt x 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Zestaw akcesoriów do odprowadzania gazów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poanestetycznych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  <w:b/>
                <w:bCs/>
              </w:rPr>
              <w:t>Monitor pacjenta pracujący w środowisku MRI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System monitorowania pacjentów przeznaczony do pracy w środowisku rezonansu magnetycznego z aparatami o natężeniu pola magnetycznego do 3 Tesli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7E3140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Konstrukcja kolumnowa – ekran monitora trwale zintegrowany z podstawą jezdną wyposażoną w wbudowane moduły połączeń pacjenta i zasilaczem ładującym wbudowany akumulator monitora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7E3140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Uchwyt ładujący czujniki SP0</w:t>
            </w:r>
            <w:r w:rsidRPr="00800AE8">
              <w:rPr>
                <w:rFonts w:ascii="Times New Roman" w:hAnsi="Times New Roman" w:cs="Times New Roman"/>
                <w:vertAlign w:val="subscript"/>
              </w:rPr>
              <w:t>2</w:t>
            </w:r>
            <w:r w:rsidRPr="00800AE8">
              <w:rPr>
                <w:rFonts w:ascii="Times New Roman" w:hAnsi="Times New Roman" w:cs="Times New Roman"/>
              </w:rPr>
              <w:t xml:space="preserve"> i EKG wbudowany z tyłu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800AE8" w:rsidRDefault="00800AE8" w:rsidP="00575819">
            <w:pPr>
              <w:spacing w:after="0" w:line="240" w:lineRule="auto"/>
              <w:jc w:val="center"/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TAK – 5 pkt</w:t>
            </w:r>
          </w:p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napięcia roboczego 100 - 240 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7A287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Temperatura przechowywania i transportu: od -40°C do 70°C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7A287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Konstrukcja modułowa umożliwiająca instalację dodatkowych modułów pomiarowych w przyszłości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800AE8" w:rsidRDefault="00800AE8" w:rsidP="00575819">
            <w:pPr>
              <w:spacing w:after="0" w:line="240" w:lineRule="auto"/>
              <w:jc w:val="center"/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TAK – 5 pkt</w:t>
            </w:r>
          </w:p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Klasyfikacja zgodnie ze stopniem ochrony przed szkodliwym przedostawaniem się wody lub cząstek stałych: IPX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Wizualna i dźwiękowa sygnalizacja aktywnych alarmów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Sterowanie za pomocą pokrętła nawigacyjnego lub ekranu dotykowego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575819" w:rsidRPr="00800AE8" w:rsidTr="00575819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19" w:rsidRPr="00800AE8" w:rsidRDefault="00575819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19" w:rsidRPr="00575819" w:rsidRDefault="00575819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NIBP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Wielorazowe mankiety na rękę w wielu rozmiarach dla dorosłych i dzieci oraz noworodków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Dokładność ± 3 mmHg (ciśnienie statyczne)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pomiarowy dla dorosłych i pediatrii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SYS: 25 do 280 mmHg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DIA: 10 do 220 mmHg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MAP: 15 do 260 mmHg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pomiarowy dla noworodków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SYS: 20 do 150 mmHg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DIA: 5 do 110 mmHg</w:t>
            </w:r>
          </w:p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lastRenderedPageBreak/>
              <w:t>MAP:10 do 130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lastRenderedPageBreak/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575819" w:rsidRPr="00800AE8" w:rsidTr="00575819">
        <w:trPr>
          <w:trHeight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19" w:rsidRPr="00800AE8" w:rsidRDefault="00575819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19" w:rsidRPr="00575819" w:rsidRDefault="00575819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IBP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Prędkość przesuwu fali: 25 mm/s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Zasięg tętna 30 do 240 BPM (rozdzielczość: 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pomiarowy -99 do 310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Wielorazowy kabel do przetwornika IBP kompatybilny z Edwards/Baxter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3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Jednostki: </w:t>
            </w:r>
            <w:proofErr w:type="spellStart"/>
            <w:r w:rsidRPr="00800AE8">
              <w:rPr>
                <w:rFonts w:ascii="Times New Roman" w:hAnsi="Times New Roman" w:cs="Times New Roman"/>
              </w:rPr>
              <w:t>kPa</w:t>
            </w:r>
            <w:proofErr w:type="spellEnd"/>
            <w:r w:rsidRPr="00800AE8">
              <w:rPr>
                <w:rFonts w:ascii="Times New Roman" w:hAnsi="Times New Roman" w:cs="Times New Roman"/>
              </w:rPr>
              <w:t xml:space="preserve"> lub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575819" w:rsidRPr="00800AE8" w:rsidTr="00831FC9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19" w:rsidRPr="00800AE8" w:rsidRDefault="00575819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19" w:rsidRPr="00575819" w:rsidRDefault="00575819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SP0</w:t>
            </w:r>
            <w:r w:rsidRPr="00800AE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Metoda pomiarowa: pochłanianie światła czerwonego i podczerwonego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Komunikacja z monitorem: bezprzewodowo 2,4 GHz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Czas pracy akum</w:t>
            </w:r>
            <w:r w:rsidRPr="00800AE8">
              <w:rPr>
                <w:rFonts w:ascii="Times New Roman" w:hAnsi="Times New Roman" w:cs="Times New Roman"/>
              </w:rPr>
              <w:t>ulatora czujnika ≥ 7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Diody </w:t>
            </w:r>
            <w:proofErr w:type="spellStart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 sygnalizujące stan naładowania czujnika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Zasięg tętna 30 do 240 BPM (rozdzielczość: 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Wielorazowe </w:t>
            </w:r>
            <w:proofErr w:type="spellStart"/>
            <w:r w:rsidRPr="00800AE8">
              <w:rPr>
                <w:rFonts w:ascii="Times New Roman" w:hAnsi="Times New Roman" w:cs="Times New Roman"/>
              </w:rPr>
              <w:t>adptery</w:t>
            </w:r>
            <w:proofErr w:type="spellEnd"/>
            <w:r w:rsidRPr="00800AE8">
              <w:rPr>
                <w:rFonts w:ascii="Times New Roman" w:hAnsi="Times New Roman" w:cs="Times New Roman"/>
              </w:rPr>
              <w:t xml:space="preserve"> gumowe na palec w 3 rozmiarach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575819" w:rsidRPr="00800AE8" w:rsidTr="009C342F">
        <w:trPr>
          <w:trHeight w:val="3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19" w:rsidRPr="00800AE8" w:rsidRDefault="00575819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19" w:rsidRPr="00575819" w:rsidRDefault="00575819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EKG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Zasięg tętna 30 do 300 BPM (rozdzielczość: 1 BPM)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Bezprzewodowy czujnik EKG z kablem o wysokiej odporności; filtracja artefaktów gradientu MRI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Czas pracy akum</w:t>
            </w:r>
            <w:r w:rsidRPr="00800AE8">
              <w:rPr>
                <w:rFonts w:ascii="Times New Roman" w:hAnsi="Times New Roman" w:cs="Times New Roman"/>
              </w:rPr>
              <w:t>ulatora czujnika ≥ 7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Diody </w:t>
            </w:r>
            <w:proofErr w:type="spellStart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 sygnalizujące stan naładowania czujnika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Zestaw elektrod dedykowanych do MRI w 2 rozmiarach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575819" w:rsidRPr="00800AE8" w:rsidTr="009135CE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19" w:rsidRPr="00800AE8" w:rsidRDefault="00575819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19" w:rsidRPr="00575819" w:rsidRDefault="00575819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Dodatkowy zdalny monitor dotykowy do sterowni min. 15”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800AE8" w:rsidRDefault="00800AE8" w:rsidP="00575819">
            <w:pPr>
              <w:spacing w:after="0" w:line="240" w:lineRule="auto"/>
              <w:jc w:val="center"/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TAK – 5 pkt</w:t>
            </w:r>
          </w:p>
          <w:p w:rsidR="00800AE8" w:rsidRPr="00575819" w:rsidRDefault="00800AE8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Warunki stosowania monitora w środowisku MR: ≤ 20 </w:t>
            </w:r>
            <w:proofErr w:type="spellStart"/>
            <w:r w:rsidRPr="00800AE8">
              <w:rPr>
                <w:rFonts w:ascii="Times New Roman" w:hAnsi="Times New Roman" w:cs="Times New Roman"/>
              </w:rPr>
              <w:t>mT</w:t>
            </w:r>
            <w:proofErr w:type="spellEnd"/>
            <w:r w:rsidRPr="00800AE8">
              <w:rPr>
                <w:rFonts w:ascii="Times New Roman" w:hAnsi="Times New Roman" w:cs="Times New Roman"/>
              </w:rPr>
              <w:t xml:space="preserve"> / 200 Gaussów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Możliwe monitorowanie podczas ładowania monitora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Wbudowany miernik i wskaźnik pola magnetycznego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Default="00800AE8" w:rsidP="00575819">
            <w:pPr>
              <w:spacing w:after="0" w:line="240" w:lineRule="auto"/>
              <w:jc w:val="center"/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575819" w:rsidRDefault="00800AE8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9239C6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6" w:rsidRPr="00800AE8" w:rsidRDefault="009239C6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C6" w:rsidRPr="00800AE8" w:rsidRDefault="009239C6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C6">
              <w:rPr>
                <w:rFonts w:ascii="Times New Roman" w:hAnsi="Times New Roman" w:cs="Times New Roman"/>
              </w:rPr>
              <w:t>Monitor przystosowany do pracy w standardowej sieci Ethernet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6" w:rsidRPr="00601406" w:rsidRDefault="009239C6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C6" w:rsidRPr="00800AE8" w:rsidRDefault="009239C6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C6" w:rsidRPr="00575819" w:rsidRDefault="009239C6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</w:tbl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436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4FA4"/>
    <w:multiLevelType w:val="multilevel"/>
    <w:tmpl w:val="AEEC0A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9"/>
  </w:num>
  <w:num w:numId="8">
    <w:abstractNumId w:val="28"/>
  </w:num>
  <w:num w:numId="9">
    <w:abstractNumId w:val="32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29"/>
  </w:num>
  <w:num w:numId="20">
    <w:abstractNumId w:val="35"/>
  </w:num>
  <w:num w:numId="21">
    <w:abstractNumId w:val="30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5"/>
  </w:num>
  <w:num w:numId="36">
    <w:abstractNumId w:val="4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974CA"/>
    <w:rsid w:val="001C3752"/>
    <w:rsid w:val="001C392F"/>
    <w:rsid w:val="00210234"/>
    <w:rsid w:val="00210A18"/>
    <w:rsid w:val="002145D2"/>
    <w:rsid w:val="00215505"/>
    <w:rsid w:val="00247F6A"/>
    <w:rsid w:val="00255285"/>
    <w:rsid w:val="002751F3"/>
    <w:rsid w:val="00277B25"/>
    <w:rsid w:val="002F655D"/>
    <w:rsid w:val="003135F5"/>
    <w:rsid w:val="00325F36"/>
    <w:rsid w:val="003A251E"/>
    <w:rsid w:val="00406089"/>
    <w:rsid w:val="0043638C"/>
    <w:rsid w:val="0044471D"/>
    <w:rsid w:val="00463E07"/>
    <w:rsid w:val="004C169F"/>
    <w:rsid w:val="004E20D1"/>
    <w:rsid w:val="00536FFA"/>
    <w:rsid w:val="00542F2C"/>
    <w:rsid w:val="0055311B"/>
    <w:rsid w:val="00575819"/>
    <w:rsid w:val="005F71D6"/>
    <w:rsid w:val="006039C0"/>
    <w:rsid w:val="00653487"/>
    <w:rsid w:val="00685229"/>
    <w:rsid w:val="006D21A7"/>
    <w:rsid w:val="006E1AB8"/>
    <w:rsid w:val="006E6ADE"/>
    <w:rsid w:val="007111AE"/>
    <w:rsid w:val="00737723"/>
    <w:rsid w:val="00737FF1"/>
    <w:rsid w:val="00800AE8"/>
    <w:rsid w:val="00865C64"/>
    <w:rsid w:val="00872144"/>
    <w:rsid w:val="008825AC"/>
    <w:rsid w:val="008C57C1"/>
    <w:rsid w:val="009239C6"/>
    <w:rsid w:val="00984354"/>
    <w:rsid w:val="00995D36"/>
    <w:rsid w:val="009F16DD"/>
    <w:rsid w:val="00A26582"/>
    <w:rsid w:val="00A73D18"/>
    <w:rsid w:val="00B6068E"/>
    <w:rsid w:val="00B674FC"/>
    <w:rsid w:val="00C10D87"/>
    <w:rsid w:val="00C70D98"/>
    <w:rsid w:val="00CB2CD5"/>
    <w:rsid w:val="00CD1AB7"/>
    <w:rsid w:val="00D62407"/>
    <w:rsid w:val="00D82EB2"/>
    <w:rsid w:val="00D843B9"/>
    <w:rsid w:val="00D9697F"/>
    <w:rsid w:val="00DD4398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0463A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  <w:style w:type="character" w:customStyle="1" w:styleId="Nagwek2">
    <w:name w:val="Nagłówek #2_"/>
    <w:link w:val="Nagwek20"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AE8"/>
    <w:pPr>
      <w:widowControl w:val="0"/>
      <w:shd w:val="clear" w:color="auto" w:fill="FFFFFF"/>
      <w:spacing w:before="660" w:after="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0B8248-E8DC-408B-871D-D80B45AF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66</cp:revision>
  <cp:lastPrinted>2023-02-06T12:08:00Z</cp:lastPrinted>
  <dcterms:created xsi:type="dcterms:W3CDTF">2018-04-16T05:34:00Z</dcterms:created>
  <dcterms:modified xsi:type="dcterms:W3CDTF">2023-02-06T12:09:00Z</dcterms:modified>
</cp:coreProperties>
</file>