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00" w:type="dxa"/>
        <w:tblInd w:w="-15" w:type="dxa"/>
        <w:tblCellMar>
          <w:left w:w="70" w:type="dxa"/>
          <w:right w:w="70" w:type="dxa"/>
        </w:tblCellMar>
        <w:tblLook w:val="04A0"/>
      </w:tblPr>
      <w:tblGrid>
        <w:gridCol w:w="400"/>
        <w:gridCol w:w="3019"/>
        <w:gridCol w:w="459"/>
        <w:gridCol w:w="532"/>
        <w:gridCol w:w="1358"/>
        <w:gridCol w:w="999"/>
        <w:gridCol w:w="1278"/>
        <w:gridCol w:w="1140"/>
        <w:gridCol w:w="859"/>
        <w:gridCol w:w="1399"/>
        <w:gridCol w:w="957"/>
      </w:tblGrid>
      <w:tr w:rsidR="0066660D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8" w:type="dxa"/>
            <w:gridSpan w:val="2"/>
            <w:shd w:val="clear" w:color="auto" w:fill="auto"/>
            <w:vAlign w:val="bottom"/>
          </w:tcPr>
          <w:p w:rsidR="0066660D" w:rsidRDefault="002D38EB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1.7</w:t>
            </w:r>
            <w:r w:rsidR="008317D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300"/>
        </w:trPr>
        <w:tc>
          <w:tcPr>
            <w:tcW w:w="10042" w:type="dxa"/>
            <w:gridSpan w:val="9"/>
            <w:shd w:val="clear" w:color="auto" w:fill="auto"/>
            <w:vAlign w:val="bottom"/>
          </w:tcPr>
          <w:p w:rsidR="0066660D" w:rsidRDefault="002D38EB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7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hRule="exact" w:val="300"/>
        </w:trPr>
        <w:tc>
          <w:tcPr>
            <w:tcW w:w="3417" w:type="dxa"/>
            <w:gridSpan w:val="2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315"/>
        </w:trPr>
        <w:tc>
          <w:tcPr>
            <w:tcW w:w="676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66660D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jc w:val="center"/>
              <w:rPr>
                <w:rFonts w:ascii="Tahoma" w:eastAsia="Times New Roman" w:hAnsi="Tahoma" w:cs="Arial"/>
                <w:sz w:val="14"/>
                <w:szCs w:val="14"/>
                <w:lang w:eastAsia="pl-PL"/>
              </w:rPr>
            </w:pPr>
          </w:p>
        </w:tc>
      </w:tr>
      <w:tr w:rsidR="0066660D">
        <w:trPr>
          <w:trHeight w:val="197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Jednorazowy fartuch zabiegowy wzmocniony wykonany z przewiewnej </w:t>
            </w:r>
            <w:r>
              <w:rPr>
                <w:rFonts w:ascii="Tahoma" w:hAnsi="Tahoma"/>
                <w:sz w:val="14"/>
                <w:szCs w:val="14"/>
              </w:rPr>
              <w:t xml:space="preserve">włókniny polipropylenowej o gramaturze 35g/m2. Na mankietach i froncie znajduje się barierowe wzmocnienie foliowe o gramaturze 23g/m2. Zapinany na rzep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velco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przy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szyji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oraz wiązany trokami w pasie, posiada bawełniane ściągacze na mankietach. Długość 125cm, obwód 140cm. Opakowanie zbiorcze zawiera 100szt. fartuchów – dodatkowo podzielone na 10 opakowań foliowych. 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szt.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5000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>
        <w:trPr>
          <w:trHeight w:val="2270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P</w:t>
            </w:r>
            <w:r>
              <w:rPr>
                <w:rFonts w:ascii="Tahoma" w:hAnsi="Tahoma"/>
                <w:sz w:val="14"/>
                <w:szCs w:val="14"/>
              </w:rPr>
              <w:t xml:space="preserve">ętle do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polipektomii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>.</w:t>
            </w:r>
          </w:p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Wykonane z plecionego drutu; dostępne w wersji sztywnej, półsztywnej i miękkiej w zależności od rozmiaru i kształtu; posiadające wskazania do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polipektomii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zarówno na ciepło, jak i na zimno; kształty: owalny (średnica pętli 11, 13, 27 i 30 mm), okrągły (średnica pętli 10, 15, 20, 25 i 33 mm), półksiężycowy (średnica pętli 27 mm) i heksagonalny (średnica pętli 13 i 27 mm); długość robocza: 240 cm, średnica zewnętrzna osłonki: 2.4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mm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. Opakowanie zawiera 10szt. 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szt.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 w:rsidTr="008317D0">
        <w:trPr>
          <w:trHeight w:val="1125"/>
        </w:trPr>
        <w:tc>
          <w:tcPr>
            <w:tcW w:w="3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301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Klipsownica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z klipsem załadowanym do zestawu, jednorazowego użytku, bez osłonki, szerokość rozwarcia ramion klipsa 11mm lub 17mm do wyboru, możliwość kilkukrotnego otwarcia i zamknięcia ramion klipsa przed całkowitym uwolnieniem, płynna rotacja 1:1 (dwa sposoby rotacji – pokrętło do obsługi asystenta i możliwość rotacji przy kanale biopsyjnym przez lekarza), mechanizm blokujący klips, dostępne w długościach 155cm i 235cm, z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możliwościa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wykonania MRI (warunki podane w instrukcji obsługi), możliwość zastosowania do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klipsowania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profilaktycznego, wymagana średnica kanału endoskopowego 2.8mm.</w:t>
            </w:r>
          </w:p>
        </w:tc>
        <w:tc>
          <w:tcPr>
            <w:tcW w:w="4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5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39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 w:rsidTr="008317D0">
        <w:trPr>
          <w:trHeight w:val="581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lastRenderedPageBreak/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Tr</w:t>
            </w:r>
            <w:r>
              <w:rPr>
                <w:rFonts w:ascii="Tahoma" w:hAnsi="Tahoma"/>
                <w:sz w:val="14"/>
                <w:szCs w:val="14"/>
              </w:rPr>
              <w:t xml:space="preserve">ójstopniowy balon z wytrzymałego tworzywa o zmiennej średnicy (z prowadnikiem) do poszerzania zwężeń jelitowych oraz przełyku, odźwiernika i dróg żółciowych (DASE); kateter: długość 240 cm; średnica 7,5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Fr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; balon: długość 5.5 cm; średnice do wyboru: 6-8mm, 8-10mm, 10-12mm, 12-15mm, 15-18mm, 18-20mm, zaokrąglone brzegi pozwalające na endoskopową obserwacje miejsca poszerzania, dwa markery radiologiczne, na kateterze fluorescencyjna karta informująca o wymaganym ciśnieniu do uzyskania danych średnic. Produkt nie zawiera lateksu. 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 w:rsidTr="008317D0">
        <w:trPr>
          <w:trHeight w:val="581"/>
        </w:trPr>
        <w:tc>
          <w:tcPr>
            <w:tcW w:w="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Jednorazowy wysokociśnieniowy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inflator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z manometrem do pompowania balonów. Może być użyty do balonów hydrostatycznych. Zakres ciśnień 0 - 15 ATM.</w:t>
            </w: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proofErr w:type="spellStart"/>
            <w:r>
              <w:rPr>
                <w:rFonts w:ascii="Tahoma" w:hAnsi="Tahom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>
        <w:trPr>
          <w:trHeight w:val="581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6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Żel do podnoszenia zmian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podśluzówkowychŻel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błękitny do podnoszenia zmian stosowany przy zabiegach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mukozektomii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i ESD; zestaw gotowy do użycia; w komplecie dwie zabezpieczone strzykawki z żelem po 10ml oraz igła do aplikacji w osłonie przezroczystej o zwiększonej sztywności o średnicy 23G.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proofErr w:type="spellStart"/>
            <w:r>
              <w:rPr>
                <w:rFonts w:ascii="Tahoma" w:hAnsi="Tahom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>
        <w:trPr>
          <w:trHeight w:val="480"/>
        </w:trPr>
        <w:tc>
          <w:tcPr>
            <w:tcW w:w="8043" w:type="dxa"/>
            <w:gridSpan w:val="7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RAZEM: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8" w:type="dxa"/>
            <w:shd w:val="clear" w:color="auto" w:fill="auto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450"/>
        </w:trPr>
        <w:tc>
          <w:tcPr>
            <w:tcW w:w="6765" w:type="dxa"/>
            <w:gridSpan w:val="6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98" w:type="dxa"/>
            <w:gridSpan w:val="3"/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98" w:type="dxa"/>
            <w:gridSpan w:val="3"/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66660D" w:rsidRDefault="0066660D"/>
    <w:sectPr w:rsidR="0066660D" w:rsidSect="0066660D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20"/>
  <w:hyphenationZone w:val="425"/>
  <w:characterSpacingControl w:val="doNotCompress"/>
  <w:compat/>
  <w:rsids>
    <w:rsidRoot w:val="0066660D"/>
    <w:rsid w:val="002D38EB"/>
    <w:rsid w:val="0066660D"/>
    <w:rsid w:val="008317D0"/>
    <w:rsid w:val="00D9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E4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6660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6660D"/>
    <w:pPr>
      <w:spacing w:after="140"/>
    </w:pPr>
  </w:style>
  <w:style w:type="paragraph" w:styleId="Lista">
    <w:name w:val="List"/>
    <w:basedOn w:val="Tekstpodstawowy"/>
    <w:rsid w:val="0066660D"/>
    <w:rPr>
      <w:rFonts w:cs="Arial"/>
    </w:rPr>
  </w:style>
  <w:style w:type="paragraph" w:customStyle="1" w:styleId="Caption">
    <w:name w:val="Caption"/>
    <w:basedOn w:val="Normalny"/>
    <w:qFormat/>
    <w:rsid w:val="0066660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6660D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426</Words>
  <Characters>2562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Twardzik</dc:creator>
  <dc:description/>
  <cp:lastModifiedBy>kjar</cp:lastModifiedBy>
  <cp:revision>15</cp:revision>
  <cp:lastPrinted>2020-05-18T11:13:00Z</cp:lastPrinted>
  <dcterms:created xsi:type="dcterms:W3CDTF">2020-05-18T09:31:00Z</dcterms:created>
  <dcterms:modified xsi:type="dcterms:W3CDTF">2020-08-20T06:37:00Z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