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09B2" w14:textId="77777777" w:rsidR="00F00FB9" w:rsidRPr="00F00FB9" w:rsidRDefault="00F00FB9">
      <w:pPr>
        <w:rPr>
          <w:b/>
          <w:bCs/>
        </w:rPr>
      </w:pPr>
      <w:r w:rsidRPr="00F00FB9">
        <w:rPr>
          <w:b/>
          <w:bCs/>
        </w:rPr>
        <w:t xml:space="preserve">Dotyczy przetargu na usługę: Ubezpieczenia grupowego na życie pracowników Samodzielnego Publicznego Zespołu Zakładów Lecznictwa Otwartego Warszawa- Żoliborz oraz członków ich rodzin. </w:t>
      </w:r>
    </w:p>
    <w:p w14:paraId="0586B053" w14:textId="5479AABD" w:rsidR="00D46395" w:rsidRPr="00F00FB9" w:rsidRDefault="00F00FB9">
      <w:pPr>
        <w:rPr>
          <w:b/>
          <w:bCs/>
        </w:rPr>
      </w:pPr>
      <w:r w:rsidRPr="00F00FB9">
        <w:rPr>
          <w:b/>
          <w:bCs/>
        </w:rPr>
        <w:t>Numer referencyjny: 02/ZP/202</w:t>
      </w:r>
    </w:p>
    <w:p w14:paraId="43ABE540" w14:textId="3486A204" w:rsidR="00F00FB9" w:rsidRDefault="00F00FB9"/>
    <w:p w14:paraId="295055D7" w14:textId="2D8AB927" w:rsidR="00F00FB9" w:rsidRDefault="00F00FB9" w:rsidP="00F00FB9">
      <w:pPr>
        <w:pStyle w:val="Akapitzlist"/>
        <w:numPr>
          <w:ilvl w:val="0"/>
          <w:numId w:val="1"/>
        </w:numPr>
      </w:pPr>
      <w:r>
        <w:t xml:space="preserve">Wykonawca zwraca się z prośbą o podanie wysokości obsługi administracyjnej i kurtażu brokerskiego (w %). Informacja ta jest niezbędnym parametrem do prawidłowej wyceny programu ubezpieczenia, a zatem ustalenia wysokości składki. Wykonawca prosi również o potwierdzenie, że podana wysokość kosztów administracyjnych stanowi wartość brutto. </w:t>
      </w:r>
    </w:p>
    <w:p w14:paraId="41667562" w14:textId="77777777" w:rsidR="00F00FB9" w:rsidRDefault="00F00FB9" w:rsidP="00F00FB9">
      <w:pPr>
        <w:pStyle w:val="Akapitzlist"/>
      </w:pPr>
    </w:p>
    <w:p w14:paraId="5BA432C4" w14:textId="1C4BE2D0" w:rsidR="00F00FB9" w:rsidRDefault="00F00FB9" w:rsidP="00F00FB9">
      <w:pPr>
        <w:pStyle w:val="Akapitzlist"/>
      </w:pPr>
      <w:r w:rsidRPr="00F00FB9">
        <w:rPr>
          <w:b/>
          <w:bCs/>
        </w:rPr>
        <w:t>Odpowiedź :</w:t>
      </w:r>
      <w:r>
        <w:t xml:space="preserve"> 14% prowizja łączna, uwzględniająca obsługę administracyjną min. 7%.</w:t>
      </w:r>
      <w:r w:rsidRPr="00F00FB9">
        <w:t xml:space="preserve"> </w:t>
      </w:r>
      <w:r>
        <w:t>podana wysokość kosztów administracyjnych stanowi wartość brutto.</w:t>
      </w:r>
    </w:p>
    <w:p w14:paraId="4E2BBAEE" w14:textId="77777777" w:rsidR="00F00FB9" w:rsidRDefault="00F00FB9" w:rsidP="00F00FB9">
      <w:pPr>
        <w:pStyle w:val="Akapitzlist"/>
      </w:pPr>
    </w:p>
    <w:p w14:paraId="54CB7143" w14:textId="0B55BA64" w:rsidR="00F00FB9" w:rsidRDefault="00F00FB9" w:rsidP="00F00FB9">
      <w:pPr>
        <w:pStyle w:val="Akapitzlist"/>
        <w:numPr>
          <w:ilvl w:val="0"/>
          <w:numId w:val="1"/>
        </w:numPr>
      </w:pPr>
      <w:r>
        <w:t xml:space="preserve">Wykonawca zwraca się z prośba o potwierdzenie, że doszło do omyłki pisarskiej w tytule dokumentu: zamiast SPECYFIKACJA ISTOTNYCH WARUNKÓW ZAMÓWIENIA NA USŁUGĘ GRUPOWEGO UBEZPIECZENIA NA ŻYCIE powinno być SPECYFIKACJA WARUNKÓW ZAMÓWIENIA NA USŁUGĘ GRUPOWEGO UBEZPIECZENIA NA ŻYCIE </w:t>
      </w:r>
    </w:p>
    <w:p w14:paraId="72DC50C9" w14:textId="77777777" w:rsidR="00F00FB9" w:rsidRDefault="00F00FB9" w:rsidP="00F00FB9">
      <w:pPr>
        <w:pStyle w:val="Akapitzlist"/>
      </w:pPr>
    </w:p>
    <w:p w14:paraId="085DF1E1" w14:textId="091433A5" w:rsidR="00F00FB9" w:rsidRDefault="00F00FB9" w:rsidP="00F00FB9">
      <w:pPr>
        <w:pStyle w:val="Akapitzlist"/>
      </w:pPr>
      <w:r w:rsidRPr="00F00FB9">
        <w:rPr>
          <w:b/>
          <w:bCs/>
        </w:rPr>
        <w:t>Odpowiedź:</w:t>
      </w:r>
      <w:r>
        <w:t xml:space="preserve"> potwierdzamy</w:t>
      </w:r>
    </w:p>
    <w:p w14:paraId="670E07E5" w14:textId="77777777" w:rsidR="00F00FB9" w:rsidRDefault="00F00FB9" w:rsidP="00F00FB9">
      <w:pPr>
        <w:pStyle w:val="Akapitzlist"/>
      </w:pPr>
    </w:p>
    <w:p w14:paraId="7F94FF74" w14:textId="0356452B" w:rsidR="00F00FB9" w:rsidRDefault="00F00FB9" w:rsidP="00F00FB9">
      <w:pPr>
        <w:pStyle w:val="Akapitzlist"/>
        <w:numPr>
          <w:ilvl w:val="0"/>
          <w:numId w:val="1"/>
        </w:numPr>
      </w:pPr>
      <w:r>
        <w:t>Załącznik nr 3 do SWZ, § 2 ust. 2 - Wykonawca zwraca się z prośba o potwierdzenie, że doszło do omyłki pisarskiej: zamiast Specyfikacja Istotnych Warunków Zamówienia powinno być Specyfikacja Warunków Zamówienia</w:t>
      </w:r>
      <w:r>
        <w:t>.</w:t>
      </w:r>
    </w:p>
    <w:p w14:paraId="1FA82564" w14:textId="77777777" w:rsidR="00F00FB9" w:rsidRDefault="00F00FB9" w:rsidP="00F00FB9">
      <w:pPr>
        <w:pStyle w:val="Akapitzlist"/>
      </w:pPr>
    </w:p>
    <w:p w14:paraId="73C9FE4D" w14:textId="44301303" w:rsidR="00F00FB9" w:rsidRDefault="00F00FB9" w:rsidP="00F00FB9">
      <w:pPr>
        <w:pStyle w:val="Akapitzlist"/>
      </w:pPr>
      <w:r w:rsidRPr="00F00FB9">
        <w:rPr>
          <w:b/>
          <w:bCs/>
        </w:rPr>
        <w:t>Odpowiedź:</w:t>
      </w:r>
      <w:r>
        <w:t xml:space="preserve"> potwierdzamy</w:t>
      </w:r>
    </w:p>
    <w:p w14:paraId="664AA2FD" w14:textId="77777777" w:rsidR="00F00FB9" w:rsidRDefault="00F00FB9" w:rsidP="00F00FB9">
      <w:pPr>
        <w:pStyle w:val="Akapitzlist"/>
      </w:pPr>
    </w:p>
    <w:p w14:paraId="41DAF4DF" w14:textId="624EBB2A" w:rsidR="00F00FB9" w:rsidRDefault="00F00FB9" w:rsidP="00F00FB9">
      <w:pPr>
        <w:pStyle w:val="Akapitzlist"/>
        <w:numPr>
          <w:ilvl w:val="0"/>
          <w:numId w:val="1"/>
        </w:numPr>
      </w:pPr>
      <w:r>
        <w:t xml:space="preserve">Załącznik nr 3 do SWZ, pkt 13 – Wykonawca zwraca się z prośbą o wykreślenie pola „elektroniczna skrzynka podawcza” bądź uznanie jego wypełnienia za fakultatywne </w:t>
      </w:r>
    </w:p>
    <w:p w14:paraId="016F3179" w14:textId="77777777" w:rsidR="00F00FB9" w:rsidRDefault="00F00FB9" w:rsidP="00F00FB9">
      <w:pPr>
        <w:pStyle w:val="Akapitzlist"/>
      </w:pPr>
    </w:p>
    <w:p w14:paraId="40BA1E03" w14:textId="21C9A20F" w:rsidR="00F00FB9" w:rsidRDefault="00F00FB9" w:rsidP="00F00FB9">
      <w:pPr>
        <w:pStyle w:val="Akapitzlist"/>
      </w:pPr>
      <w:r w:rsidRPr="00F00FB9">
        <w:rPr>
          <w:b/>
          <w:bCs/>
        </w:rPr>
        <w:t>Odpowiedź</w:t>
      </w:r>
      <w:r>
        <w:t>: zgoda</w:t>
      </w:r>
    </w:p>
    <w:p w14:paraId="4F5AEEA5" w14:textId="77777777" w:rsidR="00F00FB9" w:rsidRDefault="00F00FB9" w:rsidP="00F00FB9">
      <w:pPr>
        <w:pStyle w:val="Akapitzlist"/>
      </w:pPr>
    </w:p>
    <w:p w14:paraId="0CBCCADE" w14:textId="2CB2B247" w:rsidR="00F00FB9" w:rsidRDefault="00F00FB9" w:rsidP="00F00FB9">
      <w:pPr>
        <w:pStyle w:val="Akapitzlist"/>
        <w:numPr>
          <w:ilvl w:val="0"/>
          <w:numId w:val="1"/>
        </w:numPr>
      </w:pPr>
      <w:r>
        <w:t xml:space="preserve"> Załącznik nr 1 do SWZ, 7 - Czy Zamawiający uzna warunek za spełniony jeśli Wykonawca przygotuje indywidualne potwierdzenia dla każdego ubezpieczonego i dostarczy do Zamawiającego? </w:t>
      </w:r>
    </w:p>
    <w:p w14:paraId="5E6E06D0" w14:textId="77777777" w:rsidR="00F00FB9" w:rsidRDefault="00F00FB9" w:rsidP="00F00FB9">
      <w:pPr>
        <w:pStyle w:val="Akapitzlist"/>
      </w:pPr>
    </w:p>
    <w:p w14:paraId="67E82D27" w14:textId="3E083C2B" w:rsidR="00F00FB9" w:rsidRDefault="00F00FB9" w:rsidP="00F00FB9">
      <w:pPr>
        <w:pStyle w:val="Akapitzlist"/>
      </w:pPr>
      <w:r w:rsidRPr="00F00FB9">
        <w:rPr>
          <w:b/>
          <w:bCs/>
        </w:rPr>
        <w:t>Odpowiedź:</w:t>
      </w:r>
      <w:r>
        <w:t xml:space="preserve"> TAK</w:t>
      </w:r>
    </w:p>
    <w:p w14:paraId="5CF918F5" w14:textId="77777777" w:rsidR="00F00FB9" w:rsidRDefault="00F00FB9" w:rsidP="00F00FB9">
      <w:pPr>
        <w:pStyle w:val="Akapitzlist"/>
      </w:pPr>
    </w:p>
    <w:p w14:paraId="619724F5" w14:textId="22520DBD" w:rsidR="00F00FB9" w:rsidRDefault="00F00FB9" w:rsidP="00F00FB9">
      <w:pPr>
        <w:pStyle w:val="Akapitzlist"/>
        <w:numPr>
          <w:ilvl w:val="0"/>
          <w:numId w:val="1"/>
        </w:numPr>
      </w:pPr>
      <w:r>
        <w:t xml:space="preserve">7. Załącznik nr 1 do SWZ, 11 - Wykonawca zwraca się z prośbą o wykreślenie zapisu dotyczącego następującej funkcji: - generowanie wniosku o wypłatę świadczeń umożliwiające jego późniejsze wydrukowanie Wykonawca wyjaśnia, że w systemie elektronicznej obsługi polis Wykonawcy zgłoszenia świadczeń są dokonywane elektronicznie bez konieczności wypełniania druku papierowego wraz z załączeniem dokumentacji potwierdzającej prawo do świadczenia w związku z tym druki roszczeń nie są wymagane. Obecnie Wykonawca nie wymaga dostarczania druków zgłoszenia, proces został uproszczony na korzyść Klienta. </w:t>
      </w:r>
    </w:p>
    <w:p w14:paraId="40E5DF5B" w14:textId="77777777" w:rsidR="00F00FB9" w:rsidRDefault="00F00FB9" w:rsidP="00F00FB9">
      <w:pPr>
        <w:pStyle w:val="Akapitzlist"/>
      </w:pPr>
    </w:p>
    <w:p w14:paraId="6D628F60" w14:textId="1DD1012D" w:rsidR="00F00FB9" w:rsidRDefault="00F00FB9" w:rsidP="00FF7824">
      <w:pPr>
        <w:pStyle w:val="Akapitzlist"/>
      </w:pPr>
      <w:r w:rsidRPr="00F00FB9">
        <w:rPr>
          <w:b/>
          <w:bCs/>
        </w:rPr>
        <w:t>Odpowiedź:</w:t>
      </w:r>
      <w:r>
        <w:t xml:space="preserve"> zgoda</w:t>
      </w:r>
    </w:p>
    <w:p w14:paraId="7626CB26" w14:textId="77777777" w:rsidR="00FF7824" w:rsidRDefault="00FF7824" w:rsidP="00FF7824">
      <w:pPr>
        <w:pStyle w:val="Akapitzlist"/>
      </w:pPr>
    </w:p>
    <w:p w14:paraId="13F172FA" w14:textId="77777777" w:rsidR="00FF7824" w:rsidRDefault="00F00FB9" w:rsidP="00F00FB9">
      <w:pPr>
        <w:pStyle w:val="Akapitzlist"/>
        <w:numPr>
          <w:ilvl w:val="0"/>
          <w:numId w:val="1"/>
        </w:numPr>
      </w:pPr>
      <w:r>
        <w:lastRenderedPageBreak/>
        <w:t xml:space="preserve">8. SWZ, XVIII - Wykonawca prosi o potwierdzenie, że „cena” stanowi wartość brutto </w:t>
      </w:r>
    </w:p>
    <w:p w14:paraId="68973EC4" w14:textId="77777777" w:rsidR="00FF7824" w:rsidRDefault="00FF7824" w:rsidP="00FF7824">
      <w:pPr>
        <w:pStyle w:val="Akapitzlist"/>
      </w:pPr>
    </w:p>
    <w:p w14:paraId="0402547A" w14:textId="21B323C9" w:rsidR="00FF7824" w:rsidRDefault="00FF7824" w:rsidP="00FF7824">
      <w:pPr>
        <w:pStyle w:val="Akapitzlist"/>
      </w:pPr>
      <w:r w:rsidRPr="00FF7824">
        <w:rPr>
          <w:b/>
          <w:bCs/>
        </w:rPr>
        <w:t>Odpowiedź:</w:t>
      </w:r>
      <w:r>
        <w:t xml:space="preserve"> TAK</w:t>
      </w:r>
    </w:p>
    <w:p w14:paraId="707096E8" w14:textId="77777777" w:rsidR="00FF7824" w:rsidRDefault="00FF7824" w:rsidP="00FF7824">
      <w:pPr>
        <w:pStyle w:val="Akapitzlist"/>
      </w:pPr>
    </w:p>
    <w:p w14:paraId="5FB04F17" w14:textId="24C4144E" w:rsidR="00FF7824" w:rsidRDefault="00F00FB9" w:rsidP="00FF7824">
      <w:pPr>
        <w:pStyle w:val="Akapitzlist"/>
        <w:numPr>
          <w:ilvl w:val="0"/>
          <w:numId w:val="1"/>
        </w:numPr>
      </w:pPr>
      <w:r>
        <w:t xml:space="preserve">Załącznik nr 1 do SWZ, 20 - Wykonawca zwraca się z prośbą o potwierdzenie, że w uzasadnionych przypadkach może prosić o wgląd w oryginały dokumentacji </w:t>
      </w:r>
    </w:p>
    <w:p w14:paraId="114BB1A1" w14:textId="77777777" w:rsidR="00FF7824" w:rsidRDefault="00FF7824" w:rsidP="00FF7824">
      <w:pPr>
        <w:pStyle w:val="Akapitzlist"/>
      </w:pPr>
    </w:p>
    <w:p w14:paraId="1BA3A953" w14:textId="1FEA374C" w:rsidR="00FF7824" w:rsidRDefault="00FF7824" w:rsidP="00FF7824">
      <w:pPr>
        <w:pStyle w:val="Akapitzlist"/>
      </w:pPr>
      <w:r w:rsidRPr="00FF7824">
        <w:rPr>
          <w:b/>
          <w:bCs/>
        </w:rPr>
        <w:t>Odpowiedź:</w:t>
      </w:r>
      <w:r>
        <w:t xml:space="preserve"> TAK</w:t>
      </w:r>
    </w:p>
    <w:p w14:paraId="77580EDC" w14:textId="77777777" w:rsidR="00FF7824" w:rsidRDefault="00FF7824" w:rsidP="00FF7824">
      <w:pPr>
        <w:pStyle w:val="Akapitzlist"/>
      </w:pPr>
    </w:p>
    <w:p w14:paraId="75EB34EC" w14:textId="77777777" w:rsidR="00FF7824" w:rsidRDefault="00F00FB9" w:rsidP="00FF7824">
      <w:pPr>
        <w:pStyle w:val="Akapitzlist"/>
        <w:numPr>
          <w:ilvl w:val="0"/>
          <w:numId w:val="1"/>
        </w:numPr>
      </w:pPr>
      <w:r>
        <w:t>10. Załącznik nr 1 do SWZ, 22 - Wykonawca zwraca się z prośbą o potwierdzenie z Zamawiającym, że komisje będą organizowane na uzasadniony wniosek Ubezpieczonego.</w:t>
      </w:r>
    </w:p>
    <w:p w14:paraId="2D8429D5" w14:textId="77777777" w:rsidR="00FF7824" w:rsidRDefault="00FF7824" w:rsidP="00FF7824">
      <w:pPr>
        <w:pStyle w:val="Akapitzlist"/>
      </w:pPr>
    </w:p>
    <w:p w14:paraId="25F14DB0" w14:textId="77777777" w:rsidR="00FF7824" w:rsidRDefault="00FF7824" w:rsidP="00FF7824">
      <w:pPr>
        <w:pStyle w:val="Akapitzlist"/>
        <w:numPr>
          <w:ilvl w:val="0"/>
          <w:numId w:val="1"/>
        </w:numPr>
      </w:pPr>
      <w:r w:rsidRPr="00FF7824">
        <w:rPr>
          <w:b/>
          <w:bCs/>
        </w:rPr>
        <w:t>Odpowiedź:</w:t>
      </w:r>
      <w:r>
        <w:t xml:space="preserve"> TAK</w:t>
      </w:r>
      <w:r w:rsidR="00F00FB9">
        <w:t xml:space="preserve"> </w:t>
      </w:r>
    </w:p>
    <w:p w14:paraId="353E0E4A" w14:textId="77777777" w:rsidR="00FF7824" w:rsidRDefault="00FF7824" w:rsidP="00FF7824">
      <w:pPr>
        <w:pStyle w:val="Akapitzlist"/>
      </w:pPr>
    </w:p>
    <w:p w14:paraId="5AEF0DC0" w14:textId="77777777" w:rsidR="00FF7824" w:rsidRDefault="00F00FB9" w:rsidP="00FF7824">
      <w:pPr>
        <w:pStyle w:val="Akapitzlist"/>
        <w:numPr>
          <w:ilvl w:val="0"/>
          <w:numId w:val="1"/>
        </w:numPr>
      </w:pPr>
      <w:r>
        <w:t xml:space="preserve">OPZ, dział Zakres i warunki minimalne, punkt 17 – prośba o Zamawiającego o zgodę (lub potwierdzenie), że pobyt w szpitalu poprzedzający rehabilitację również powinien odbyć się w okresie odpowiedzialności Wykonawcy. </w:t>
      </w:r>
    </w:p>
    <w:p w14:paraId="740450E6" w14:textId="473616BC" w:rsidR="00FF7824" w:rsidRDefault="00FF7824" w:rsidP="00FF7824">
      <w:pPr>
        <w:pStyle w:val="Akapitzlist"/>
      </w:pPr>
      <w:r w:rsidRPr="00FF7824">
        <w:rPr>
          <w:b/>
          <w:bCs/>
        </w:rPr>
        <w:t>Odpowiedź:</w:t>
      </w:r>
      <w:r>
        <w:t xml:space="preserve"> TAK</w:t>
      </w:r>
    </w:p>
    <w:p w14:paraId="01130F87" w14:textId="77777777" w:rsidR="00FF7824" w:rsidRDefault="00FF7824" w:rsidP="00FF7824">
      <w:pPr>
        <w:pStyle w:val="Akapitzlist"/>
      </w:pPr>
    </w:p>
    <w:p w14:paraId="06020540" w14:textId="34E6E5DC" w:rsidR="00FF7824" w:rsidRDefault="00F00FB9" w:rsidP="00FF7824">
      <w:pPr>
        <w:pStyle w:val="Akapitzlist"/>
        <w:numPr>
          <w:ilvl w:val="0"/>
          <w:numId w:val="1"/>
        </w:numPr>
      </w:pPr>
      <w:r>
        <w:t xml:space="preserve">OPZ, dział Zakres i warunki minimalne, punkt 27 (Tabela Świadczeń) – Wykonawca zwraca się o zgodę (lub potwierdzenie), że: 1) W przypadku pobytów w szpitalu, bez względu na przyczynę, począwszy od 15 dnia Wykonawca będzie mógł wypłacać świadczenie w wysokości równej pobytowi w szpitalu wskutek choroby, 2) W ramach świadczenia aptecznego Wykonawca będzie mógł, zgodnie ze swoimi ogólnymi warunkami, wydać ubezpieczonemu kartę bezgotówkową upoważniającą do odbioru w aptece produktów medycznych (patrz również dział Definicje „karta / ryczał lekowa/y”), 3) W przypadku ryzyka opisanego jako „Całkowita niezdolność do pracy /Całkowite inwalidztwo na skutek choroby lub wypadku” Wykonawca będzie mógł przedstawić ryzyko najbardziej zbliżone do opisu, znajdujące się w jego Ofercie, np. „Trwała niezdolność do pracy i samodzielnej egzystencji ubezpieczonego”, 4) Pod pojęciem ryzyka „Uszczerbek lub uszkodzenia ciała Ubezpieczonego w następstwie nieszczęśliwego wypadku” można rozumieć ryzyko „trwałego uszczerbku na zdrowiu w wyniku nieszczęśliwego wypadku” (w razie odpowiedzi negatywnej prośba o przedstawienie szczegółowych definicji), 5) W przypadku </w:t>
      </w:r>
      <w:proofErr w:type="spellStart"/>
      <w:r>
        <w:t>ryzyk</w:t>
      </w:r>
      <w:proofErr w:type="spellEnd"/>
      <w:r>
        <w:t xml:space="preserve"> wymienionych w Tabelach a nieokreślonych w pozostałej części OPZ (np. ryzyko poważnej choroby dziecka) – zastosowanie będą miały w pełni warunki Wykonawców</w:t>
      </w:r>
    </w:p>
    <w:p w14:paraId="190D090F" w14:textId="77777777" w:rsidR="00FF7824" w:rsidRDefault="00FF7824" w:rsidP="00FF7824">
      <w:pPr>
        <w:pStyle w:val="Akapitzlist"/>
      </w:pPr>
    </w:p>
    <w:p w14:paraId="33EBA491" w14:textId="242139A6" w:rsidR="00FF7824" w:rsidRDefault="00FF7824" w:rsidP="00FF7824">
      <w:pPr>
        <w:pStyle w:val="Akapitzlist"/>
      </w:pPr>
      <w:r w:rsidRPr="00FF7824">
        <w:rPr>
          <w:b/>
          <w:bCs/>
        </w:rPr>
        <w:t>Odpowiedź:</w:t>
      </w:r>
      <w:r>
        <w:t xml:space="preserve"> zgoda</w:t>
      </w:r>
    </w:p>
    <w:p w14:paraId="29AD6DCC" w14:textId="77777777" w:rsidR="00FF7824" w:rsidRDefault="00FF7824" w:rsidP="00FF7824">
      <w:pPr>
        <w:pStyle w:val="Akapitzlist"/>
      </w:pPr>
    </w:p>
    <w:p w14:paraId="4186ABC0" w14:textId="20E487DA" w:rsidR="00FF7824" w:rsidRDefault="00F00FB9" w:rsidP="00FF7824">
      <w:pPr>
        <w:pStyle w:val="Akapitzlist"/>
        <w:numPr>
          <w:ilvl w:val="0"/>
          <w:numId w:val="1"/>
        </w:numPr>
      </w:pPr>
      <w:r>
        <w:t xml:space="preserve">OPZ, dział Definicje, „Wypadek komunikacyjny” – Czy Zamawiający przyjmie, jako równoważną, następującą doprecyzowującą definicję Wykonawcy?: wypadek komunikacyjny – nieszczęśliwy wypadek: 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 b) wywołany ruchem pojazdu kolejowego ciągniętego przez pojazd trakcyjny, w którym ubezpieczony brał udział jako pasażer albo członek załogi tego pojazdu, z tym że: - pojazd kolejowy oznacza pojazd dostosowany do poruszania się na własnych kołach po torach kolejowych,’ - pojazd trakcyjny oznacza pojazd kolejowy z napędem własnym, w tym metro, wypadkiem komunikacyjnym, w </w:t>
      </w:r>
      <w:r>
        <w:lastRenderedPageBreak/>
        <w:t xml:space="preserve">rozumieniu pkt. b, nie są wypadki dotyczące kolejowego transportu wewnątrzzakładowego oraz transportu linowego i </w:t>
      </w:r>
      <w:proofErr w:type="spellStart"/>
      <w:r>
        <w:t>linowo-terenowego</w:t>
      </w:r>
      <w:proofErr w:type="spellEnd"/>
      <w:r>
        <w:t>, 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 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14:paraId="7A3C7F19" w14:textId="77777777" w:rsidR="00FF7824" w:rsidRDefault="00FF7824" w:rsidP="00FF7824">
      <w:pPr>
        <w:pStyle w:val="Akapitzlist"/>
      </w:pPr>
    </w:p>
    <w:p w14:paraId="58220CC2" w14:textId="77777777" w:rsidR="00FF7824" w:rsidRDefault="00FF7824" w:rsidP="00FF7824">
      <w:pPr>
        <w:pStyle w:val="Akapitzlist"/>
      </w:pPr>
      <w:r w:rsidRPr="00FF7824">
        <w:rPr>
          <w:b/>
          <w:bCs/>
        </w:rPr>
        <w:t>Odpowiedź:</w:t>
      </w:r>
      <w:r>
        <w:t xml:space="preserve"> zgoda</w:t>
      </w:r>
    </w:p>
    <w:p w14:paraId="7CF011B7" w14:textId="77777777" w:rsidR="00FF7824" w:rsidRDefault="00FF7824" w:rsidP="00FF7824">
      <w:pPr>
        <w:pStyle w:val="Akapitzlist"/>
      </w:pPr>
    </w:p>
    <w:p w14:paraId="77FC8D8B" w14:textId="4976ACE6" w:rsidR="00FF7824" w:rsidRDefault="00F00FB9" w:rsidP="00FF7824">
      <w:pPr>
        <w:pStyle w:val="Akapitzlist"/>
        <w:numPr>
          <w:ilvl w:val="0"/>
          <w:numId w:val="1"/>
        </w:numPr>
      </w:pPr>
      <w:r>
        <w:t xml:space="preserve"> OPZ, dział Definicje, „poważne zachorowanie Ubezpieczonego”, „poważne zachorowanie małżonka Ubezpieczonego” – W związku z wprowadzeniem nowych wersji ogólnych warunków, przewidujących m. in. uaktualnienie definicji pod kątem aktualnej wiedzy medycznej oraz uwzględniających pro-klienckie wskazówki urzędu ochrony konsumenta, Wykonawca zwraca się z uprzejmą prośbą o możliwość przedstawienia, jako równoważnych wskazanym w opisanych działach, jednostek chorobowych o nazwach zgodnych z jego ogólnymi warunkami – Wykonawca w ramach stosownej klauzuli przedstawiłby porównanie nazw, a w przypadku chorób, których nie posiada w swojej ofercie, również – definicje. 14. OPZ, dział Definicje, „udar mózgu” oraz „zawał serca” (klauzula fakultatywna) – Zamawiający wskazuje w ramach definicji, iż ma ona obowiązywać w ramach </w:t>
      </w:r>
      <w:proofErr w:type="spellStart"/>
      <w:r>
        <w:t>ryzyk</w:t>
      </w:r>
      <w:proofErr w:type="spellEnd"/>
      <w:r>
        <w:t xml:space="preserve"> pobytu w szpitalu oraz śmierci wskutek udaru mózgu. Tymczasem takich </w:t>
      </w:r>
      <w:proofErr w:type="spellStart"/>
      <w:r>
        <w:t>ryzyk</w:t>
      </w:r>
      <w:proofErr w:type="spellEnd"/>
      <w:r>
        <w:t xml:space="preserve"> nie zawiera Tabela Świadczeń ani Tabela w formularzu ofertowym. W związku z tym prośba o wskazanie iż zapis ten jest omyłką pisarską, a jeśli „NIE’ o dokładne wskazanie skumulowanych wartości omawianych świadczeń w ramach Tabel. 15. OPZ, dział Definicje, „udar mózgu” – niezależnie od powyższego pytania Wykonawca prosi o możliwość użycia, jak równoważnych, następujących definicji: - W przypadku ryzyka śmierci w skutek udaru mózgu (jeśli ma być częścią Oferty): udar mózgu, który oznacza nagłe ogniskowe lub uogólnione zaburzenie czynności mózgu, wywołane wyłącznie przyczynami naczyniowymi rozumianymi jako zamknięcie światła lub przerwanie ciągłości ściany naczynia mózgowego, za wyjątkiem przyczyn naczyniowych spowodowanych chorobą mózgu lub wywołanych czynnikami urazowymi. Nie ponosimy odpowiedzialności za udar, jeżeli przed początkiem odpowiedzialności w stosunku do ubezpieczonego zdiagnozowano udar mózgu, przemijające niedokrwienie mózgu tzw. TIA, miażdżycę naczyń mózgowych. - W przypadku trwałego uszczerbku w wyniku udaru mózgu: Udar mózgu, który jest nagłym, ogniskowym lub uogólnionym zaburzeniem czynności mózgu spowodowanym wyłącznie zamknięciem światła naczynia mózgowego lub przerwaniem ciągłości jego ściany, które spowodowało trwały ubytek neurologiczny. Odpowiadamy wyłącznie za taki udar mózgu, w którym: a) badania obrazowe mózgu jednoznacznie potwierdziły świeże zmiany naczyniopochodne lub udar mózgu był leczony </w:t>
      </w:r>
      <w:proofErr w:type="spellStart"/>
      <w:r>
        <w:t>trombolitycznie</w:t>
      </w:r>
      <w:proofErr w:type="spellEnd"/>
      <w:r>
        <w:t xml:space="preserve"> oraz b) badanie neurologiczne, przeprowadzone 3 miesiące po wystąpieniu udaru mózgu, potwierdziło utrzymywanie się w związku z tym udarem ubytku neurologicznego. Nasza odpowiedzialność nie obejmuje udaru mózgu, który ma przyczynę inną niż naczyniowa lub powstał wskutek urazu oraz przemijającego napadu niedokrwienia mózgu (tzw. TIA). Nasza odpowiedzialność nie obejmuje także udaru mózgu, jeżeli przed początkiem ochrony </w:t>
      </w:r>
      <w:r>
        <w:lastRenderedPageBreak/>
        <w:t xml:space="preserve">ubezpieczeniowej zdiagnozowano udar mózgu, przemijające niedokrwienie mózgu tzw. TIA, miażdżycę naczyń mózgowych. - W przypadku pobytu w szpitalu wskutek udaru mózgu (jeśli ma być częścią Oferty): Udar mózgu, który jest nagłym, ogniskowym lub uogólnionym zaburzeniem czynności mózgu spowodowanym wyłącznie zamknięciem światła naczynia mózgowego lub przerwaniem ciągłości jego ściany. Odpowiadamy wyłącznie za taki udar mózgu, w którym: a) badania obrazowe mózgu jednoznacznie potwierdziły świeże zmiany naczyniopochodne lub udar mózgu był leczony </w:t>
      </w:r>
      <w:proofErr w:type="spellStart"/>
      <w:r>
        <w:t>trombolitycznie</w:t>
      </w:r>
      <w:proofErr w:type="spellEnd"/>
      <w:r>
        <w:t xml:space="preserve"> oraz b) badanie neurologiczne, przeprowadzone 3 miesiące po wystąpieniu udaru mózgu, potwierdziło utrzymywanie się w związku z tym udarem ubytku neurologicznego. Nasza odpowiedzialność nie obejmuje udaru mózgu, który ma przyczynę inną niż naczyniowa lub powstał wskutek urazu oraz przemijającego napadu niedokrwienia mózgu (tzw. TIA). Nasza odpowiedzialność nie obejmuje także udaru mózgu, jeżeli przed początkiem ochrony ubezpieczeniowej zdiagnozowano udar mózgu, przemijające niedokrwienie mózgu tzw. TIA, miażdżycę naczyń mózgowych. - W kwestii definicji udaru mózgu w ramach ryzyka poważnego zachorowania – zastosowanie miałaby definicja zawarta w ogólnych warunkach Wykonawcy</w:t>
      </w:r>
    </w:p>
    <w:p w14:paraId="68D3C42D" w14:textId="77777777" w:rsidR="00FF7824" w:rsidRDefault="00FF7824" w:rsidP="00FF7824">
      <w:pPr>
        <w:pStyle w:val="Akapitzlist"/>
      </w:pPr>
    </w:p>
    <w:p w14:paraId="567BB2B9" w14:textId="1F19DD46" w:rsidR="00FF7824" w:rsidRDefault="00FF7824" w:rsidP="00FF7824">
      <w:pPr>
        <w:pStyle w:val="Akapitzlist"/>
      </w:pPr>
      <w:r w:rsidRPr="00FF7824">
        <w:rPr>
          <w:b/>
          <w:bCs/>
        </w:rPr>
        <w:t>Odpowiedź:</w:t>
      </w:r>
      <w:r>
        <w:t xml:space="preserve"> zgoda</w:t>
      </w:r>
    </w:p>
    <w:p w14:paraId="3E4A81A0" w14:textId="77777777" w:rsidR="00FF7824" w:rsidRDefault="00FF7824" w:rsidP="00FF7824">
      <w:pPr>
        <w:pStyle w:val="Akapitzlist"/>
      </w:pPr>
    </w:p>
    <w:p w14:paraId="2C023E28" w14:textId="14BB26C5" w:rsidR="00F00FB9" w:rsidRDefault="00F00FB9" w:rsidP="00FF7824">
      <w:pPr>
        <w:pStyle w:val="Akapitzlist"/>
        <w:numPr>
          <w:ilvl w:val="0"/>
          <w:numId w:val="1"/>
        </w:numPr>
      </w:pPr>
      <w:r>
        <w:t>Wykonawca zwraca się z prośbą o potwierdzenie czy Zamawiający uzna warunek za spełniony jeżeli Wykonawca poda dane opiekuna kontraktu – odpowiedzialnego między innymi za wszelkie kontakty z Zamawiającym i odpowiedzialnego za czynności bezpośrednio związane z realizacją przedmiotu zamówienia</w:t>
      </w:r>
    </w:p>
    <w:p w14:paraId="699BF6B7" w14:textId="77777777" w:rsidR="00DA0A5B" w:rsidRDefault="00FF7824" w:rsidP="00FF7824">
      <w:pPr>
        <w:ind w:firstLine="708"/>
      </w:pPr>
      <w:r w:rsidRPr="00FF7824">
        <w:rPr>
          <w:b/>
          <w:bCs/>
        </w:rPr>
        <w:t>Odpowiedź:</w:t>
      </w:r>
      <w:r>
        <w:t xml:space="preserve"> zgoda</w:t>
      </w:r>
    </w:p>
    <w:p w14:paraId="68D1A3F8" w14:textId="77777777" w:rsidR="00DA0A5B" w:rsidRDefault="00DA0A5B" w:rsidP="00DA0A5B">
      <w:pPr>
        <w:pStyle w:val="Akapitzlist"/>
        <w:numPr>
          <w:ilvl w:val="0"/>
          <w:numId w:val="1"/>
        </w:numPr>
      </w:pPr>
      <w: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p>
    <w:p w14:paraId="1B97A824" w14:textId="77777777" w:rsidR="00DA0A5B" w:rsidRDefault="00DA0A5B" w:rsidP="00DA0A5B">
      <w:pPr>
        <w:pStyle w:val="Akapitzlist"/>
      </w:pPr>
    </w:p>
    <w:p w14:paraId="6ACB2204" w14:textId="251578F6" w:rsidR="00FF7824" w:rsidRDefault="00DA0A5B" w:rsidP="00DA0A5B">
      <w:pPr>
        <w:pStyle w:val="Akapitzlist"/>
      </w:pPr>
      <w:r w:rsidRPr="00DA0A5B">
        <w:rPr>
          <w:b/>
          <w:bCs/>
        </w:rPr>
        <w:t>Odpowiedź:</w:t>
      </w:r>
      <w:r>
        <w:t xml:space="preserve"> zgoda</w:t>
      </w:r>
      <w:r w:rsidR="00FF7824">
        <w:tab/>
      </w:r>
    </w:p>
    <w:p w14:paraId="43CE3641" w14:textId="77777777" w:rsidR="00DA0A5B" w:rsidRDefault="00DA0A5B" w:rsidP="00DA0A5B">
      <w:pPr>
        <w:pStyle w:val="Akapitzlist"/>
      </w:pPr>
    </w:p>
    <w:p w14:paraId="32752147" w14:textId="133E20E6" w:rsidR="00DA0A5B" w:rsidRDefault="00DA0A5B" w:rsidP="00DA0A5B">
      <w:pPr>
        <w:pStyle w:val="Akapitzlist"/>
        <w:numPr>
          <w:ilvl w:val="0"/>
          <w:numId w:val="1"/>
        </w:numPr>
      </w:pPr>
      <w:r>
        <w:t>Wykonawca zwraca się z prośbą o potwierdzenie poprawności interpretacji obliczenia ceny tj. wysokość składki x ilość miesięcy x ilość osób = cena oferty, ewentualnie prosi o wskazanie prawidłowego sposobu obliczenia ceny oferty</w:t>
      </w:r>
    </w:p>
    <w:p w14:paraId="5180DC1D" w14:textId="1C70415D" w:rsidR="00DA0A5B" w:rsidRDefault="00DA0A5B" w:rsidP="00DA0A5B">
      <w:pPr>
        <w:ind w:firstLine="708"/>
      </w:pPr>
      <w:r w:rsidRPr="00DA0A5B">
        <w:rPr>
          <w:b/>
          <w:bCs/>
        </w:rPr>
        <w:t>Odpowiedź:</w:t>
      </w:r>
      <w:r>
        <w:t xml:space="preserve"> potwierdzamy</w:t>
      </w:r>
    </w:p>
    <w:sectPr w:rsidR="00DA0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615AE"/>
    <w:multiLevelType w:val="hybridMultilevel"/>
    <w:tmpl w:val="D646CB54"/>
    <w:lvl w:ilvl="0" w:tplc="D4905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284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B9"/>
    <w:rsid w:val="00D46395"/>
    <w:rsid w:val="00DA0A5B"/>
    <w:rsid w:val="00F00FB9"/>
    <w:rsid w:val="00FF7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9F2A"/>
  <w15:chartTrackingRefBased/>
  <w15:docId w15:val="{A4E8C809-DB1B-4028-AB4C-1056B5C3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0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1598</Words>
  <Characters>9588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Zajdel-Heliasz</dc:creator>
  <cp:keywords/>
  <dc:description/>
  <cp:lastModifiedBy>Joanna Zajdel-Heliasz</cp:lastModifiedBy>
  <cp:revision>1</cp:revision>
  <dcterms:created xsi:type="dcterms:W3CDTF">2022-05-20T09:15:00Z</dcterms:created>
  <dcterms:modified xsi:type="dcterms:W3CDTF">2022-05-20T09:29:00Z</dcterms:modified>
</cp:coreProperties>
</file>