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3C8AB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78761B97" w14:textId="77777777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660D5708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28D0AC64" w14:textId="438756C4" w:rsidR="00633073" w:rsidRDefault="00027AF0" w:rsidP="00633073">
      <w:pPr>
        <w:pStyle w:val="Tekstpodstawowy"/>
        <w:spacing w:before="82"/>
        <w:rPr>
          <w:b/>
          <w:sz w:val="24"/>
        </w:rPr>
      </w:pPr>
      <w:r>
        <w:rPr>
          <w:b/>
          <w:sz w:val="24"/>
        </w:rPr>
        <w:t xml:space="preserve"> </w:t>
      </w:r>
    </w:p>
    <w:p w14:paraId="6872540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050EEA10" w14:textId="77777777" w:rsidR="00633073" w:rsidRPr="00EA0BE7" w:rsidRDefault="00633073" w:rsidP="00E1777E">
      <w:pPr>
        <w:spacing w:before="238" w:line="276" w:lineRule="auto"/>
        <w:ind w:left="216" w:right="1089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7F2CE0">
        <w:t xml:space="preserve"> </w:t>
      </w:r>
      <w:r w:rsidR="001646DF">
        <w:rPr>
          <w:b/>
          <w:bCs/>
        </w:rPr>
        <w:t>przebudowy drogi gruntowej gminnej publicznej G 238609 P poprzez ułożenie płyt betonowych na odcinku                            999 mb.</w:t>
      </w:r>
    </w:p>
    <w:p w14:paraId="283626E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407F4382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6D4DB90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59C02379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3B1DC262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7FB6F2E1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2890944E" w14:textId="77777777" w:rsidR="00633073" w:rsidRDefault="00633073" w:rsidP="00633073">
      <w:pPr>
        <w:pStyle w:val="Tekstpodstawowy"/>
        <w:rPr>
          <w:sz w:val="24"/>
        </w:rPr>
      </w:pPr>
    </w:p>
    <w:p w14:paraId="4D9643D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Określeniapodstawowe</w:t>
      </w:r>
    </w:p>
    <w:p w14:paraId="18B537DF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7B2D124B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0B23AE80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72EA23A9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1B670F5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5BC37941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750FA2DA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73E78924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14852557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52F6267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482D7A7E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13C10B8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6FE39553" w14:textId="77777777" w:rsidR="00633073" w:rsidRDefault="00633073" w:rsidP="00633073"/>
    <w:p w14:paraId="08E49135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3A36210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6DF5E869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0DE1F3DE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30553888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50668BAD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090956A0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464CE562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0F08AF5B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5B3BE5DD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23EE24C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0205C9CD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331B7957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400ADD78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7BDF0D6C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3712D75B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68DC7FEB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78A42EDD" wp14:editId="4DA6CAE5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244D9C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1C24174" w14:textId="77777777" w:rsidR="00633073" w:rsidRPr="00095674" w:rsidRDefault="00633073" w:rsidP="00633073">
      <w:pPr>
        <w:pStyle w:val="Tekstpodstawowy"/>
        <w:spacing w:before="156"/>
      </w:pPr>
    </w:p>
    <w:p w14:paraId="1455A249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343F8544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03E85BC5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041554C9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416249AF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72B18DEC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209E7E4A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7B5F918E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1C5FE907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267B6F83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871B061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221ABD8A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6C88777D" w14:textId="77777777" w:rsidR="00633073" w:rsidRDefault="00633073" w:rsidP="003D5BDE">
            <w:pPr>
              <w:pStyle w:val="TableParagraph"/>
              <w:spacing w:before="136"/>
            </w:pPr>
          </w:p>
          <w:p w14:paraId="4A5CF916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6BCC9270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1722D2E6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76E60B81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25452CA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27F90433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2E018823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BD0849A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0056523D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D246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A875" w14:textId="77777777" w:rsidR="00633073" w:rsidRDefault="00633073" w:rsidP="003D5BDE">
            <w:pPr>
              <w:pStyle w:val="TableParagraph"/>
              <w:spacing w:before="104"/>
            </w:pPr>
          </w:p>
          <w:p w14:paraId="44D19953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D2B4" w14:textId="77777777" w:rsidR="00633073" w:rsidRDefault="00633073" w:rsidP="003D5BDE">
            <w:pPr>
              <w:pStyle w:val="TableParagraph"/>
              <w:spacing w:before="104"/>
            </w:pPr>
          </w:p>
          <w:p w14:paraId="1FE71D28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0ED63065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A550" w14:textId="77777777" w:rsidR="00633073" w:rsidRDefault="00633073" w:rsidP="003D5BDE">
            <w:pPr>
              <w:pStyle w:val="TableParagraph"/>
              <w:spacing w:before="116"/>
            </w:pPr>
          </w:p>
          <w:p w14:paraId="5CDB958D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1FDF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A0E1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9CBF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07E3F4C3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4079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3B20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F3F2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6307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1FC242E9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A200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A694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47AC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4508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7A8DB9E9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2A22149C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787D6CF9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7ECA9785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3D23CE51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07427F1A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21AEBCCA" w14:textId="77777777" w:rsidR="00633073" w:rsidRDefault="00633073" w:rsidP="003D5BDE">
            <w:pPr>
              <w:pStyle w:val="TableParagraph"/>
              <w:spacing w:before="35"/>
            </w:pPr>
          </w:p>
          <w:p w14:paraId="478D502C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13498A12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201AD921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1D12C284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3BD1306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378FBB8D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069EF15F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410896B6" w14:textId="77777777" w:rsidR="00633073" w:rsidRDefault="00633073" w:rsidP="003D5BDE">
            <w:pPr>
              <w:pStyle w:val="TableParagraph"/>
            </w:pPr>
          </w:p>
          <w:p w14:paraId="018AA827" w14:textId="77777777" w:rsidR="00633073" w:rsidRDefault="00633073" w:rsidP="003D5BDE">
            <w:pPr>
              <w:pStyle w:val="TableParagraph"/>
              <w:spacing w:before="16"/>
            </w:pPr>
          </w:p>
          <w:p w14:paraId="3F618016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1A7BB45F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16C3606E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60570D1D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2E8B4565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1A9E8934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4F025280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2723E4B3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27096598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0E4CA594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2FF210FA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74822620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3FFD9BA0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7F4828A8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2D78CBA6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0E297194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66F6FF2C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2CA834F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4C04DCD8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719920A2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1A85E2B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1D571D56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320D2F14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3ED3ED01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633817E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79FAD3C2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269AB29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17C1062C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631680E0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715B08BC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4C6AFBB3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3F46CEFB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A7F3B91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1E1CEEF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5709140F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12536D7A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259B959F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5CC7C65B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771189D7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76E1F5D0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55A01E61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7ABA45C7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5713DBA0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2FDD7E8A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5F4C3FCF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0B38D393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1E196D0B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5079132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4FE0253E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65019B34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09AC1860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2A2FBF5E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04CD3E3C" w14:textId="77777777" w:rsidR="00633073" w:rsidRDefault="00633073" w:rsidP="00633073">
      <w:pPr>
        <w:pStyle w:val="Tekstpodstawowy"/>
        <w:rPr>
          <w:sz w:val="24"/>
        </w:rPr>
      </w:pPr>
    </w:p>
    <w:p w14:paraId="50D94968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AE1EAC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07F9BA61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126FD10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66B33024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034AC82C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66EDF37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51A1C78A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4670E986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4BBA533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5DBD887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4B292FA5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0615B4CC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09C5A026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7D9D817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1E7C536D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299420F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6C87FB89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t xml:space="preserve">Nawierzchnię z płyt betonowych pełnych należy wykonać w układzie pasowym. Sposób ułożenia płyt </w:t>
      </w:r>
      <w:r w:rsidRPr="00EA0BE7">
        <w:lastRenderedPageBreak/>
        <w:t>powinien być zgodny z dokumentacją projektową, SST lub wskazaniami Inżyniera.</w:t>
      </w:r>
    </w:p>
    <w:p w14:paraId="37C9988D" w14:textId="77777777" w:rsidR="00633073" w:rsidRDefault="00633073" w:rsidP="00633073">
      <w:pPr>
        <w:pStyle w:val="Tekstpodstawowy"/>
        <w:rPr>
          <w:sz w:val="24"/>
        </w:rPr>
      </w:pPr>
    </w:p>
    <w:p w14:paraId="4BEE34B6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0C68FBA5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328A8E08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08779F61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029F0E0" w14:textId="77777777" w:rsidR="00633073" w:rsidRDefault="00633073" w:rsidP="00633073">
      <w:pPr>
        <w:pStyle w:val="Tekstpodstawowy"/>
        <w:rPr>
          <w:sz w:val="24"/>
        </w:rPr>
      </w:pPr>
    </w:p>
    <w:p w14:paraId="140ABAC3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7AAB8834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21952A07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727A213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525815B0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1844E67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264A41CB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09CAC511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42F6D91E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12F439BB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E5768A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3A562DC6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1726E8BD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4ABB4C0A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0E60EA03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36FE286B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4F61549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63F79FF0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2DBFAE07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2D841557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3F33796E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4C64E19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36AEE674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6ECBD404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1C91A287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1A14DF4D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2DC740AD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5008ED10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017B4BD8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72194674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4EB0B7B1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6C83E7BA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1B5DB007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7436ADE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70BB051B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1BFDD03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488E8DD6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1FE42B1A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0F564E8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7D104359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73F49C26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0A175086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3B78DBC1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269341FF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7A57A707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0FAFBE1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641D4110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5155FD8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6AECAB90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147EAD00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5ABF8BE0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0165F708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3FC29B8A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27D5C85D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4F7464D0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3F4C4EE9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6D7C2831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4F1EE10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6EAC964C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6E0ED4FF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4A0E3059" w14:textId="77777777" w:rsidR="00633073" w:rsidRPr="00EA0BE7" w:rsidRDefault="00633073" w:rsidP="00633073">
      <w:pPr>
        <w:pStyle w:val="Tekstpodstawowy"/>
        <w:spacing w:before="84"/>
      </w:pPr>
    </w:p>
    <w:p w14:paraId="1D61ADF6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475B71DC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1A2BE74E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215561C5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63949283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55C5A486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1A4588F7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8798" w14:textId="77777777" w:rsidR="004A7210" w:rsidRDefault="004A7210" w:rsidP="004A7210">
      <w:r>
        <w:separator/>
      </w:r>
    </w:p>
  </w:endnote>
  <w:endnote w:type="continuationSeparator" w:id="0">
    <w:p w14:paraId="2651A5D7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F912" w14:textId="77777777" w:rsidR="00027AF0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646DF">
      <w:rPr>
        <w:noProof/>
      </w:rPr>
      <w:t>1</w:t>
    </w:r>
    <w:r>
      <w:fldChar w:fldCharType="end"/>
    </w:r>
  </w:p>
  <w:p w14:paraId="2F501BC1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B97C8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DFC7" w14:textId="77777777" w:rsidR="00027AF0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646DF">
      <w:rPr>
        <w:noProof/>
      </w:rPr>
      <w:t>2</w:t>
    </w:r>
    <w:r>
      <w:fldChar w:fldCharType="end"/>
    </w:r>
  </w:p>
  <w:p w14:paraId="7F6DC6F5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38E4" w14:textId="77777777" w:rsidR="00027AF0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646DF">
      <w:rPr>
        <w:noProof/>
      </w:rPr>
      <w:t>3</w:t>
    </w:r>
    <w:r>
      <w:fldChar w:fldCharType="end"/>
    </w:r>
  </w:p>
  <w:p w14:paraId="06945361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888C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B536" w14:textId="77777777" w:rsidR="00027AF0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646DF">
      <w:rPr>
        <w:noProof/>
      </w:rPr>
      <w:t>4</w:t>
    </w:r>
    <w:r>
      <w:fldChar w:fldCharType="end"/>
    </w:r>
  </w:p>
  <w:p w14:paraId="01A59DC8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AD98" w14:textId="77777777" w:rsidR="00027AF0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646DF">
      <w:rPr>
        <w:noProof/>
      </w:rPr>
      <w:t>5</w:t>
    </w:r>
    <w:r>
      <w:fldChar w:fldCharType="end"/>
    </w:r>
  </w:p>
  <w:p w14:paraId="6D2B4C0D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248A" w14:textId="77777777" w:rsidR="00027AF0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646DF">
      <w:rPr>
        <w:noProof/>
      </w:rPr>
      <w:t>6</w:t>
    </w:r>
    <w:r>
      <w:fldChar w:fldCharType="end"/>
    </w:r>
  </w:p>
  <w:p w14:paraId="7814BF8F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DA27" w14:textId="77777777" w:rsidR="00027AF0" w:rsidRDefault="00027AF0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299E2" w14:textId="77777777" w:rsidR="004A7210" w:rsidRDefault="004A7210" w:rsidP="004A7210">
      <w:r>
        <w:separator/>
      </w:r>
    </w:p>
  </w:footnote>
  <w:footnote w:type="continuationSeparator" w:id="0">
    <w:p w14:paraId="5E06B4B8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64CC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BBF0436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39CFCF83" w14:textId="77777777" w:rsidR="00027AF0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D88D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A118E84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08D80742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210F7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E954461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74858DCF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91BF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F6D22B0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4BBB87F1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543B2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8D8B7E5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1667449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5EE4C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D138CB4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4EF842A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E1EB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209BE4B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14B017AD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8854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AD6021C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1EB952D3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5285" w14:textId="77777777" w:rsidR="00027AF0" w:rsidRDefault="00027AF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F1BD53A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DC4AB44" w14:textId="77777777" w:rsidR="00027AF0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2029871371">
    <w:abstractNumId w:val="3"/>
  </w:num>
  <w:num w:numId="2" w16cid:durableId="1336690331">
    <w:abstractNumId w:val="2"/>
  </w:num>
  <w:num w:numId="3" w16cid:durableId="329527989">
    <w:abstractNumId w:val="5"/>
  </w:num>
  <w:num w:numId="4" w16cid:durableId="1108620221">
    <w:abstractNumId w:val="6"/>
  </w:num>
  <w:num w:numId="5" w16cid:durableId="410389681">
    <w:abstractNumId w:val="1"/>
  </w:num>
  <w:num w:numId="6" w16cid:durableId="407115144">
    <w:abstractNumId w:val="0"/>
  </w:num>
  <w:num w:numId="7" w16cid:durableId="10973633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027AF0"/>
    <w:rsid w:val="0013104A"/>
    <w:rsid w:val="001646DF"/>
    <w:rsid w:val="002D0416"/>
    <w:rsid w:val="004A7210"/>
    <w:rsid w:val="00574504"/>
    <w:rsid w:val="006238EC"/>
    <w:rsid w:val="00633073"/>
    <w:rsid w:val="007F2CE0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0F75DE1E"/>
  <w15:docId w15:val="{2ED54336-0DE3-4F2E-854B-707877C3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1357</Words>
  <Characters>8147</Characters>
  <Application>Microsoft Office Word</Application>
  <DocSecurity>0</DocSecurity>
  <Lines>67</Lines>
  <Paragraphs>18</Paragraphs>
  <ScaleCrop>false</ScaleCrop>
  <Company/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7</cp:revision>
  <dcterms:created xsi:type="dcterms:W3CDTF">2024-01-19T08:14:00Z</dcterms:created>
  <dcterms:modified xsi:type="dcterms:W3CDTF">2024-01-29T13:31:00Z</dcterms:modified>
</cp:coreProperties>
</file>