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18F36E5E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773351">
              <w:rPr>
                <w:rFonts w:asciiTheme="majorHAnsi" w:hAnsiTheme="majorHAnsi"/>
                <w:b/>
                <w:sz w:val="28"/>
                <w:szCs w:val="28"/>
              </w:rPr>
              <w:t>4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E4468A7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8008C54" w14:textId="77777777" w:rsidR="007670EB" w:rsidRDefault="007670EB" w:rsidP="007670EB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58144C21" w:rsidR="007670EB" w:rsidRPr="007B0C64" w:rsidRDefault="007670EB" w:rsidP="007670EB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6"/>
        <w:gridCol w:w="1134"/>
        <w:gridCol w:w="1701"/>
        <w:gridCol w:w="1559"/>
        <w:gridCol w:w="1559"/>
        <w:gridCol w:w="1276"/>
        <w:gridCol w:w="2268"/>
      </w:tblGrid>
      <w:tr w:rsidR="00C81651" w:rsidRPr="00586A47" w14:paraId="17EF7783" w14:textId="77777777" w:rsidTr="004B4B20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586A4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586A47" w14:paraId="1148A77D" w14:textId="77777777" w:rsidTr="004B4B20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586A47" w14:paraId="625DCC61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2963044F" w:rsidR="00C81651" w:rsidRPr="00104FAD" w:rsidRDefault="00773351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r w:rsidRPr="00104FAD">
              <w:rPr>
                <w:rFonts w:asciiTheme="majorHAnsi" w:hAnsiTheme="majorHAnsi" w:cs="Arial"/>
                <w:sz w:val="22"/>
                <w:szCs w:val="22"/>
              </w:rPr>
              <w:t>Kompletny zestaw do izolacji pozytywnej komórek CD138+ z szpiku kostnego. 1 zestaw wystarcza na minimum izolację komórek z 50 ml materiału badanego. 1 op. = 1 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5A8BF6B0" w:rsidR="00C81651" w:rsidRPr="00586A47" w:rsidRDefault="007733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586A47" w14:paraId="0CE321CA" w14:textId="77777777" w:rsidTr="004B4B20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B0F9" w14:textId="4F0FCA91" w:rsidR="00773351" w:rsidRPr="00104FAD" w:rsidRDefault="00773351" w:rsidP="00773351">
            <w:pPr>
              <w:widowControl w:val="0"/>
              <w:rPr>
                <w:rFonts w:asciiTheme="majorHAnsi" w:hAnsiTheme="majorHAnsi"/>
                <w:szCs w:val="22"/>
              </w:rPr>
            </w:pPr>
            <w:r w:rsidRPr="00104FAD">
              <w:rPr>
                <w:rFonts w:asciiTheme="majorHAnsi" w:hAnsiTheme="majorHAnsi" w:cs="Arial"/>
                <w:sz w:val="22"/>
                <w:szCs w:val="22"/>
              </w:rPr>
              <w:t>Bufor do separacji komórek CD138, musi być kompatybilny z pozycją nr 1</w:t>
            </w:r>
          </w:p>
          <w:p w14:paraId="38991E87" w14:textId="7C4F34F8" w:rsidR="0093629F" w:rsidRPr="00104FAD" w:rsidRDefault="00773351" w:rsidP="00773351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104FAD">
              <w:rPr>
                <w:rFonts w:asciiTheme="majorHAnsi" w:hAnsiTheme="majorHAnsi" w:cs="Arial"/>
                <w:sz w:val="22"/>
                <w:szCs w:val="22"/>
              </w:rPr>
              <w:t>1op. = 1000ml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3A23C814" w:rsidR="0093629F" w:rsidRPr="00586A47" w:rsidRDefault="00773351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586A47" w14:paraId="3EA21DB3" w14:textId="77777777" w:rsidTr="004B4B20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7943FBC0" w:rsidR="004B4B20" w:rsidRPr="005D52D7" w:rsidRDefault="00773351" w:rsidP="005D52D7">
            <w:pPr>
              <w:widowControl w:val="0"/>
              <w:rPr>
                <w:rFonts w:asciiTheme="majorHAnsi" w:hAnsiTheme="majorHAnsi"/>
                <w:szCs w:val="22"/>
              </w:rPr>
            </w:pPr>
            <w:r w:rsidRPr="00104FAD">
              <w:rPr>
                <w:rFonts w:asciiTheme="majorHAnsi" w:hAnsiTheme="majorHAnsi" w:cs="Arial"/>
                <w:sz w:val="22"/>
                <w:szCs w:val="22"/>
              </w:rPr>
              <w:t>Magnez do separacji komórek CD138 musi być kompatybilny z pozycją nr 1</w:t>
            </w:r>
            <w:r w:rsidR="00104FAD" w:rsidRPr="00104FAD">
              <w:rPr>
                <w:rFonts w:asciiTheme="majorHAnsi" w:hAnsiTheme="majorHAnsi" w:cs="Arial"/>
                <w:sz w:val="22"/>
                <w:szCs w:val="22"/>
              </w:rPr>
              <w:t>.</w:t>
            </w:r>
            <w:r w:rsidRPr="00104FAD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043B6C30" w:rsidR="004B4B20" w:rsidRPr="00586A47" w:rsidRDefault="00773351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586A47" w:rsidRPr="00586A47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104F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104FAD" w:rsidRPr="00F051A8" w14:paraId="11FA0D13" w14:textId="77777777" w:rsidTr="00A01690">
        <w:trPr>
          <w:jc w:val="center"/>
        </w:trPr>
        <w:tc>
          <w:tcPr>
            <w:tcW w:w="4961" w:type="dxa"/>
            <w:vAlign w:val="center"/>
          </w:tcPr>
          <w:p w14:paraId="2C7B8D6B" w14:textId="15460E32" w:rsidR="00104FAD" w:rsidRPr="00104FAD" w:rsidRDefault="00104FAD" w:rsidP="00104FAD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 </w:t>
            </w:r>
            <w:r w:rsidRPr="00104FAD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1AED0589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104FAD" w:rsidRPr="00F051A8" w14:paraId="39D52310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40D43D23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293A3A23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40AEE831" w14:textId="77777777" w:rsidR="00104FAD" w:rsidRDefault="00104FAD" w:rsidP="00104FAD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104FAD" w:rsidRPr="00F051A8" w14:paraId="6D670DBA" w14:textId="77777777" w:rsidTr="00A01690">
        <w:trPr>
          <w:jc w:val="center"/>
        </w:trPr>
        <w:tc>
          <w:tcPr>
            <w:tcW w:w="4961" w:type="dxa"/>
            <w:vAlign w:val="center"/>
          </w:tcPr>
          <w:p w14:paraId="110E6F4E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1D0AC18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104FAD" w:rsidRPr="00F051A8" w14:paraId="01B83A82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25867FE6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33E5609D" w14:textId="77777777" w:rsidR="00104FAD" w:rsidRPr="00F051A8" w:rsidRDefault="00104FA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104FAD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1E952783" w:rsidR="006261C4" w:rsidRPr="00AE0ACB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 w:rsidRPr="00AE0ACB"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104FAD" w:rsidRPr="00AE0ACB">
        <w:rPr>
          <w:rFonts w:ascii="Cambria" w:eastAsia="Calibri" w:hAnsi="Cambria" w:cs="Arial"/>
          <w:bCs/>
          <w:sz w:val="22"/>
          <w:szCs w:val="22"/>
        </w:rPr>
        <w:t xml:space="preserve"> co najmniej </w:t>
      </w:r>
      <w:r w:rsidR="003B3F46" w:rsidRPr="00AE0ACB">
        <w:rPr>
          <w:rFonts w:ascii="Cambria" w:eastAsia="Calibri" w:hAnsi="Cambria" w:cs="Arial"/>
          <w:bCs/>
          <w:sz w:val="22"/>
          <w:szCs w:val="22"/>
        </w:rPr>
        <w:t>1</w:t>
      </w:r>
      <w:r w:rsidR="00104FAD" w:rsidRPr="00AE0ACB">
        <w:rPr>
          <w:rFonts w:ascii="Cambria" w:eastAsia="Calibri" w:hAnsi="Cambria" w:cs="Arial"/>
          <w:bCs/>
          <w:sz w:val="22"/>
          <w:szCs w:val="22"/>
        </w:rPr>
        <w:t>8 miesięcy</w:t>
      </w:r>
      <w:r w:rsidRPr="00AE0ACB"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3B3F46" w:rsidRPr="00AE0ACB">
        <w:rPr>
          <w:rFonts w:ascii="Cambria" w:eastAsia="Calibri" w:hAnsi="Cambria" w:cs="Arial"/>
          <w:bCs/>
          <w:sz w:val="22"/>
          <w:szCs w:val="22"/>
        </w:rPr>
        <w:t xml:space="preserve"> – </w:t>
      </w:r>
      <w:r w:rsidR="00AE0ACB" w:rsidRPr="00AE0ACB">
        <w:rPr>
          <w:rFonts w:ascii="Cambria" w:eastAsia="Calibri" w:hAnsi="Cambria" w:cs="Arial"/>
          <w:bCs/>
          <w:sz w:val="22"/>
          <w:szCs w:val="22"/>
        </w:rPr>
        <w:t>dotyczy pozycji nr 1 co najmniej 8 miesięcy od dnia dostawy – dotyczy pozycji nr 2 i 3.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195DF06F" w:rsidR="00C25C95" w:rsidRPr="00104FAD" w:rsidRDefault="00C25C95" w:rsidP="00104FA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79BA6026" w14:textId="77777777" w:rsidR="009B1AD8" w:rsidRDefault="009B1AD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7E07850A" w14:textId="77777777" w:rsidR="009B1AD8" w:rsidRDefault="009B1AD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0187DEED" w14:textId="77777777" w:rsidR="009B1AD8" w:rsidRDefault="009B1AD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547FDB2D" w14:textId="77777777" w:rsidR="009B1AD8" w:rsidRDefault="009B1AD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bookmarkStart w:id="0" w:name="_GoBack"/>
      <w:bookmarkEnd w:id="0"/>
      <w:r w:rsidRPr="007B0C64">
        <w:rPr>
          <w:rFonts w:asciiTheme="majorHAnsi" w:hAnsiTheme="majorHAnsi"/>
          <w:b/>
          <w:iCs/>
          <w:sz w:val="22"/>
          <w:szCs w:val="24"/>
        </w:rPr>
        <w:lastRenderedPageBreak/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1AD8">
      <w:rPr>
        <w:noProof/>
      </w:rPr>
      <w:t>5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4FAD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3F46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2D7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2080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0EB"/>
    <w:rsid w:val="00767CAB"/>
    <w:rsid w:val="00771A29"/>
    <w:rsid w:val="007732A9"/>
    <w:rsid w:val="00773351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1AD8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0ACB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10415-9C42-4BFD-9A3F-B0392AC5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39</cp:revision>
  <dcterms:created xsi:type="dcterms:W3CDTF">2022-01-20T08:56:00Z</dcterms:created>
  <dcterms:modified xsi:type="dcterms:W3CDTF">2024-09-02T16:00:00Z</dcterms:modified>
</cp:coreProperties>
</file>