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1AA8CF2E"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A766A9" w:rsidRPr="00A766A9">
        <w:rPr>
          <w:rFonts w:asciiTheme="minorHAnsi" w:hAnsiTheme="minorHAnsi" w:cstheme="minorHAnsi"/>
          <w:kern w:val="0"/>
          <w:sz w:val="20"/>
          <w:szCs w:val="20"/>
        </w:rPr>
        <w:t>Wykonanie robót remontowych w lokalu mieszkalnym przy ul. Przy Torze 20C/1 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5702B1DB" w:rsidR="00D635CB" w:rsidRPr="00080A56" w:rsidRDefault="006B2F4D" w:rsidP="00A766A9">
      <w:pPr>
        <w:autoSpaceDE w:val="0"/>
        <w:jc w:val="center"/>
        <w:rPr>
          <w:rFonts w:asciiTheme="minorHAnsi" w:hAnsiTheme="minorHAnsi" w:cstheme="minorHAnsi"/>
          <w:b/>
          <w:bCs/>
        </w:rPr>
      </w:pPr>
      <w:r w:rsidRPr="00080A56">
        <w:rPr>
          <w:rFonts w:asciiTheme="minorHAnsi" w:hAnsiTheme="minorHAnsi" w:cstheme="minorHAnsi"/>
          <w:b/>
          <w:bCs/>
        </w:rPr>
        <w:t>„</w:t>
      </w:r>
      <w:r w:rsidR="00A766A9" w:rsidRPr="00A766A9">
        <w:rPr>
          <w:rFonts w:asciiTheme="minorHAnsi" w:hAnsiTheme="minorHAnsi" w:cstheme="minorHAnsi"/>
          <w:b/>
          <w:bCs/>
        </w:rPr>
        <w:t>Wykonanie robót remontowych w lokalu mieszkalnym przy ul. Przy Torze 20C/1 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52AAE278"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w:t>
      </w:r>
      <w:r w:rsidR="00A766A9">
        <w:rPr>
          <w:rFonts w:asciiTheme="minorHAnsi" w:hAnsiTheme="minorHAnsi" w:cstheme="minorHAnsi"/>
          <w:bCs/>
        </w:rPr>
        <w:t>Przy Torze 20C/1</w:t>
      </w:r>
      <w:r w:rsidR="001409A3">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0E4F64">
          <w:headerReference w:type="default" r:id="rId8"/>
          <w:footerReference w:type="default" r:id="rId9"/>
          <w:footnotePr>
            <w:pos w:val="beneathText"/>
          </w:footnotePr>
          <w:pgSz w:w="11905" w:h="16837"/>
          <w:pgMar w:top="1417" w:right="1417" w:bottom="1417" w:left="1417" w:header="284"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917451">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917451">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917451">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10</w:t>
        </w:r>
        <w:r w:rsidR="005F37B8" w:rsidRPr="00EF5A44">
          <w:rPr>
            <w:rFonts w:cstheme="minorHAnsi"/>
            <w:b w:val="0"/>
            <w:webHidden/>
          </w:rPr>
          <w:fldChar w:fldCharType="end"/>
        </w:r>
      </w:hyperlink>
    </w:p>
    <w:p w14:paraId="59CCC446" w14:textId="4A13286E" w:rsidR="005F37B8" w:rsidRPr="00EF5A44" w:rsidRDefault="00917451">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10</w:t>
        </w:r>
        <w:r w:rsidR="005F37B8" w:rsidRPr="00EF5A44">
          <w:rPr>
            <w:rFonts w:cstheme="minorHAnsi"/>
            <w:b w:val="0"/>
            <w:webHidden/>
          </w:rPr>
          <w:fldChar w:fldCharType="end"/>
        </w:r>
      </w:hyperlink>
    </w:p>
    <w:p w14:paraId="1F929310" w14:textId="25C79E0C" w:rsidR="005F37B8" w:rsidRPr="00EF5A44" w:rsidRDefault="00917451">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13</w:t>
        </w:r>
        <w:r w:rsidR="005F37B8" w:rsidRPr="00EF5A44">
          <w:rPr>
            <w:rFonts w:cstheme="minorHAnsi"/>
            <w:b w:val="0"/>
            <w:webHidden/>
          </w:rPr>
          <w:fldChar w:fldCharType="end"/>
        </w:r>
      </w:hyperlink>
    </w:p>
    <w:p w14:paraId="55209A4A" w14:textId="5AD11DC1" w:rsidR="005F37B8" w:rsidRPr="00EF5A44" w:rsidRDefault="00917451">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14</w:t>
        </w:r>
        <w:r w:rsidR="005F37B8" w:rsidRPr="00EF5A44">
          <w:rPr>
            <w:rFonts w:cstheme="minorHAnsi"/>
            <w:b w:val="0"/>
            <w:webHidden/>
          </w:rPr>
          <w:fldChar w:fldCharType="end"/>
        </w:r>
      </w:hyperlink>
    </w:p>
    <w:p w14:paraId="5ECBDBAD" w14:textId="4B08F1CB" w:rsidR="005F37B8" w:rsidRPr="00EF5A44" w:rsidRDefault="00917451">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15</w:t>
        </w:r>
        <w:r w:rsidR="005F37B8" w:rsidRPr="00EF5A44">
          <w:rPr>
            <w:rFonts w:cstheme="minorHAnsi"/>
            <w:b w:val="0"/>
            <w:webHidden/>
          </w:rPr>
          <w:fldChar w:fldCharType="end"/>
        </w:r>
      </w:hyperlink>
    </w:p>
    <w:p w14:paraId="4DB77109" w14:textId="3C363AD1" w:rsidR="005F37B8" w:rsidRPr="00EF5A44" w:rsidRDefault="00917451">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17</w:t>
        </w:r>
        <w:r w:rsidR="005F37B8" w:rsidRPr="00EF5A44">
          <w:rPr>
            <w:rFonts w:cstheme="minorHAnsi"/>
            <w:b w:val="0"/>
            <w:webHidden/>
          </w:rPr>
          <w:fldChar w:fldCharType="end"/>
        </w:r>
      </w:hyperlink>
    </w:p>
    <w:p w14:paraId="11784369" w14:textId="7C1D42A3" w:rsidR="005F37B8" w:rsidRPr="00EF5A44" w:rsidRDefault="00917451">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18</w:t>
        </w:r>
        <w:r w:rsidR="005F37B8" w:rsidRPr="00EF5A44">
          <w:rPr>
            <w:rFonts w:cstheme="minorHAnsi"/>
            <w:b w:val="0"/>
            <w:webHidden/>
          </w:rPr>
          <w:fldChar w:fldCharType="end"/>
        </w:r>
      </w:hyperlink>
    </w:p>
    <w:p w14:paraId="4DBEBE27" w14:textId="4338359B" w:rsidR="005F37B8" w:rsidRPr="00EF5A44" w:rsidRDefault="00917451">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20</w:t>
        </w:r>
        <w:r w:rsidR="005F37B8" w:rsidRPr="00EF5A44">
          <w:rPr>
            <w:rFonts w:cstheme="minorHAnsi"/>
            <w:b w:val="0"/>
            <w:webHidden/>
          </w:rPr>
          <w:fldChar w:fldCharType="end"/>
        </w:r>
      </w:hyperlink>
    </w:p>
    <w:p w14:paraId="2991C20D" w14:textId="60863342" w:rsidR="005F37B8" w:rsidRPr="00EF5A44" w:rsidRDefault="00917451">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20</w:t>
        </w:r>
        <w:r w:rsidR="005F37B8" w:rsidRPr="00EF5A44">
          <w:rPr>
            <w:rFonts w:cstheme="minorHAnsi"/>
            <w:b w:val="0"/>
            <w:webHidden/>
          </w:rPr>
          <w:fldChar w:fldCharType="end"/>
        </w:r>
      </w:hyperlink>
    </w:p>
    <w:p w14:paraId="57CE2511" w14:textId="130F0B85" w:rsidR="005F37B8" w:rsidRPr="00EF5A44" w:rsidRDefault="00917451">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03306F">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3B751EA6"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w:t>
      </w:r>
      <w:r w:rsidR="00A766A9">
        <w:rPr>
          <w:rFonts w:asciiTheme="minorHAnsi" w:hAnsiTheme="minorHAnsi" w:cstheme="minorHAnsi"/>
        </w:rPr>
        <w:t>Przy Torze 20C/1</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48B147D3"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 xml:space="preserve">powyżej, oddania </w:t>
      </w:r>
      <w:r w:rsidR="008516D2" w:rsidRPr="00080A56">
        <w:rPr>
          <w:rFonts w:asciiTheme="minorHAnsi" w:hAnsiTheme="minorHAnsi" w:cstheme="minorHAnsi"/>
        </w:rPr>
        <w:lastRenderedPageBreak/>
        <w:t>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 xml:space="preserve">ul. </w:t>
      </w:r>
      <w:r w:rsidR="00A766A9">
        <w:rPr>
          <w:rFonts w:asciiTheme="minorHAnsi" w:hAnsiTheme="minorHAnsi" w:cstheme="minorHAnsi"/>
        </w:rPr>
        <w:t>Przy Torze 20C/1</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w:t>
      </w:r>
      <w:r w:rsidRPr="00EF5A44">
        <w:rPr>
          <w:rFonts w:asciiTheme="minorHAnsi" w:hAnsiTheme="minorHAnsi" w:cstheme="minorHAnsi"/>
        </w:rPr>
        <w:lastRenderedPageBreak/>
        <w:t>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w:t>
      </w:r>
      <w:r w:rsidRPr="00EF5A44">
        <w:rPr>
          <w:rFonts w:asciiTheme="minorHAnsi" w:hAnsiTheme="minorHAnsi" w:cstheme="minorHAnsi"/>
        </w:rPr>
        <w:lastRenderedPageBreak/>
        <w:t xml:space="preserve">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lastRenderedPageBreak/>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w:t>
      </w:r>
      <w:r w:rsidRPr="00BA7604">
        <w:rPr>
          <w:rFonts w:asciiTheme="minorHAnsi" w:hAnsiTheme="minorHAnsi" w:cstheme="minorHAnsi"/>
        </w:rPr>
        <w:lastRenderedPageBreak/>
        <w:t>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w:t>
      </w:r>
      <w:r w:rsidRPr="00EF5A44">
        <w:rPr>
          <w:rFonts w:asciiTheme="minorHAnsi" w:hAnsiTheme="minorHAnsi" w:cstheme="minorHAnsi"/>
          <w:kern w:val="24"/>
        </w:rPr>
        <w:lastRenderedPageBreak/>
        <w:t xml:space="preserve">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lastRenderedPageBreak/>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lastRenderedPageBreak/>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xml:space="preserve">, z wyłączeniem umów o podwykonawstwo o wartości mniejszej niż 0,5% wartości brutto Umowy oraz umów o podwykonawstwo, których </w:t>
      </w:r>
      <w:r w:rsidR="002C5C18" w:rsidRPr="00EF5A44">
        <w:rPr>
          <w:rFonts w:asciiTheme="minorHAnsi" w:hAnsiTheme="minorHAnsi" w:cstheme="minorHAnsi"/>
        </w:rPr>
        <w:lastRenderedPageBreak/>
        <w:t>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lastRenderedPageBreak/>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lastRenderedPageBreak/>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lastRenderedPageBreak/>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4A98047A" w14:textId="6D06AF5A" w:rsidR="0038576E" w:rsidRPr="00EF5A44" w:rsidRDefault="0038576E" w:rsidP="005E511E">
      <w:pPr>
        <w:numPr>
          <w:ilvl w:val="0"/>
          <w:numId w:val="11"/>
        </w:numPr>
        <w:jc w:val="both"/>
        <w:rPr>
          <w:rFonts w:asciiTheme="minorHAnsi" w:hAnsiTheme="minorHAnsi" w:cstheme="minorHAnsi"/>
          <w:spacing w:val="-2"/>
        </w:rPr>
      </w:pPr>
      <w:r>
        <w:rPr>
          <w:rFonts w:asciiTheme="minorHAnsi" w:hAnsiTheme="minorHAnsi" w:cstheme="minorHAnsi"/>
          <w:spacing w:val="-2"/>
        </w:rPr>
        <w:t xml:space="preserve">Za dzień zapłaty uważa się dzień obciążenia rachunku Zamawiającego. </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lastRenderedPageBreak/>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 xml:space="preserve">Umowy zostanie wpisana liczba lat, zgodnie z treścią oświadczenia złożonego przez Wykonawcę w </w:t>
      </w:r>
      <w:r w:rsidRPr="00EF5A44">
        <w:rPr>
          <w:rFonts w:asciiTheme="minorHAnsi" w:hAnsiTheme="minorHAnsi" w:cstheme="minorHAnsi"/>
          <w:i/>
          <w:iCs/>
        </w:rPr>
        <w:lastRenderedPageBreak/>
        <w:t>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stwierdzenia przez Zamawiającego, że Roboty wykonywane są w sposób </w:t>
      </w:r>
      <w:r w:rsidRPr="00EF5A44">
        <w:rPr>
          <w:rFonts w:asciiTheme="minorHAnsi" w:eastAsia="Times New Roman" w:hAnsiTheme="minorHAnsi" w:cstheme="minorHAnsi"/>
          <w:kern w:val="0"/>
        </w:rPr>
        <w:lastRenderedPageBreak/>
        <w:t>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 xml:space="preserve">do rozwiązania w drodze mediacji przez mediatora przy Okręgowej Izbie Radców Prawnych </w:t>
      </w:r>
      <w:r w:rsidRPr="00EF5A44">
        <w:rPr>
          <w:rFonts w:asciiTheme="minorHAnsi" w:hAnsiTheme="minorHAnsi" w:cstheme="minorHAnsi"/>
        </w:rPr>
        <w:lastRenderedPageBreak/>
        <w:t>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E7A889C"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 xml:space="preserve">ul. </w:t>
      </w:r>
      <w:r w:rsidR="00A766A9">
        <w:rPr>
          <w:rFonts w:asciiTheme="minorHAnsi" w:eastAsia="Times New Roman" w:hAnsiTheme="minorHAnsi" w:cstheme="minorHAnsi"/>
          <w:kern w:val="0"/>
          <w:sz w:val="20"/>
          <w:szCs w:val="20"/>
        </w:rPr>
        <w:t>Przy Torze 20C/1</w:t>
      </w:r>
      <w:r w:rsidR="001409A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917451" w:rsidRPr="00080A56" w14:paraId="6812D204" w14:textId="77777777" w:rsidTr="00100FE3">
        <w:tc>
          <w:tcPr>
            <w:tcW w:w="562" w:type="dxa"/>
            <w:shd w:val="clear" w:color="auto" w:fill="auto"/>
            <w:vAlign w:val="center"/>
          </w:tcPr>
          <w:p w14:paraId="3DBD7149" w14:textId="0555B0E9"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462C39BC" w:rsidR="00917451" w:rsidRPr="00080A56" w:rsidRDefault="00917451" w:rsidP="00917451">
            <w:pPr>
              <w:jc w:val="both"/>
              <w:rPr>
                <w:rFonts w:ascii="Calibri" w:hAnsi="Calibri" w:cs="Calibri"/>
              </w:rPr>
            </w:pPr>
            <w:r>
              <w:rPr>
                <w:rFonts w:ascii="Calibri" w:hAnsi="Calibri"/>
              </w:rPr>
              <w:t xml:space="preserve">Czynności w zakresie robót dotyczących instalacji gazowej określone w opisie przedmiotu zamówienia, w tym w przedmiarze robót nr 1 </w:t>
            </w:r>
          </w:p>
        </w:tc>
        <w:tc>
          <w:tcPr>
            <w:tcW w:w="2268" w:type="dxa"/>
            <w:shd w:val="clear" w:color="auto" w:fill="auto"/>
            <w:vAlign w:val="center"/>
          </w:tcPr>
          <w:p w14:paraId="1FFCB510"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r w:rsidR="00917451" w:rsidRPr="00080A56" w14:paraId="2261A695" w14:textId="77777777" w:rsidTr="00100FE3">
        <w:tc>
          <w:tcPr>
            <w:tcW w:w="562" w:type="dxa"/>
            <w:shd w:val="clear" w:color="auto" w:fill="auto"/>
            <w:vAlign w:val="center"/>
          </w:tcPr>
          <w:p w14:paraId="7A9434D1" w14:textId="43709ED4"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29AFC79D" w:rsidR="00917451" w:rsidRPr="00080A56" w:rsidRDefault="00917451" w:rsidP="00917451">
            <w:pPr>
              <w:jc w:val="both"/>
              <w:rPr>
                <w:rFonts w:ascii="Calibri" w:hAnsi="Calibri" w:cs="Calibri"/>
              </w:rPr>
            </w:pPr>
            <w:r>
              <w:rPr>
                <w:rFonts w:ascii="Calibri" w:hAnsi="Calibri"/>
              </w:rPr>
              <w:t>Czynności w zakresie robót dotyczących instalacji wodociągowej określone w opisie przedmiotu zamówienia, w tym w przedmiarze robót nr 1</w:t>
            </w:r>
          </w:p>
        </w:tc>
        <w:tc>
          <w:tcPr>
            <w:tcW w:w="2268" w:type="dxa"/>
            <w:shd w:val="clear" w:color="auto" w:fill="auto"/>
            <w:vAlign w:val="center"/>
          </w:tcPr>
          <w:p w14:paraId="7FC867CF"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r w:rsidR="00917451" w:rsidRPr="00080A56" w14:paraId="3FA80398" w14:textId="77777777" w:rsidTr="00100FE3">
        <w:tc>
          <w:tcPr>
            <w:tcW w:w="562" w:type="dxa"/>
            <w:shd w:val="clear" w:color="auto" w:fill="auto"/>
            <w:vAlign w:val="center"/>
          </w:tcPr>
          <w:p w14:paraId="073A03AC" w14:textId="528A1018"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578999D1" w:rsidR="00917451" w:rsidRPr="00080A56" w:rsidRDefault="00917451" w:rsidP="00917451">
            <w:pPr>
              <w:jc w:val="both"/>
              <w:rPr>
                <w:rFonts w:ascii="Calibri" w:hAnsi="Calibri" w:cs="Calibri"/>
                <w:b/>
              </w:rPr>
            </w:pPr>
            <w:r>
              <w:rPr>
                <w:rFonts w:ascii="Calibri" w:hAnsi="Calibri"/>
              </w:rPr>
              <w:t xml:space="preserve">Czynności w zakresie robót dotyczących instalacji centralnego ogrzewania określone w opisie przedmiotu zamówienia, w tym w przedmiarze robót nr 1 </w:t>
            </w:r>
          </w:p>
        </w:tc>
        <w:tc>
          <w:tcPr>
            <w:tcW w:w="2268" w:type="dxa"/>
            <w:shd w:val="clear" w:color="auto" w:fill="auto"/>
            <w:vAlign w:val="center"/>
          </w:tcPr>
          <w:p w14:paraId="6969BB9E"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r w:rsidR="00917451" w:rsidRPr="00080A56" w14:paraId="355999EA" w14:textId="77777777" w:rsidTr="00100FE3">
        <w:tc>
          <w:tcPr>
            <w:tcW w:w="562" w:type="dxa"/>
            <w:shd w:val="clear" w:color="auto" w:fill="auto"/>
            <w:vAlign w:val="center"/>
          </w:tcPr>
          <w:p w14:paraId="1F351F2B" w14:textId="4FFC8EA4"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tcPr>
          <w:p w14:paraId="53F97908" w14:textId="54DEC137" w:rsidR="00917451" w:rsidRPr="001C0B0D" w:rsidRDefault="00917451" w:rsidP="00917451">
            <w:pPr>
              <w:jc w:val="both"/>
              <w:rPr>
                <w:rFonts w:ascii="Calibri" w:hAnsi="Calibri"/>
              </w:rPr>
            </w:pPr>
            <w:r>
              <w:rPr>
                <w:rFonts w:ascii="Calibri" w:hAnsi="Calibri"/>
              </w:rPr>
              <w:t>Czynności w zakresie robót ogólnobudowlanych określone w opisie przedmiotu zamówie</w:t>
            </w:r>
            <w:bookmarkStart w:id="16" w:name="_GoBack"/>
            <w:bookmarkEnd w:id="16"/>
            <w:r>
              <w:rPr>
                <w:rFonts w:ascii="Calibri" w:hAnsi="Calibri"/>
              </w:rPr>
              <w:t>nia, w tym w przedmiarze robót nr 2</w:t>
            </w:r>
          </w:p>
        </w:tc>
        <w:tc>
          <w:tcPr>
            <w:tcW w:w="2268" w:type="dxa"/>
            <w:shd w:val="clear" w:color="auto" w:fill="auto"/>
            <w:vAlign w:val="center"/>
          </w:tcPr>
          <w:p w14:paraId="24A4FB87"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685238CA"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r w:rsidR="00917451" w:rsidRPr="00080A56" w14:paraId="6F51339F" w14:textId="77777777" w:rsidTr="00100FE3">
        <w:tc>
          <w:tcPr>
            <w:tcW w:w="562" w:type="dxa"/>
            <w:shd w:val="clear" w:color="auto" w:fill="auto"/>
            <w:vAlign w:val="center"/>
          </w:tcPr>
          <w:p w14:paraId="676E3274" w14:textId="26F90E6F"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tcPr>
          <w:p w14:paraId="09928454" w14:textId="00A7301A" w:rsidR="00917451" w:rsidRPr="001C0B0D" w:rsidRDefault="00917451" w:rsidP="00917451">
            <w:pPr>
              <w:jc w:val="both"/>
              <w:rPr>
                <w:rFonts w:ascii="Calibri" w:hAnsi="Calibri"/>
              </w:rPr>
            </w:pPr>
            <w:r>
              <w:rPr>
                <w:rFonts w:ascii="Calibri" w:hAnsi="Calibri"/>
              </w:rPr>
              <w:t>Czynności w zakresie robót elektrycznych określone w opisie przedmiotu zamówienia, w tym w przedmiarze robót nr 2</w:t>
            </w:r>
          </w:p>
        </w:tc>
        <w:tc>
          <w:tcPr>
            <w:tcW w:w="2268" w:type="dxa"/>
            <w:shd w:val="clear" w:color="auto" w:fill="auto"/>
            <w:vAlign w:val="center"/>
          </w:tcPr>
          <w:p w14:paraId="54EB4B7A"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61BB73AA"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r w:rsidR="00917451" w:rsidRPr="00080A56" w14:paraId="219AF02C" w14:textId="77777777" w:rsidTr="00100FE3">
        <w:tc>
          <w:tcPr>
            <w:tcW w:w="562" w:type="dxa"/>
            <w:shd w:val="clear" w:color="auto" w:fill="auto"/>
            <w:vAlign w:val="center"/>
          </w:tcPr>
          <w:p w14:paraId="5D633B66" w14:textId="3BAB7E88" w:rsidR="00917451" w:rsidRPr="00080A56" w:rsidRDefault="00917451" w:rsidP="00917451">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962" w:type="dxa"/>
            <w:shd w:val="clear" w:color="auto" w:fill="auto"/>
          </w:tcPr>
          <w:p w14:paraId="42EAA4C7" w14:textId="28ED161C" w:rsidR="00917451" w:rsidRPr="001C0B0D" w:rsidRDefault="00917451" w:rsidP="00917451">
            <w:pPr>
              <w:jc w:val="both"/>
              <w:rPr>
                <w:rFonts w:ascii="Calibri" w:hAnsi="Calibri"/>
              </w:rPr>
            </w:pPr>
            <w:r>
              <w:rPr>
                <w:rFonts w:ascii="Calibri" w:hAnsi="Calibri"/>
              </w:rPr>
              <w:t>Czynności w zakresie robót sanitarnych określone w opisie przedmiotu zamówienia, w tym w przedmiarze robót nr 2</w:t>
            </w:r>
          </w:p>
        </w:tc>
        <w:tc>
          <w:tcPr>
            <w:tcW w:w="2268" w:type="dxa"/>
            <w:shd w:val="clear" w:color="auto" w:fill="auto"/>
            <w:vAlign w:val="center"/>
          </w:tcPr>
          <w:p w14:paraId="3EC02F46" w14:textId="77777777" w:rsidR="00917451" w:rsidRPr="00080A56" w:rsidRDefault="00917451" w:rsidP="00917451">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6DE2671F" w14:textId="77777777" w:rsidR="00917451" w:rsidRPr="00080A56" w:rsidRDefault="00917451" w:rsidP="00917451">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lastRenderedPageBreak/>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917451" w:rsidRPr="00917451">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5246858F" w14:textId="77777777" w:rsidR="00526CBD" w:rsidRPr="00AD6978" w:rsidRDefault="00526CBD" w:rsidP="00526CBD">
    <w:pPr>
      <w:jc w:val="center"/>
      <w:rPr>
        <w:rFonts w:ascii="Calibri" w:hAnsi="Calibri" w:cs="Calibri"/>
        <w:sz w:val="16"/>
        <w:szCs w:val="16"/>
      </w:rPr>
    </w:pPr>
    <w:r w:rsidRPr="00AD6978">
      <w:rPr>
        <w:rFonts w:ascii="Calibri" w:hAnsi="Calibri" w:cs="Calibri"/>
        <w:sz w:val="16"/>
        <w:szCs w:val="16"/>
      </w:rPr>
      <w:t xml:space="preserve">Zamówienie jest  współfinansowanie ze środków budżetu państwa w ramach bezzwrotnego wsparcia na budownictwo komunalne i socjalne, pochodzącego ze środków Funduszu Dopłat w Banku Gospodarstwa Krajowego. </w:t>
    </w:r>
  </w:p>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EE3C" w14:textId="1CA1C752" w:rsidR="00861996" w:rsidRDefault="00861996" w:rsidP="00861996">
    <w:pPr>
      <w:pStyle w:val="Nagwek"/>
      <w:rPr>
        <w:kern w:val="2"/>
      </w:rPr>
    </w:pPr>
    <w:r>
      <w:t xml:space="preserve">     </w:t>
    </w:r>
    <w:r>
      <w:rPr>
        <w:noProof/>
      </w:rPr>
      <w:drawing>
        <wp:inline distT="0" distB="0" distL="0" distR="0" wp14:anchorId="4855D5BF" wp14:editId="0E8EF035">
          <wp:extent cx="1162050" cy="733425"/>
          <wp:effectExtent l="0" t="0" r="0" b="9525"/>
          <wp:docPr id="8" name="Obraz 3" descr="Obraz zawierający Prostoką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awierający Prostokąt,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2050" cy="733425"/>
                  </a:xfrm>
                  <a:prstGeom prst="rect">
                    <a:avLst/>
                  </a:prstGeom>
                  <a:noFill/>
                  <a:ln>
                    <a:noFill/>
                  </a:ln>
                </pic:spPr>
              </pic:pic>
            </a:graphicData>
          </a:graphic>
        </wp:inline>
      </w:drawing>
    </w:r>
    <w:r>
      <w:t xml:space="preserve">                               </w:t>
    </w:r>
    <w:r>
      <w:rPr>
        <w:noProof/>
      </w:rPr>
      <w:drawing>
        <wp:inline distT="0" distB="0" distL="0" distR="0" wp14:anchorId="1FF5E551" wp14:editId="6264E3E1">
          <wp:extent cx="685800" cy="800100"/>
          <wp:effectExtent l="0" t="0" r="0" b="0"/>
          <wp:docPr id="9" name="Obraz 2" descr="Obraz zawierający symbol, godło, ptak, herb&#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symbol, godło, ptak, herb&#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r>
      <w:t xml:space="preserve">                             </w:t>
    </w:r>
    <w:r>
      <w:rPr>
        <w:noProof/>
      </w:rPr>
      <w:drawing>
        <wp:inline distT="0" distB="0" distL="0" distR="0" wp14:anchorId="376B219A" wp14:editId="7D6AA0DD">
          <wp:extent cx="1400175" cy="1057275"/>
          <wp:effectExtent l="0" t="0" r="9525" b="9525"/>
          <wp:docPr id="10" name="Obraz 1" descr="Logo - 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25436711" descr="Logo - Press Kits - Biuro prasowe BG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pic:spPr>
              </pic:pic>
            </a:graphicData>
          </a:graphic>
        </wp:inline>
      </w:drawing>
    </w:r>
  </w:p>
  <w:p w14:paraId="7BF34E51" w14:textId="77777777" w:rsidR="005C54DF" w:rsidRPr="00057CA7" w:rsidRDefault="005C54DF" w:rsidP="000E4F64">
    <w:pPr>
      <w:pStyle w:val="Nagwek"/>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306F"/>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4F64"/>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76E"/>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6CBD"/>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19D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8A9"/>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920"/>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181"/>
    <w:rsid w:val="008544E4"/>
    <w:rsid w:val="00854D37"/>
    <w:rsid w:val="00855761"/>
    <w:rsid w:val="00855981"/>
    <w:rsid w:val="00855AEB"/>
    <w:rsid w:val="00855F12"/>
    <w:rsid w:val="0085691A"/>
    <w:rsid w:val="008569AE"/>
    <w:rsid w:val="00856B3A"/>
    <w:rsid w:val="00857D64"/>
    <w:rsid w:val="00860637"/>
    <w:rsid w:val="0086135F"/>
    <w:rsid w:val="00861996"/>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451"/>
    <w:rsid w:val="00917954"/>
    <w:rsid w:val="009209FE"/>
    <w:rsid w:val="00921661"/>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19E0"/>
    <w:rsid w:val="00A72A8B"/>
    <w:rsid w:val="00A72F73"/>
    <w:rsid w:val="00A74526"/>
    <w:rsid w:val="00A749D6"/>
    <w:rsid w:val="00A74B88"/>
    <w:rsid w:val="00A75612"/>
    <w:rsid w:val="00A756D8"/>
    <w:rsid w:val="00A766A9"/>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00F"/>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83"/>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6930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42E1-0CF3-40EF-AA84-C0FE5323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7265</Words>
  <Characters>48252</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55407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18</cp:revision>
  <cp:lastPrinted>2022-06-15T08:16:00Z</cp:lastPrinted>
  <dcterms:created xsi:type="dcterms:W3CDTF">2024-02-02T12:45:00Z</dcterms:created>
  <dcterms:modified xsi:type="dcterms:W3CDTF">2024-06-06T13:07:00Z</dcterms:modified>
</cp:coreProperties>
</file>