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4F2" w:rsidRPr="00A4078F" w:rsidRDefault="000164F2" w:rsidP="00C56CE1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</w:rPr>
      </w:pPr>
      <w:proofErr w:type="spellStart"/>
      <w:r w:rsidRPr="00A4078F">
        <w:rPr>
          <w:rFonts w:ascii="Arial" w:eastAsia="SimSun" w:hAnsi="Arial" w:cs="Arial"/>
          <w:kern w:val="3"/>
        </w:rPr>
        <w:t>Spr</w:t>
      </w:r>
      <w:proofErr w:type="spellEnd"/>
      <w:r w:rsidRPr="00A4078F">
        <w:rPr>
          <w:rFonts w:ascii="Arial" w:eastAsia="SimSun" w:hAnsi="Arial" w:cs="Arial"/>
          <w:kern w:val="3"/>
        </w:rPr>
        <w:t>. nr ZP-2510-</w:t>
      </w:r>
      <w:r w:rsidR="00F25F22" w:rsidRPr="00A4078F">
        <w:rPr>
          <w:rFonts w:ascii="Arial" w:eastAsia="SimSun" w:hAnsi="Arial" w:cs="Arial"/>
          <w:kern w:val="3"/>
        </w:rPr>
        <w:t>10-GK/2021</w:t>
      </w:r>
      <w:r w:rsidR="00BB03C0" w:rsidRPr="00A4078F">
        <w:rPr>
          <w:rFonts w:ascii="Arial" w:eastAsia="SimSun" w:hAnsi="Arial" w:cs="Arial"/>
          <w:kern w:val="3"/>
        </w:rPr>
        <w:tab/>
      </w:r>
      <w:r w:rsidR="00BB03C0" w:rsidRPr="00A4078F">
        <w:rPr>
          <w:rFonts w:ascii="Arial" w:eastAsia="SimSun" w:hAnsi="Arial" w:cs="Arial"/>
          <w:kern w:val="3"/>
        </w:rPr>
        <w:tab/>
      </w:r>
      <w:r w:rsidR="00481DB0" w:rsidRPr="00A4078F">
        <w:rPr>
          <w:rFonts w:ascii="Arial" w:eastAsia="SimSun" w:hAnsi="Arial" w:cs="Arial"/>
          <w:kern w:val="3"/>
        </w:rPr>
        <w:t xml:space="preserve">                            </w:t>
      </w:r>
      <w:r w:rsidR="00BB03C0" w:rsidRPr="00A4078F">
        <w:rPr>
          <w:rFonts w:ascii="Arial" w:eastAsia="SimSun" w:hAnsi="Arial" w:cs="Arial"/>
          <w:b/>
          <w:kern w:val="3"/>
        </w:rPr>
        <w:t>Załącznik N</w:t>
      </w:r>
      <w:r w:rsidR="0067191E">
        <w:rPr>
          <w:rFonts w:ascii="Arial" w:eastAsia="SimSun" w:hAnsi="Arial" w:cs="Arial"/>
          <w:b/>
          <w:kern w:val="3"/>
        </w:rPr>
        <w:t>r 4</w:t>
      </w:r>
      <w:bookmarkStart w:id="0" w:name="_GoBack"/>
      <w:bookmarkEnd w:id="0"/>
      <w:r w:rsidR="00CC7C6B" w:rsidRPr="00A4078F">
        <w:rPr>
          <w:rFonts w:ascii="Arial" w:eastAsia="SimSun" w:hAnsi="Arial" w:cs="Arial"/>
          <w:b/>
          <w:kern w:val="3"/>
        </w:rPr>
        <w:t>b – do formularza ofertowego</w:t>
      </w:r>
    </w:p>
    <w:p w:rsidR="000164F2" w:rsidRPr="00A4078F" w:rsidRDefault="00A509C3" w:rsidP="00A509C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</w:rPr>
      </w:pPr>
      <w:r w:rsidRPr="00A4078F">
        <w:rPr>
          <w:rFonts w:ascii="Arial" w:eastAsia="SimSun" w:hAnsi="Arial" w:cs="Arial"/>
          <w:kern w:val="3"/>
        </w:rPr>
        <w:t xml:space="preserve">                                                     </w:t>
      </w:r>
      <w:r w:rsidR="009108F8" w:rsidRPr="00A4078F">
        <w:rPr>
          <w:rFonts w:ascii="Arial" w:eastAsia="SimSun" w:hAnsi="Arial" w:cs="Arial"/>
          <w:kern w:val="3"/>
        </w:rPr>
        <w:t>(Załącznik nr 2 do Umowy)</w:t>
      </w:r>
    </w:p>
    <w:p w:rsidR="000164F2" w:rsidRPr="00A4078F" w:rsidRDefault="000164F2" w:rsidP="000164F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lang w:eastAsia="pl-PL"/>
        </w:rPr>
      </w:pPr>
    </w:p>
    <w:p w:rsidR="000164F2" w:rsidRPr="00A4078F" w:rsidRDefault="000164F2" w:rsidP="009F070B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lang w:eastAsia="pl-PL"/>
        </w:rPr>
      </w:pPr>
      <w:r w:rsidRPr="00A4078F">
        <w:rPr>
          <w:rFonts w:ascii="Arial" w:eastAsia="Times New Roman" w:hAnsi="Arial" w:cs="Arial"/>
          <w:b/>
          <w:bCs/>
          <w:kern w:val="3"/>
          <w:lang w:eastAsia="pl-PL"/>
        </w:rPr>
        <w:t>Specyfikacja techniczna oferowanego</w:t>
      </w:r>
      <w:r w:rsidR="009F070B" w:rsidRPr="00A4078F">
        <w:rPr>
          <w:rFonts w:ascii="Arial" w:eastAsia="Times New Roman" w:hAnsi="Arial" w:cs="Arial"/>
          <w:b/>
          <w:bCs/>
          <w:kern w:val="3"/>
          <w:lang w:eastAsia="pl-PL"/>
        </w:rPr>
        <w:t xml:space="preserve"> </w:t>
      </w:r>
      <w:r w:rsidR="001B6F27" w:rsidRPr="00A4078F">
        <w:rPr>
          <w:rFonts w:ascii="Arial" w:eastAsia="Times New Roman" w:hAnsi="Arial" w:cs="Arial"/>
          <w:b/>
          <w:bCs/>
          <w:kern w:val="3"/>
          <w:lang w:eastAsia="pl-PL"/>
        </w:rPr>
        <w:t>analizatora immunodiagnostycznego</w:t>
      </w:r>
    </w:p>
    <w:p w:rsidR="009F070B" w:rsidRPr="00A4078F" w:rsidRDefault="009F070B" w:rsidP="009F070B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lang w:eastAsia="pl-PL"/>
        </w:rPr>
      </w:pPr>
    </w:p>
    <w:p w:rsidR="001B6F27" w:rsidRPr="00A4078F" w:rsidRDefault="001B6F27" w:rsidP="000164F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</w:rPr>
      </w:pPr>
    </w:p>
    <w:p w:rsidR="000164F2" w:rsidRPr="00A4078F" w:rsidRDefault="000164F2" w:rsidP="000164F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A4078F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DANE URZĄDZENIA:</w:t>
      </w:r>
    </w:p>
    <w:p w:rsidR="000164F2" w:rsidRPr="00A4078F" w:rsidRDefault="000164F2" w:rsidP="000164F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</w:p>
    <w:p w:rsidR="000164F2" w:rsidRPr="00A4078F" w:rsidRDefault="000164F2" w:rsidP="000164F2">
      <w:pPr>
        <w:tabs>
          <w:tab w:val="left" w:pos="360"/>
          <w:tab w:val="left" w:pos="720"/>
        </w:tabs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4078F">
        <w:rPr>
          <w:rFonts w:ascii="Arial" w:eastAsia="SimSun" w:hAnsi="Arial" w:cs="Arial"/>
          <w:kern w:val="3"/>
          <w:sz w:val="20"/>
          <w:szCs w:val="20"/>
        </w:rPr>
        <w:t>Nazwa i typ aparatu:      .............................................</w:t>
      </w:r>
    </w:p>
    <w:p w:rsidR="000164F2" w:rsidRPr="00A4078F" w:rsidRDefault="000164F2" w:rsidP="000164F2">
      <w:pPr>
        <w:tabs>
          <w:tab w:val="left" w:pos="360"/>
          <w:tab w:val="left" w:pos="720"/>
        </w:tabs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4078F">
        <w:rPr>
          <w:rFonts w:ascii="Arial" w:eastAsia="SimSun" w:hAnsi="Arial" w:cs="Arial"/>
          <w:kern w:val="3"/>
          <w:sz w:val="20"/>
          <w:szCs w:val="20"/>
        </w:rPr>
        <w:t xml:space="preserve">Producent:        </w:t>
      </w:r>
      <w:r w:rsidRPr="00A4078F">
        <w:rPr>
          <w:rFonts w:ascii="Arial" w:eastAsia="SimSun" w:hAnsi="Arial" w:cs="Arial"/>
          <w:kern w:val="3"/>
          <w:sz w:val="20"/>
          <w:szCs w:val="20"/>
        </w:rPr>
        <w:tab/>
        <w:t xml:space="preserve">    ..............................................</w:t>
      </w:r>
    </w:p>
    <w:p w:rsidR="000164F2" w:rsidRPr="00A4078F" w:rsidRDefault="000164F2" w:rsidP="000164F2">
      <w:pPr>
        <w:tabs>
          <w:tab w:val="left" w:pos="360"/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4078F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Rok produkcji:  </w:t>
      </w:r>
      <w:r w:rsidRPr="00A4078F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  <w:t xml:space="preserve">     </w:t>
      </w:r>
      <w:r w:rsidRPr="00A4078F">
        <w:rPr>
          <w:rFonts w:ascii="Arial" w:eastAsia="Times New Roman" w:hAnsi="Arial" w:cs="Arial"/>
          <w:kern w:val="3"/>
          <w:sz w:val="20"/>
          <w:szCs w:val="20"/>
          <w:lang w:eastAsia="pl-PL"/>
        </w:rPr>
        <w:t>.............................................</w:t>
      </w:r>
    </w:p>
    <w:p w:rsidR="0066103E" w:rsidRPr="00A4078F" w:rsidRDefault="000164F2" w:rsidP="009F070B">
      <w:pPr>
        <w:tabs>
          <w:tab w:val="left" w:pos="360"/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A4078F">
        <w:rPr>
          <w:rFonts w:ascii="Arial" w:eastAsia="Times New Roman" w:hAnsi="Arial" w:cs="Arial"/>
          <w:kern w:val="3"/>
          <w:sz w:val="18"/>
          <w:szCs w:val="18"/>
          <w:lang w:eastAsia="pl-PL"/>
        </w:rPr>
        <w:tab/>
      </w:r>
      <w:r w:rsidRPr="00A4078F">
        <w:rPr>
          <w:rFonts w:ascii="Arial" w:eastAsia="Times New Roman" w:hAnsi="Arial" w:cs="Arial"/>
          <w:kern w:val="3"/>
          <w:sz w:val="18"/>
          <w:szCs w:val="18"/>
          <w:lang w:eastAsia="pl-PL"/>
        </w:rPr>
        <w:tab/>
      </w:r>
    </w:p>
    <w:p w:rsidR="00BD54A6" w:rsidRPr="00A4078F" w:rsidRDefault="00BD54A6" w:rsidP="00BD54A6">
      <w:pPr>
        <w:tabs>
          <w:tab w:val="left" w:pos="360"/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18"/>
          <w:lang w:eastAsia="pl-PL"/>
        </w:rPr>
      </w:pPr>
    </w:p>
    <w:p w:rsidR="009F070B" w:rsidRPr="00A4078F" w:rsidRDefault="009F070B" w:rsidP="009F070B">
      <w:pPr>
        <w:tabs>
          <w:tab w:val="left" w:pos="360"/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tbl>
      <w:tblPr>
        <w:tblW w:w="958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55" w:type="dxa"/>
          <w:bottom w:w="28" w:type="dxa"/>
          <w:right w:w="55" w:type="dxa"/>
        </w:tblCellMar>
        <w:tblLook w:val="0000" w:firstRow="0" w:lastRow="0" w:firstColumn="0" w:lastColumn="0" w:noHBand="0" w:noVBand="0"/>
      </w:tblPr>
      <w:tblGrid>
        <w:gridCol w:w="496"/>
        <w:gridCol w:w="7101"/>
        <w:gridCol w:w="1984"/>
      </w:tblGrid>
      <w:tr w:rsidR="00014913" w:rsidRPr="00A4078F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A4078F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</w:rPr>
            </w:pPr>
            <w:r w:rsidRPr="00A4078F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A4078F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</w:rPr>
            </w:pPr>
            <w:r w:rsidRPr="00A4078F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</w:rPr>
              <w:t>Cechy graniczne</w:t>
            </w:r>
          </w:p>
        </w:tc>
        <w:tc>
          <w:tcPr>
            <w:tcW w:w="1984" w:type="dxa"/>
          </w:tcPr>
          <w:p w:rsidR="00014913" w:rsidRPr="00A4078F" w:rsidRDefault="00A4078F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</w:rPr>
            </w:pPr>
            <w:r w:rsidRPr="00A4078F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</w:rPr>
              <w:t>W</w:t>
            </w:r>
            <w:r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</w:rPr>
              <w:t>ymaga</w:t>
            </w:r>
            <w:r w:rsidRPr="00A4078F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</w:rPr>
              <w:t>na odpowiedź:</w:t>
            </w:r>
          </w:p>
          <w:p w:rsidR="00A4078F" w:rsidRPr="00A4078F" w:rsidRDefault="00A4078F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</w:rPr>
            </w:pPr>
            <w:r w:rsidRPr="00A4078F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</w:rPr>
              <w:t>TAK</w:t>
            </w: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Analizator immunochemiczny  nie starszy niż 2 lata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Analizator w pełni automatyczny umożliwiający wykonanie analiz w trybie „pacjent po pacjencie” oraz wykonywanie analiz w trybie pilnym bez konieczności zatrzymywania pracy analizatora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Wszystkie oferowane </w:t>
            </w:r>
            <w:proofErr w:type="spellStart"/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odczynnikigotowe</w:t>
            </w:r>
            <w:proofErr w:type="spellEnd"/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do użycia , bez konieczności </w:t>
            </w:r>
            <w:proofErr w:type="spellStart"/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rekonstytucji</w:t>
            </w:r>
            <w:proofErr w:type="spellEnd"/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Możliwość automatycznej analizy minimum 18 różnych parametrów jednocześnie, przy użyciu metod chemiluminescencji lub </w:t>
            </w:r>
            <w:proofErr w:type="spellStart"/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elektrochemiluminescencji</w:t>
            </w:r>
            <w:proofErr w:type="spellEnd"/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Minimum 60 pozycji na próbki badane ze swobodnym dostępem, dostawianie próbek w trakcie pracy bez konieczności wprowadzania aparatu w tryb stand by. 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Praca z próbką pierwotną i wtórną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Bieżące monitorowanie poziomu i zużycia odczynników oraz materiałów zużywalnych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Niezależna stacja robocza do wpięcia analizatora do LIS: procesor co najmniej ośmiordzeniowy, 8 GB pamięci RAM, dysk SSD min. 256 GB, CD-RW, oprogramowanie system operacyjny Windows 10, pakiet MS Office 2019, karta sieciowa PCI Ethernet 10/100/1000, napęd DVD, minimum 2 wejścia COM, monitor „22” płaski  w proporcjach 16:9, drukarka laserowa (szybkość wydruku co najmniej 10 – 18 </w:t>
            </w:r>
            <w:proofErr w:type="spellStart"/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str</w:t>
            </w:r>
            <w:proofErr w:type="spellEnd"/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/min.), awaryjny zasilacz UPS (800 VA podtrzymanie zasilania – minimum 15 minut)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Włączenie analizatora do  istniejącej laboratoryjnej sieci informatycznej firmy Marcel na koszt oferenta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Czytnik kodów paskowych dla próbek (pozytywna identyfikacja materiału) i dla odczynników 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Stelaż (stół) pod aparat, jeśli typ analizatora tego wymaga .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Wykonanie testów potwierdzenia met. PCR dla HIV i HCV na koszt oferenta; szacunkowa liczba testów: HIV- 10, HCV - 10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Wydajność min.80 oznaczeń /godzinę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Chłodzone miejsca odczynnikowe.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Detektor skrzepów i </w:t>
            </w:r>
            <w:proofErr w:type="spellStart"/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mikroskrzepów</w:t>
            </w:r>
            <w:proofErr w:type="spellEnd"/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w próbce badanej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Odczynniki konfekcjonowane w opakowaniach umożliwiających bezpośrednie wstawienie do aparatu.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Możliwość wykonywania wszystkich badań wyszczególnionych w formularzu asortymentowo-cenowym.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Analizator posiada wbudowany system </w:t>
            </w:r>
            <w:proofErr w:type="spellStart"/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kontrolijakości</w:t>
            </w:r>
            <w:proofErr w:type="spellEnd"/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możliwościa</w:t>
            </w:r>
            <w:proofErr w:type="spellEnd"/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graficznej prezentacji (wykresy </w:t>
            </w:r>
            <w:proofErr w:type="spellStart"/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Levey-Jeningsa</w:t>
            </w:r>
            <w:proofErr w:type="spellEnd"/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Analizator pracujący z wykorzystaniem gotowych buforów/płynów płuczących/nie wymagający dodatkowej stacji uzdatniania wody .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Stabilność kalibracji minimum 28 dni dla wszystkich parametrów.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Trwałość otwartych odczynników na pokładzie analizatora minimum 28 dni 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Pełny serwis analizatora przez okres trwania umowy 24 godziny na dobę na koszt oferenta.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Pakiet startowy bezpłatny zawierający odczynniki, kalibratory, materiał kontrolny dla każdego zamieszczonego w Formularzu asortymentowym badania w celu uruchomienia </w:t>
            </w:r>
            <w:proofErr w:type="spellStart"/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analizatora,przeprowadzenia</w:t>
            </w:r>
            <w:proofErr w:type="spellEnd"/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walidacji analizatora (po 1 opakowaniu)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Okres ważności odczynników, kalibratorów, materiałów kontrolnych minimum 6 miesięcy (licząc od daty dostawy)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Dostawianie/uzupełnianie odczynników w trakcie pracy analizatora.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14913" w:rsidRPr="00C70CD7" w:rsidTr="00A4078F">
        <w:trPr>
          <w:trHeight w:val="255"/>
        </w:trPr>
        <w:tc>
          <w:tcPr>
            <w:tcW w:w="496" w:type="dxa"/>
            <w:shd w:val="clear" w:color="auto" w:fill="auto"/>
            <w:vAlign w:val="center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014913" w:rsidRPr="00C70CD7" w:rsidRDefault="00014913" w:rsidP="00C70CD7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70CD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Test do oznaczania witaminy D wystandaryzowany wg  międzynarodowego wzorca NIST.</w:t>
            </w:r>
          </w:p>
        </w:tc>
        <w:tc>
          <w:tcPr>
            <w:tcW w:w="1984" w:type="dxa"/>
          </w:tcPr>
          <w:p w:rsidR="00014913" w:rsidRPr="00C70CD7" w:rsidRDefault="00014913" w:rsidP="00484C14">
            <w:pPr>
              <w:tabs>
                <w:tab w:val="left" w:pos="360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</w:tbl>
    <w:p w:rsidR="00484C14" w:rsidRPr="00C70CD7" w:rsidRDefault="00484C14" w:rsidP="00484C14">
      <w:pPr>
        <w:tabs>
          <w:tab w:val="left" w:pos="360"/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</w:rPr>
      </w:pPr>
    </w:p>
    <w:p w:rsidR="00484C14" w:rsidRPr="00A4078F" w:rsidRDefault="00484C14" w:rsidP="00484C14">
      <w:pPr>
        <w:tabs>
          <w:tab w:val="left" w:pos="360"/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18"/>
          <w:lang w:eastAsia="pl-PL"/>
        </w:rPr>
      </w:pPr>
    </w:p>
    <w:p w:rsidR="005205F7" w:rsidRPr="00A4078F" w:rsidRDefault="005205F7" w:rsidP="009F070B">
      <w:pPr>
        <w:tabs>
          <w:tab w:val="left" w:pos="360"/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5205F7" w:rsidRPr="00A4078F" w:rsidRDefault="005205F7" w:rsidP="009F070B">
      <w:pPr>
        <w:tabs>
          <w:tab w:val="left" w:pos="360"/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5205F7" w:rsidRPr="00A4078F" w:rsidRDefault="005205F7" w:rsidP="009F070B">
      <w:pPr>
        <w:tabs>
          <w:tab w:val="left" w:pos="360"/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0164F2" w:rsidRPr="00A4078F" w:rsidRDefault="000164F2" w:rsidP="000164F2">
      <w:pPr>
        <w:pStyle w:val="Standard"/>
        <w:rPr>
          <w:rFonts w:ascii="Arial" w:eastAsia="Times New Roman CE" w:hAnsi="Arial" w:cs="Arial"/>
          <w:sz w:val="21"/>
          <w:szCs w:val="21"/>
        </w:rPr>
      </w:pPr>
    </w:p>
    <w:p w:rsidR="000164F2" w:rsidRPr="00A4078F" w:rsidRDefault="000164F2" w:rsidP="000164F2">
      <w:pPr>
        <w:pStyle w:val="Standard"/>
        <w:rPr>
          <w:rFonts w:ascii="Arial" w:hAnsi="Arial" w:cs="Arial"/>
        </w:rPr>
      </w:pPr>
      <w:r w:rsidRPr="00A4078F">
        <w:rPr>
          <w:rFonts w:ascii="Arial" w:eastAsia="Times New Roman CE" w:hAnsi="Arial" w:cs="Arial"/>
          <w:sz w:val="21"/>
          <w:szCs w:val="21"/>
        </w:rPr>
        <w:t>…........................ dnia …....................</w:t>
      </w:r>
      <w:r w:rsidRPr="00A4078F">
        <w:rPr>
          <w:rFonts w:ascii="Arial" w:eastAsia="Times New Roman CE" w:hAnsi="Arial" w:cs="Arial"/>
          <w:sz w:val="21"/>
          <w:szCs w:val="21"/>
        </w:rPr>
        <w:tab/>
      </w:r>
      <w:r w:rsidRPr="00A4078F">
        <w:rPr>
          <w:rFonts w:ascii="Arial" w:eastAsia="Times New Roman CE" w:hAnsi="Arial" w:cs="Arial"/>
          <w:sz w:val="21"/>
          <w:szCs w:val="21"/>
        </w:rPr>
        <w:tab/>
        <w:t xml:space="preserve">           </w:t>
      </w:r>
      <w:r w:rsidRPr="00A4078F">
        <w:rPr>
          <w:rFonts w:ascii="Arial" w:eastAsia="Times New Roman CE" w:hAnsi="Arial" w:cs="Arial"/>
          <w:sz w:val="21"/>
          <w:szCs w:val="21"/>
        </w:rPr>
        <w:tab/>
        <w:t xml:space="preserve">            </w:t>
      </w:r>
      <w:r w:rsidRPr="00A4078F">
        <w:rPr>
          <w:rFonts w:ascii="Arial" w:eastAsia="Times New Roman CE" w:hAnsi="Arial" w:cs="Arial"/>
          <w:sz w:val="18"/>
          <w:szCs w:val="18"/>
        </w:rPr>
        <w:t>.....................................................................</w:t>
      </w:r>
    </w:p>
    <w:p w:rsidR="000164F2" w:rsidRPr="00A4078F" w:rsidRDefault="000164F2" w:rsidP="000164F2">
      <w:pPr>
        <w:pStyle w:val="Standard"/>
        <w:spacing w:after="0" w:line="240" w:lineRule="auto"/>
        <w:rPr>
          <w:rFonts w:ascii="Arial" w:eastAsia="Times New Roman" w:hAnsi="Arial" w:cs="Arial"/>
          <w:lang w:eastAsia="pl-PL"/>
        </w:rPr>
      </w:pPr>
      <w:r w:rsidRPr="00A4078F">
        <w:rPr>
          <w:rFonts w:ascii="Arial" w:eastAsia="Times New Roman CE" w:hAnsi="Arial" w:cs="Arial"/>
          <w:i/>
          <w:iCs/>
          <w:sz w:val="18"/>
          <w:szCs w:val="18"/>
          <w:lang w:eastAsia="pl-PL"/>
        </w:rPr>
        <w:tab/>
      </w:r>
      <w:r w:rsidRPr="00A4078F">
        <w:rPr>
          <w:rFonts w:ascii="Arial" w:eastAsia="Times New Roman CE" w:hAnsi="Arial" w:cs="Arial"/>
          <w:i/>
          <w:iCs/>
          <w:sz w:val="18"/>
          <w:szCs w:val="18"/>
          <w:lang w:eastAsia="pl-PL"/>
        </w:rPr>
        <w:tab/>
      </w:r>
      <w:r w:rsidRPr="00A4078F">
        <w:rPr>
          <w:rFonts w:ascii="Arial" w:eastAsia="Times New Roman CE" w:hAnsi="Arial" w:cs="Arial"/>
          <w:i/>
          <w:iCs/>
          <w:sz w:val="18"/>
          <w:szCs w:val="18"/>
          <w:lang w:eastAsia="pl-PL"/>
        </w:rPr>
        <w:tab/>
      </w:r>
      <w:r w:rsidRPr="00A4078F">
        <w:rPr>
          <w:rFonts w:ascii="Arial" w:eastAsia="Times New Roman CE" w:hAnsi="Arial" w:cs="Arial"/>
          <w:i/>
          <w:iCs/>
          <w:sz w:val="18"/>
          <w:szCs w:val="18"/>
          <w:lang w:eastAsia="pl-PL"/>
        </w:rPr>
        <w:tab/>
      </w:r>
      <w:r w:rsidRPr="00A4078F">
        <w:rPr>
          <w:rFonts w:ascii="Arial" w:eastAsia="Times New Roman CE" w:hAnsi="Arial" w:cs="Arial"/>
          <w:i/>
          <w:iCs/>
          <w:sz w:val="18"/>
          <w:szCs w:val="18"/>
          <w:lang w:eastAsia="pl-PL"/>
        </w:rPr>
        <w:tab/>
      </w:r>
      <w:r w:rsidRPr="00A4078F">
        <w:rPr>
          <w:rFonts w:ascii="Arial" w:eastAsia="Times New Roman CE" w:hAnsi="Arial" w:cs="Arial"/>
          <w:i/>
          <w:iCs/>
          <w:sz w:val="18"/>
          <w:szCs w:val="18"/>
          <w:lang w:eastAsia="pl-PL"/>
        </w:rPr>
        <w:tab/>
      </w:r>
      <w:r w:rsidRPr="00A4078F">
        <w:rPr>
          <w:rFonts w:ascii="Arial" w:eastAsia="Times New Roman CE" w:hAnsi="Arial" w:cs="Arial"/>
          <w:i/>
          <w:iCs/>
          <w:sz w:val="18"/>
          <w:szCs w:val="18"/>
          <w:lang w:eastAsia="pl-PL"/>
        </w:rPr>
        <w:tab/>
        <w:t xml:space="preserve">     (podpis i pieczęć imienna Wykonawcy lub osoby </w:t>
      </w:r>
      <w:r w:rsidRPr="00A4078F">
        <w:rPr>
          <w:rFonts w:ascii="Arial" w:eastAsia="Times New Roman CE" w:hAnsi="Arial" w:cs="Arial"/>
          <w:i/>
          <w:iCs/>
          <w:sz w:val="18"/>
          <w:szCs w:val="18"/>
          <w:lang w:eastAsia="pl-PL"/>
        </w:rPr>
        <w:tab/>
      </w:r>
      <w:r w:rsidRPr="00A4078F">
        <w:rPr>
          <w:rFonts w:ascii="Arial" w:eastAsia="Times New Roman CE" w:hAnsi="Arial" w:cs="Arial"/>
          <w:i/>
          <w:iCs/>
          <w:sz w:val="18"/>
          <w:szCs w:val="18"/>
          <w:lang w:eastAsia="pl-PL"/>
        </w:rPr>
        <w:tab/>
      </w:r>
      <w:r w:rsidRPr="00A4078F">
        <w:rPr>
          <w:rFonts w:ascii="Arial" w:eastAsia="Times New Roman CE" w:hAnsi="Arial" w:cs="Arial"/>
          <w:i/>
          <w:iCs/>
          <w:sz w:val="18"/>
          <w:szCs w:val="18"/>
          <w:lang w:eastAsia="pl-PL"/>
        </w:rPr>
        <w:tab/>
      </w:r>
      <w:r w:rsidRPr="00A4078F">
        <w:rPr>
          <w:rFonts w:ascii="Arial" w:eastAsia="Times New Roman CE" w:hAnsi="Arial" w:cs="Arial"/>
          <w:i/>
          <w:iCs/>
          <w:sz w:val="18"/>
          <w:szCs w:val="18"/>
          <w:lang w:eastAsia="pl-PL"/>
        </w:rPr>
        <w:tab/>
      </w:r>
      <w:r w:rsidRPr="00A4078F">
        <w:rPr>
          <w:rFonts w:ascii="Arial" w:eastAsia="Times New Roman CE" w:hAnsi="Arial" w:cs="Arial"/>
          <w:i/>
          <w:iCs/>
          <w:sz w:val="18"/>
          <w:szCs w:val="18"/>
          <w:lang w:eastAsia="pl-PL"/>
        </w:rPr>
        <w:tab/>
      </w:r>
      <w:r w:rsidRPr="00A4078F">
        <w:rPr>
          <w:rFonts w:ascii="Arial" w:eastAsia="Times New Roman CE" w:hAnsi="Arial" w:cs="Arial"/>
          <w:i/>
          <w:iCs/>
          <w:sz w:val="18"/>
          <w:szCs w:val="18"/>
          <w:lang w:eastAsia="pl-PL"/>
        </w:rPr>
        <w:tab/>
      </w:r>
      <w:r w:rsidRPr="00A4078F">
        <w:rPr>
          <w:rFonts w:ascii="Arial" w:eastAsia="Times New Roman CE" w:hAnsi="Arial" w:cs="Arial"/>
          <w:i/>
          <w:iCs/>
          <w:sz w:val="18"/>
          <w:szCs w:val="18"/>
          <w:lang w:eastAsia="pl-PL"/>
        </w:rPr>
        <w:tab/>
        <w:t xml:space="preserve">      </w:t>
      </w:r>
      <w:r w:rsidRPr="00A4078F">
        <w:rPr>
          <w:rFonts w:ascii="Arial" w:eastAsia="Times New Roman CE" w:hAnsi="Arial" w:cs="Arial"/>
          <w:i/>
          <w:iCs/>
          <w:sz w:val="18"/>
          <w:szCs w:val="18"/>
          <w:lang w:eastAsia="pl-PL"/>
        </w:rPr>
        <w:tab/>
        <w:t xml:space="preserve">       upoważnionej do jego reprezentowania)</w:t>
      </w:r>
    </w:p>
    <w:sectPr w:rsidR="000164F2" w:rsidRPr="00A4078F" w:rsidSect="00300417">
      <w:headerReference w:type="default" r:id="rId8"/>
      <w:pgSz w:w="11906" w:h="16838"/>
      <w:pgMar w:top="794" w:right="1021" w:bottom="79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611" w:rsidRDefault="00DC2611" w:rsidP="0087344A">
      <w:pPr>
        <w:spacing w:after="0" w:line="240" w:lineRule="auto"/>
      </w:pPr>
      <w:r>
        <w:separator/>
      </w:r>
    </w:p>
  </w:endnote>
  <w:endnote w:type="continuationSeparator" w:id="0">
    <w:p w:rsidR="00DC2611" w:rsidRDefault="00DC2611" w:rsidP="0087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611" w:rsidRDefault="00DC2611" w:rsidP="0087344A">
      <w:pPr>
        <w:spacing w:after="0" w:line="240" w:lineRule="auto"/>
      </w:pPr>
      <w:r>
        <w:separator/>
      </w:r>
    </w:p>
  </w:footnote>
  <w:footnote w:type="continuationSeparator" w:id="0">
    <w:p w:rsidR="00DC2611" w:rsidRDefault="00DC2611" w:rsidP="0087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44A" w:rsidRPr="0087344A" w:rsidRDefault="0087344A" w:rsidP="0087344A">
    <w:pPr>
      <w:pStyle w:val="Nagwek"/>
      <w:jc w:val="right"/>
      <w:rPr>
        <w:rFonts w:ascii="Times New Roman" w:hAnsi="Times New Roman" w:cs="Times New Roman"/>
      </w:rPr>
    </w:pPr>
    <w:r w:rsidRPr="0087344A">
      <w:rPr>
        <w:rFonts w:ascii="Times New Roman" w:hAnsi="Times New Roman" w:cs="Times New Roman"/>
      </w:rPr>
      <w:fldChar w:fldCharType="begin"/>
    </w:r>
    <w:r w:rsidRPr="0087344A">
      <w:rPr>
        <w:rFonts w:ascii="Times New Roman" w:hAnsi="Times New Roman" w:cs="Times New Roman"/>
      </w:rPr>
      <w:instrText xml:space="preserve"> PAGE   \* MERGEFORMAT </w:instrText>
    </w:r>
    <w:r w:rsidRPr="0087344A">
      <w:rPr>
        <w:rFonts w:ascii="Times New Roman" w:hAnsi="Times New Roman" w:cs="Times New Roman"/>
      </w:rPr>
      <w:fldChar w:fldCharType="separate"/>
    </w:r>
    <w:r w:rsidR="0067191E">
      <w:rPr>
        <w:rFonts w:ascii="Times New Roman" w:hAnsi="Times New Roman" w:cs="Times New Roman"/>
        <w:noProof/>
      </w:rPr>
      <w:t>2</w:t>
    </w:r>
    <w:r w:rsidRPr="0087344A">
      <w:rPr>
        <w:rFonts w:ascii="Times New Roman" w:hAnsi="Times New Roman" w:cs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081"/>
    <w:multiLevelType w:val="hybridMultilevel"/>
    <w:tmpl w:val="1B804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7E4C"/>
    <w:multiLevelType w:val="multilevel"/>
    <w:tmpl w:val="2046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110F6E"/>
    <w:multiLevelType w:val="hybridMultilevel"/>
    <w:tmpl w:val="55E84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B102D"/>
    <w:multiLevelType w:val="hybridMultilevel"/>
    <w:tmpl w:val="7D661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22C58"/>
    <w:multiLevelType w:val="hybridMultilevel"/>
    <w:tmpl w:val="B63ED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F7A6F"/>
    <w:multiLevelType w:val="hybridMultilevel"/>
    <w:tmpl w:val="74B4A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35"/>
    <w:rsid w:val="00014913"/>
    <w:rsid w:val="000164F2"/>
    <w:rsid w:val="0004496C"/>
    <w:rsid w:val="000A4DA4"/>
    <w:rsid w:val="000C34B4"/>
    <w:rsid w:val="0010747D"/>
    <w:rsid w:val="00185A80"/>
    <w:rsid w:val="001B6F27"/>
    <w:rsid w:val="001E19BB"/>
    <w:rsid w:val="00216E6A"/>
    <w:rsid w:val="002705F4"/>
    <w:rsid w:val="0027248A"/>
    <w:rsid w:val="00281530"/>
    <w:rsid w:val="00285032"/>
    <w:rsid w:val="002A6533"/>
    <w:rsid w:val="002B4960"/>
    <w:rsid w:val="00300417"/>
    <w:rsid w:val="00355899"/>
    <w:rsid w:val="0038065E"/>
    <w:rsid w:val="00441E68"/>
    <w:rsid w:val="0045204E"/>
    <w:rsid w:val="00474C8C"/>
    <w:rsid w:val="00481DB0"/>
    <w:rsid w:val="00484C14"/>
    <w:rsid w:val="004B6432"/>
    <w:rsid w:val="004C03C2"/>
    <w:rsid w:val="00513DF0"/>
    <w:rsid w:val="005205F7"/>
    <w:rsid w:val="00562F2B"/>
    <w:rsid w:val="00605960"/>
    <w:rsid w:val="0066103E"/>
    <w:rsid w:val="0067191E"/>
    <w:rsid w:val="006E16A4"/>
    <w:rsid w:val="006F6519"/>
    <w:rsid w:val="006F69FE"/>
    <w:rsid w:val="0074013F"/>
    <w:rsid w:val="007556F4"/>
    <w:rsid w:val="00795FC7"/>
    <w:rsid w:val="007C3337"/>
    <w:rsid w:val="00810A11"/>
    <w:rsid w:val="0081545B"/>
    <w:rsid w:val="008612B2"/>
    <w:rsid w:val="0087344A"/>
    <w:rsid w:val="008D16D0"/>
    <w:rsid w:val="008E097D"/>
    <w:rsid w:val="009108F8"/>
    <w:rsid w:val="009413BC"/>
    <w:rsid w:val="009569F8"/>
    <w:rsid w:val="009F02FA"/>
    <w:rsid w:val="009F070B"/>
    <w:rsid w:val="00A25922"/>
    <w:rsid w:val="00A4078F"/>
    <w:rsid w:val="00A509C3"/>
    <w:rsid w:val="00A62F82"/>
    <w:rsid w:val="00A87E2E"/>
    <w:rsid w:val="00AC6408"/>
    <w:rsid w:val="00B22332"/>
    <w:rsid w:val="00B27C33"/>
    <w:rsid w:val="00B401D9"/>
    <w:rsid w:val="00B57DF5"/>
    <w:rsid w:val="00B777B0"/>
    <w:rsid w:val="00B95E23"/>
    <w:rsid w:val="00B974D2"/>
    <w:rsid w:val="00BB021E"/>
    <w:rsid w:val="00BB03C0"/>
    <w:rsid w:val="00BD54A6"/>
    <w:rsid w:val="00C02E68"/>
    <w:rsid w:val="00C44838"/>
    <w:rsid w:val="00C471E2"/>
    <w:rsid w:val="00C56CE1"/>
    <w:rsid w:val="00C62947"/>
    <w:rsid w:val="00C649BE"/>
    <w:rsid w:val="00C70CD7"/>
    <w:rsid w:val="00C7616D"/>
    <w:rsid w:val="00C81ED4"/>
    <w:rsid w:val="00CC7C6B"/>
    <w:rsid w:val="00CD3B35"/>
    <w:rsid w:val="00D66DB7"/>
    <w:rsid w:val="00D72A0A"/>
    <w:rsid w:val="00DC2611"/>
    <w:rsid w:val="00DD6602"/>
    <w:rsid w:val="00E342BE"/>
    <w:rsid w:val="00E45E51"/>
    <w:rsid w:val="00E91AC0"/>
    <w:rsid w:val="00EC4839"/>
    <w:rsid w:val="00EE06DC"/>
    <w:rsid w:val="00F127C7"/>
    <w:rsid w:val="00F25F22"/>
    <w:rsid w:val="00F356AC"/>
    <w:rsid w:val="00F7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C99A9F-B149-43B0-BE4B-747CA197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77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44A"/>
  </w:style>
  <w:style w:type="paragraph" w:styleId="Stopka">
    <w:name w:val="footer"/>
    <w:basedOn w:val="Normalny"/>
    <w:link w:val="StopkaZnak"/>
    <w:uiPriority w:val="99"/>
    <w:unhideWhenUsed/>
    <w:rsid w:val="0087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44A"/>
  </w:style>
  <w:style w:type="table" w:customStyle="1" w:styleId="Tabela-Siatka1">
    <w:name w:val="Tabela - Siatka1"/>
    <w:basedOn w:val="Standardowy"/>
    <w:next w:val="Tabela-Siatka"/>
    <w:uiPriority w:val="59"/>
    <w:rsid w:val="0087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164F2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69E5-BAB6-40AC-AD71-5247D3FD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Grażyna Kowalczyk</cp:lastModifiedBy>
  <cp:revision>18</cp:revision>
  <cp:lastPrinted>2016-05-12T12:11:00Z</cp:lastPrinted>
  <dcterms:created xsi:type="dcterms:W3CDTF">2021-12-13T10:39:00Z</dcterms:created>
  <dcterms:modified xsi:type="dcterms:W3CDTF">2021-12-14T07:40:00Z</dcterms:modified>
</cp:coreProperties>
</file>