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BF74F" w14:textId="4E223F48" w:rsidR="006B4F96" w:rsidRPr="0032187F" w:rsidRDefault="00174399" w:rsidP="006B4F96">
      <w:pPr>
        <w:spacing w:after="0" w:line="240" w:lineRule="auto"/>
        <w:rPr>
          <w:rFonts w:cstheme="minorHAnsi"/>
        </w:rPr>
      </w:pPr>
      <w:proofErr w:type="spellStart"/>
      <w:r>
        <w:t>Białystok</w:t>
      </w:r>
      <w:proofErr w:type="spellEnd"/>
      <w:r>
        <w:t>, 20</w:t>
      </w:r>
      <w:r w:rsidR="006B4F96">
        <w:t xml:space="preserve"> May 2024</w:t>
      </w:r>
    </w:p>
    <w:p w14:paraId="4E7B6492" w14:textId="77777777" w:rsidR="006B4F96" w:rsidRPr="0032187F" w:rsidRDefault="006B4F96" w:rsidP="006B4F96">
      <w:pPr>
        <w:spacing w:after="0" w:line="240" w:lineRule="auto"/>
        <w:rPr>
          <w:rFonts w:cstheme="minorHAnsi"/>
        </w:rPr>
      </w:pPr>
      <w:r>
        <w:t xml:space="preserve"> </w:t>
      </w:r>
    </w:p>
    <w:p w14:paraId="6ECE0AD4" w14:textId="5D89ED86" w:rsidR="006B4F96" w:rsidRPr="0032187F" w:rsidRDefault="006B4F96" w:rsidP="006B4F96">
      <w:pPr>
        <w:spacing w:after="0" w:line="240" w:lineRule="auto"/>
        <w:rPr>
          <w:rFonts w:cstheme="minorHAnsi"/>
        </w:rPr>
      </w:pPr>
      <w:r>
        <w:t>Case no.:</w:t>
      </w:r>
      <w:r>
        <w:rPr>
          <w:b/>
        </w:rPr>
        <w:t xml:space="preserve"> AZP.25.2.1.2024</w:t>
      </w:r>
      <w:r>
        <w:rPr>
          <w:b/>
        </w:rPr>
        <w:tab/>
      </w:r>
      <w:r>
        <w:rPr>
          <w:b/>
        </w:rPr>
        <w:tab/>
      </w:r>
      <w:r>
        <w:rPr>
          <w:b/>
        </w:rPr>
        <w:tab/>
      </w:r>
      <w:r>
        <w:rPr>
          <w:b/>
        </w:rPr>
        <w:tab/>
      </w:r>
      <w:r>
        <w:rPr>
          <w:b/>
        </w:rPr>
        <w:tab/>
      </w:r>
    </w:p>
    <w:p w14:paraId="71826664" w14:textId="77777777" w:rsidR="006B4F96" w:rsidRPr="0032187F" w:rsidRDefault="006B4F96" w:rsidP="006B4F96">
      <w:pPr>
        <w:spacing w:after="0" w:line="240" w:lineRule="auto"/>
        <w:rPr>
          <w:rFonts w:cstheme="minorHAnsi"/>
          <w:b/>
        </w:rPr>
      </w:pPr>
    </w:p>
    <w:p w14:paraId="15447FF1" w14:textId="77777777" w:rsidR="00660F1A" w:rsidRDefault="00660F1A" w:rsidP="006B4F96">
      <w:pPr>
        <w:spacing w:line="360" w:lineRule="auto"/>
        <w:rPr>
          <w:rFonts w:cstheme="minorHAnsi"/>
          <w:b/>
          <w:lang w:eastAsia="zh-CN"/>
        </w:rPr>
      </w:pPr>
    </w:p>
    <w:p w14:paraId="2E3DC641" w14:textId="4CFA2C6E" w:rsidR="00660F1A" w:rsidRDefault="006B4F96" w:rsidP="003D445C">
      <w:pPr>
        <w:spacing w:after="0" w:line="360" w:lineRule="auto"/>
        <w:rPr>
          <w:rFonts w:cstheme="minorHAnsi"/>
          <w:b/>
        </w:rPr>
      </w:pPr>
      <w:r>
        <w:rPr>
          <w:b/>
        </w:rPr>
        <w:t xml:space="preserve">ANNOUNCEMENT ON THE SELECTION OF THE MOST BENEFICIAL OFFER – in the tender procedure for the service of effective recruitment of students for the 6-year </w:t>
      </w:r>
      <w:r w:rsidR="002962F3">
        <w:rPr>
          <w:b/>
        </w:rPr>
        <w:t>MD programme</w:t>
      </w:r>
      <w:r>
        <w:rPr>
          <w:b/>
        </w:rPr>
        <w:t xml:space="preserve"> conducted in English at the Medical University of Bialystok according to the six-year programme in place in the European Union for the three subsequent academic years, </w:t>
      </w:r>
      <w:r w:rsidR="003D445C">
        <w:rPr>
          <w:b/>
        </w:rPr>
        <w:t>from the following areas: Lebanon, Saudi Arabia, Great Britain, USA, Egypt, United Arab Emirates and others</w:t>
      </w:r>
      <w:r w:rsidR="002962F3">
        <w:rPr>
          <w:b/>
        </w:rPr>
        <w:t>.</w:t>
      </w:r>
    </w:p>
    <w:p w14:paraId="010E956A" w14:textId="77777777" w:rsidR="003D445C" w:rsidRDefault="003D445C" w:rsidP="00660F1A">
      <w:pPr>
        <w:shd w:val="clear" w:color="auto" w:fill="FFFFFF"/>
        <w:suppressAutoHyphens/>
        <w:autoSpaceDE w:val="0"/>
        <w:autoSpaceDN w:val="0"/>
        <w:adjustRightInd w:val="0"/>
        <w:spacing w:line="360" w:lineRule="auto"/>
        <w:rPr>
          <w:rFonts w:cstheme="minorHAnsi"/>
          <w:bCs/>
        </w:rPr>
      </w:pPr>
    </w:p>
    <w:p w14:paraId="787D2BA4" w14:textId="1BF8920F" w:rsidR="006B4F96" w:rsidRPr="00660F1A" w:rsidRDefault="006B4F96" w:rsidP="00660F1A">
      <w:pPr>
        <w:shd w:val="clear" w:color="auto" w:fill="FFFFFF"/>
        <w:suppressAutoHyphens/>
        <w:autoSpaceDE w:val="0"/>
        <w:autoSpaceDN w:val="0"/>
        <w:adjustRightInd w:val="0"/>
        <w:spacing w:line="360" w:lineRule="auto"/>
        <w:rPr>
          <w:rFonts w:cstheme="minorHAnsi"/>
          <w:bCs/>
        </w:rPr>
      </w:pPr>
      <w:r>
        <w:t xml:space="preserve">Pursuant to Article 253 (1 and 2) of the Act of 11 September 2019 on Public Procurement (that is, Journal of Laws from 2023, item 1605 as amended), hereinafter referred to as Public Procurement Law, the Ordering Party informs that offer </w:t>
      </w:r>
      <w:r>
        <w:rPr>
          <w:b/>
          <w:bCs/>
        </w:rPr>
        <w:t xml:space="preserve">no. 1 submitted by the Contractor Medlink Students Limited, 45 Twemlow Avenue, Poole, Dorset, BH14 8AL and the </w:t>
      </w:r>
      <w:r w:rsidR="00AD67BE">
        <w:rPr>
          <w:b/>
          <w:bCs/>
        </w:rPr>
        <w:t>offered</w:t>
      </w:r>
      <w:r>
        <w:rPr>
          <w:b/>
          <w:bCs/>
        </w:rPr>
        <w:t xml:space="preserve"> price of – EUR 302 580.00 (100 860,00 x 3)</w:t>
      </w:r>
      <w:r>
        <w:t xml:space="preserve"> was selected as the most beneficial offer.</w:t>
      </w:r>
    </w:p>
    <w:p w14:paraId="1F47FE1D" w14:textId="77777777" w:rsidR="006B4F96" w:rsidRPr="0032187F" w:rsidRDefault="006B4F96" w:rsidP="006B4F96">
      <w:pPr>
        <w:shd w:val="clear" w:color="auto" w:fill="FFFFFF"/>
        <w:suppressAutoHyphens/>
        <w:autoSpaceDE w:val="0"/>
        <w:autoSpaceDN w:val="0"/>
        <w:adjustRightInd w:val="0"/>
        <w:spacing w:line="360" w:lineRule="auto"/>
        <w:rPr>
          <w:rFonts w:cstheme="minorHAnsi"/>
          <w:bCs/>
          <w:u w:val="single"/>
        </w:rPr>
      </w:pPr>
      <w:r>
        <w:rPr>
          <w:u w:val="single"/>
        </w:rPr>
        <w:t xml:space="preserve">Justification of the selection: </w:t>
      </w:r>
      <w:r>
        <w:t>In accordance with Art. 239 sec. 1 of the Public Procurement Law, the Ordering Party selects the most beneficial offer on the basis of the criteria of assessment of offers specified in the tender documentation.</w:t>
      </w:r>
    </w:p>
    <w:p w14:paraId="27EC5250" w14:textId="77777777" w:rsidR="006B4F96" w:rsidRPr="0032187F" w:rsidRDefault="006B4F96" w:rsidP="006B4F96">
      <w:pPr>
        <w:shd w:val="clear" w:color="auto" w:fill="FFFFFF"/>
        <w:suppressAutoHyphens/>
        <w:autoSpaceDE w:val="0"/>
        <w:autoSpaceDN w:val="0"/>
        <w:adjustRightInd w:val="0"/>
        <w:spacing w:line="360" w:lineRule="auto"/>
        <w:rPr>
          <w:rFonts w:cstheme="minorHAnsi"/>
          <w:bCs/>
        </w:rPr>
      </w:pPr>
      <w:r>
        <w:t xml:space="preserve">Points granted to the offers in the offer price criteria and the total number of points: </w:t>
      </w:r>
    </w:p>
    <w:p w14:paraId="301E8E3F" w14:textId="42230B13" w:rsidR="006B4F96" w:rsidRPr="0032187F" w:rsidRDefault="006B4F96" w:rsidP="006B4F96">
      <w:pPr>
        <w:shd w:val="clear" w:color="auto" w:fill="FFFFFF"/>
        <w:suppressAutoHyphens/>
        <w:autoSpaceDE w:val="0"/>
        <w:autoSpaceDN w:val="0"/>
        <w:adjustRightInd w:val="0"/>
        <w:spacing w:after="0" w:line="240" w:lineRule="auto"/>
        <w:rPr>
          <w:rFonts w:cstheme="minorHAnsi"/>
          <w:b/>
          <w:bCs/>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984"/>
        <w:gridCol w:w="2268"/>
        <w:gridCol w:w="1134"/>
      </w:tblGrid>
      <w:tr w:rsidR="006B4F96" w:rsidRPr="0032187F" w14:paraId="45151975" w14:textId="77777777" w:rsidTr="008956A7">
        <w:trPr>
          <w:trHeight w:val="657"/>
        </w:trPr>
        <w:tc>
          <w:tcPr>
            <w:tcW w:w="851" w:type="dxa"/>
            <w:shd w:val="clear" w:color="auto" w:fill="auto"/>
            <w:hideMark/>
          </w:tcPr>
          <w:p w14:paraId="1F43CFCB"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Offer no.</w:t>
            </w:r>
          </w:p>
        </w:tc>
        <w:tc>
          <w:tcPr>
            <w:tcW w:w="2977" w:type="dxa"/>
            <w:shd w:val="clear" w:color="auto" w:fill="auto"/>
            <w:hideMark/>
          </w:tcPr>
          <w:p w14:paraId="07876E79" w14:textId="753E67C7" w:rsidR="006B4F96" w:rsidRPr="0032187F" w:rsidRDefault="002962F3" w:rsidP="008956A7">
            <w:pPr>
              <w:shd w:val="clear" w:color="auto" w:fill="FFFFFF"/>
              <w:suppressAutoHyphens/>
              <w:autoSpaceDE w:val="0"/>
              <w:autoSpaceDN w:val="0"/>
              <w:adjustRightInd w:val="0"/>
              <w:spacing w:after="0" w:line="240" w:lineRule="auto"/>
              <w:rPr>
                <w:rFonts w:cstheme="minorHAnsi"/>
                <w:bCs/>
                <w:sz w:val="20"/>
                <w:szCs w:val="20"/>
              </w:rPr>
            </w:pPr>
            <w:r>
              <w:rPr>
                <w:sz w:val="20"/>
              </w:rPr>
              <w:t>The Contractor</w:t>
            </w:r>
          </w:p>
        </w:tc>
        <w:tc>
          <w:tcPr>
            <w:tcW w:w="1984" w:type="dxa"/>
            <w:shd w:val="clear" w:color="auto" w:fill="auto"/>
            <w:hideMark/>
          </w:tcPr>
          <w:p w14:paraId="71A5D59F"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 xml:space="preserve">Number of points </w:t>
            </w:r>
          </w:p>
          <w:p w14:paraId="02012169"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In the criterion “offered price” - 60%</w:t>
            </w:r>
          </w:p>
        </w:tc>
        <w:tc>
          <w:tcPr>
            <w:tcW w:w="2268" w:type="dxa"/>
          </w:tcPr>
          <w:p w14:paraId="006B7B4F"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 xml:space="preserve">Number of points </w:t>
            </w:r>
          </w:p>
          <w:p w14:paraId="36664817"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in the criterion</w:t>
            </w:r>
          </w:p>
          <w:p w14:paraId="0CE86249" w14:textId="06EB9C0F" w:rsidR="006B4F96" w:rsidRPr="0032187F" w:rsidRDefault="003D445C" w:rsidP="008956A7">
            <w:pPr>
              <w:shd w:val="clear" w:color="auto" w:fill="FFFFFF"/>
              <w:suppressAutoHyphens/>
              <w:autoSpaceDE w:val="0"/>
              <w:autoSpaceDN w:val="0"/>
              <w:adjustRightInd w:val="0"/>
              <w:spacing w:after="0" w:line="240" w:lineRule="auto"/>
              <w:rPr>
                <w:rFonts w:cstheme="minorHAnsi"/>
                <w:bCs/>
                <w:sz w:val="20"/>
                <w:szCs w:val="20"/>
              </w:rPr>
            </w:pPr>
            <w:r>
              <w:rPr>
                <w:sz w:val="20"/>
              </w:rPr>
              <w:t>“experience of the person allocated for order realization – 40%</w:t>
            </w:r>
          </w:p>
        </w:tc>
        <w:tc>
          <w:tcPr>
            <w:tcW w:w="1134" w:type="dxa"/>
            <w:shd w:val="clear" w:color="auto" w:fill="auto"/>
            <w:hideMark/>
          </w:tcPr>
          <w:p w14:paraId="4A0F3946"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Cs/>
                <w:sz w:val="20"/>
                <w:szCs w:val="20"/>
              </w:rPr>
            </w:pPr>
            <w:r>
              <w:rPr>
                <w:sz w:val="20"/>
              </w:rPr>
              <w:t>Total number of points</w:t>
            </w:r>
          </w:p>
        </w:tc>
      </w:tr>
      <w:tr w:rsidR="006B4F96" w:rsidRPr="0032187F" w14:paraId="7EF6662A" w14:textId="77777777" w:rsidTr="008956A7">
        <w:trPr>
          <w:trHeight w:val="429"/>
        </w:trPr>
        <w:tc>
          <w:tcPr>
            <w:tcW w:w="851" w:type="dxa"/>
            <w:shd w:val="clear" w:color="auto" w:fill="auto"/>
          </w:tcPr>
          <w:p w14:paraId="557E6DFA" w14:textId="5DA8F9A4" w:rsidR="006B4F96" w:rsidRPr="0032187F" w:rsidRDefault="00660F1A" w:rsidP="008956A7">
            <w:pPr>
              <w:shd w:val="clear" w:color="auto" w:fill="FFFFFF"/>
              <w:suppressAutoHyphens/>
              <w:autoSpaceDE w:val="0"/>
              <w:autoSpaceDN w:val="0"/>
              <w:adjustRightInd w:val="0"/>
              <w:spacing w:after="0" w:line="240" w:lineRule="auto"/>
              <w:rPr>
                <w:rFonts w:cstheme="minorHAnsi"/>
                <w:b/>
                <w:bCs/>
                <w:sz w:val="20"/>
                <w:szCs w:val="20"/>
              </w:rPr>
            </w:pPr>
            <w:r>
              <w:rPr>
                <w:b/>
                <w:sz w:val="20"/>
              </w:rPr>
              <w:t>1</w:t>
            </w:r>
          </w:p>
        </w:tc>
        <w:tc>
          <w:tcPr>
            <w:tcW w:w="2977" w:type="dxa"/>
            <w:shd w:val="clear" w:color="auto" w:fill="auto"/>
          </w:tcPr>
          <w:p w14:paraId="6E4DECCE" w14:textId="79327AC0" w:rsidR="006B4F96" w:rsidRPr="002F226B" w:rsidRDefault="00CC7517" w:rsidP="00CC7517">
            <w:pPr>
              <w:shd w:val="clear" w:color="auto" w:fill="FFFFFF"/>
              <w:suppressAutoHyphens/>
              <w:autoSpaceDE w:val="0"/>
              <w:autoSpaceDN w:val="0"/>
              <w:adjustRightInd w:val="0"/>
              <w:spacing w:after="0" w:line="240" w:lineRule="auto"/>
              <w:rPr>
                <w:rFonts w:cstheme="minorHAnsi"/>
                <w:b/>
                <w:bCs/>
                <w:sz w:val="18"/>
                <w:szCs w:val="18"/>
              </w:rPr>
            </w:pPr>
            <w:r>
              <w:rPr>
                <w:b/>
                <w:sz w:val="18"/>
              </w:rPr>
              <w:t>Medlink Students Limited</w:t>
            </w:r>
            <w:r>
              <w:rPr>
                <w:b/>
                <w:sz w:val="18"/>
              </w:rPr>
              <w:br/>
              <w:t>45 Twemlow Avenue</w:t>
            </w:r>
            <w:r>
              <w:rPr>
                <w:b/>
                <w:sz w:val="18"/>
              </w:rPr>
              <w:br/>
              <w:t>Poole, Dorset, BH14 8AL</w:t>
            </w:r>
          </w:p>
        </w:tc>
        <w:tc>
          <w:tcPr>
            <w:tcW w:w="1984" w:type="dxa"/>
            <w:shd w:val="clear" w:color="auto" w:fill="auto"/>
          </w:tcPr>
          <w:p w14:paraId="3E8284A3" w14:textId="77777777" w:rsidR="006B4F96" w:rsidRPr="0032187F" w:rsidRDefault="006B4F96" w:rsidP="008956A7">
            <w:pPr>
              <w:shd w:val="clear" w:color="auto" w:fill="FFFFFF"/>
              <w:suppressAutoHyphens/>
              <w:autoSpaceDE w:val="0"/>
              <w:autoSpaceDN w:val="0"/>
              <w:adjustRightInd w:val="0"/>
              <w:spacing w:after="0" w:line="240" w:lineRule="auto"/>
              <w:rPr>
                <w:rFonts w:cstheme="minorHAnsi"/>
                <w:b/>
                <w:bCs/>
                <w:sz w:val="20"/>
                <w:szCs w:val="20"/>
              </w:rPr>
            </w:pPr>
            <w:r>
              <w:rPr>
                <w:b/>
                <w:sz w:val="20"/>
              </w:rPr>
              <w:t>60</w:t>
            </w:r>
          </w:p>
        </w:tc>
        <w:tc>
          <w:tcPr>
            <w:tcW w:w="2268" w:type="dxa"/>
          </w:tcPr>
          <w:p w14:paraId="302726F9" w14:textId="17CE92CA" w:rsidR="006B4F96" w:rsidRPr="0032187F" w:rsidRDefault="003D445C" w:rsidP="008956A7">
            <w:pPr>
              <w:shd w:val="clear" w:color="auto" w:fill="FFFFFF"/>
              <w:suppressAutoHyphens/>
              <w:autoSpaceDE w:val="0"/>
              <w:autoSpaceDN w:val="0"/>
              <w:adjustRightInd w:val="0"/>
              <w:spacing w:after="0" w:line="240" w:lineRule="auto"/>
              <w:rPr>
                <w:rFonts w:cstheme="minorHAnsi"/>
                <w:b/>
                <w:bCs/>
                <w:sz w:val="20"/>
                <w:szCs w:val="20"/>
              </w:rPr>
            </w:pPr>
            <w:r>
              <w:rPr>
                <w:b/>
                <w:sz w:val="20"/>
              </w:rPr>
              <w:t>40</w:t>
            </w:r>
          </w:p>
        </w:tc>
        <w:tc>
          <w:tcPr>
            <w:tcW w:w="1134" w:type="dxa"/>
            <w:shd w:val="clear" w:color="auto" w:fill="auto"/>
          </w:tcPr>
          <w:p w14:paraId="690EFC6A" w14:textId="6AE210B8" w:rsidR="006B4F96" w:rsidRPr="0032187F" w:rsidRDefault="003D445C" w:rsidP="008956A7">
            <w:pPr>
              <w:shd w:val="clear" w:color="auto" w:fill="FFFFFF"/>
              <w:suppressAutoHyphens/>
              <w:autoSpaceDE w:val="0"/>
              <w:autoSpaceDN w:val="0"/>
              <w:adjustRightInd w:val="0"/>
              <w:spacing w:after="0" w:line="240" w:lineRule="auto"/>
              <w:rPr>
                <w:rFonts w:cstheme="minorHAnsi"/>
                <w:b/>
                <w:bCs/>
                <w:sz w:val="20"/>
                <w:szCs w:val="20"/>
              </w:rPr>
            </w:pPr>
            <w:r>
              <w:rPr>
                <w:b/>
                <w:sz w:val="20"/>
              </w:rPr>
              <w:t>100</w:t>
            </w:r>
          </w:p>
        </w:tc>
      </w:tr>
    </w:tbl>
    <w:p w14:paraId="4DBA5C88" w14:textId="2E4802BF" w:rsidR="006B4F96" w:rsidRPr="0032187F" w:rsidRDefault="006B4F96" w:rsidP="006B4F96">
      <w:pPr>
        <w:shd w:val="clear" w:color="auto" w:fill="FFFFFF"/>
        <w:suppressAutoHyphens/>
        <w:autoSpaceDE w:val="0"/>
        <w:autoSpaceDN w:val="0"/>
        <w:adjustRightInd w:val="0"/>
        <w:spacing w:after="0" w:line="240" w:lineRule="auto"/>
        <w:rPr>
          <w:rFonts w:cstheme="minorHAnsi"/>
          <w:b/>
          <w:bCs/>
          <w:sz w:val="20"/>
          <w:szCs w:val="20"/>
        </w:rPr>
      </w:pPr>
    </w:p>
    <w:p w14:paraId="1B9E242C" w14:textId="77777777" w:rsidR="00660F1A" w:rsidRDefault="006B4F96" w:rsidP="006B4F96">
      <w:pPr>
        <w:autoSpaceDN w:val="0"/>
        <w:spacing w:after="0" w:line="240" w:lineRule="auto"/>
        <w:rPr>
          <w:rFonts w:cstheme="minorHAnsi"/>
          <w:iCs/>
        </w:rPr>
      </w:pPr>
      <w:r>
        <w:tab/>
      </w:r>
    </w:p>
    <w:p w14:paraId="240DD3CF" w14:textId="1CDE5ABE" w:rsidR="006B4F96" w:rsidRPr="0032187F" w:rsidRDefault="006B4F96" w:rsidP="006B4F96">
      <w:pPr>
        <w:autoSpaceDN w:val="0"/>
        <w:spacing w:after="0" w:line="240" w:lineRule="auto"/>
        <w:rPr>
          <w:rFonts w:cstheme="minorHAnsi"/>
        </w:rPr>
      </w:pPr>
      <w:r>
        <w:t xml:space="preserve">   </w:t>
      </w:r>
      <w:r>
        <w:rPr>
          <w:b/>
        </w:rPr>
        <w:t xml:space="preserve">  </w:t>
      </w:r>
      <w:r>
        <w:rPr>
          <w:b/>
        </w:rPr>
        <w:tab/>
      </w:r>
      <w:r>
        <w:rPr>
          <w:b/>
        </w:rPr>
        <w:tab/>
      </w:r>
    </w:p>
    <w:p w14:paraId="69D1AC4F" w14:textId="77777777" w:rsidR="006B4F96" w:rsidRPr="0032187F" w:rsidRDefault="006B4F96" w:rsidP="006B4F96">
      <w:pPr>
        <w:spacing w:after="0" w:line="240" w:lineRule="auto"/>
        <w:rPr>
          <w:rFonts w:cstheme="minorHAnsi"/>
          <w:b/>
        </w:rPr>
      </w:pPr>
      <w:r>
        <w:rPr>
          <w:b/>
        </w:rPr>
        <w:t>On behalf of the Ordering Party</w:t>
      </w:r>
    </w:p>
    <w:p w14:paraId="2BCC3AC7" w14:textId="77777777" w:rsidR="006B4F96" w:rsidRPr="0032187F" w:rsidRDefault="006B4F96" w:rsidP="006B4F96">
      <w:pPr>
        <w:spacing w:after="0" w:line="240" w:lineRule="auto"/>
        <w:rPr>
          <w:rFonts w:cstheme="minorHAnsi"/>
          <w:bCs/>
          <w:spacing w:val="-4"/>
        </w:rPr>
      </w:pPr>
    </w:p>
    <w:p w14:paraId="407AC3F5" w14:textId="755C0029" w:rsidR="002962F3" w:rsidRDefault="006B4F96" w:rsidP="006B4F96">
      <w:pPr>
        <w:spacing w:after="0" w:line="240" w:lineRule="auto"/>
        <w:rPr>
          <w:b/>
        </w:rPr>
      </w:pPr>
      <w:r>
        <w:rPr>
          <w:b/>
        </w:rPr>
        <w:t xml:space="preserve">Chancellor of the Medical University of Bialystok - </w:t>
      </w:r>
      <w:proofErr w:type="spellStart"/>
      <w:r>
        <w:rPr>
          <w:b/>
        </w:rPr>
        <w:t>mgr</w:t>
      </w:r>
      <w:proofErr w:type="spellEnd"/>
      <w:r>
        <w:rPr>
          <w:b/>
        </w:rPr>
        <w:t xml:space="preserve"> Konrad </w:t>
      </w:r>
      <w:proofErr w:type="spellStart"/>
      <w:r>
        <w:rPr>
          <w:b/>
        </w:rPr>
        <w:t>Raczkowski</w:t>
      </w:r>
      <w:proofErr w:type="spellEnd"/>
      <w:r w:rsidR="00F60A86">
        <w:rPr>
          <w:b/>
        </w:rPr>
        <w:t xml:space="preserve"> </w:t>
      </w:r>
      <w:bookmarkStart w:id="0" w:name="_GoBack"/>
      <w:bookmarkEnd w:id="0"/>
      <w:r>
        <w:rPr>
          <w:b/>
        </w:rPr>
        <w:t>-</w:t>
      </w:r>
    </w:p>
    <w:p w14:paraId="161F6432" w14:textId="77777777" w:rsidR="002962F3" w:rsidRDefault="002962F3" w:rsidP="006B4F96">
      <w:pPr>
        <w:spacing w:after="0" w:line="240" w:lineRule="auto"/>
        <w:rPr>
          <w:b/>
        </w:rPr>
      </w:pPr>
    </w:p>
    <w:p w14:paraId="3B3DFE74" w14:textId="17CB828C" w:rsidR="006B4F96" w:rsidRPr="0032187F" w:rsidRDefault="00F60A86" w:rsidP="00F60A86">
      <w:pPr>
        <w:spacing w:after="0" w:line="240" w:lineRule="auto"/>
        <w:rPr>
          <w:i/>
        </w:rPr>
      </w:pPr>
      <w:r w:rsidRPr="00F60A86">
        <w:rPr>
          <w:i/>
        </w:rPr>
        <w:t>signature on the original document</w:t>
      </w:r>
    </w:p>
    <w:sectPr w:rsidR="006B4F96" w:rsidRPr="0032187F" w:rsidSect="001A2299">
      <w:footerReference w:type="default" r:id="rId10"/>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B8D27" w14:textId="77777777" w:rsidR="008B6F06" w:rsidRDefault="008B6F06" w:rsidP="00064491">
      <w:pPr>
        <w:spacing w:after="0" w:line="240" w:lineRule="auto"/>
      </w:pPr>
      <w:r>
        <w:separator/>
      </w:r>
    </w:p>
  </w:endnote>
  <w:endnote w:type="continuationSeparator" w:id="0">
    <w:p w14:paraId="29BC6060" w14:textId="77777777" w:rsidR="008B6F06" w:rsidRDefault="008B6F06" w:rsidP="0006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E60E" w14:textId="5F0F2857" w:rsidR="00064491" w:rsidRPr="00064491" w:rsidRDefault="00064491" w:rsidP="00C30DD7">
    <w:pPr>
      <w:pStyle w:val="Nagwek"/>
      <w:jc w:val="center"/>
      <w:rPr>
        <w:rFonts w:ascii="Arial" w:eastAsia="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59403" w14:textId="77777777" w:rsidR="008B6F06" w:rsidRDefault="008B6F06" w:rsidP="00064491">
      <w:pPr>
        <w:spacing w:after="0" w:line="240" w:lineRule="auto"/>
      </w:pPr>
      <w:r>
        <w:separator/>
      </w:r>
    </w:p>
  </w:footnote>
  <w:footnote w:type="continuationSeparator" w:id="0">
    <w:p w14:paraId="7B319596" w14:textId="77777777" w:rsidR="008B6F06" w:rsidRDefault="008B6F06" w:rsidP="00064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 w15:restartNumberingAfterBreak="0">
    <w:nsid w:val="0FF2599D"/>
    <w:multiLevelType w:val="hybridMultilevel"/>
    <w:tmpl w:val="7A6C0CA6"/>
    <w:lvl w:ilvl="0" w:tplc="16F0725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5A6CFD"/>
    <w:multiLevelType w:val="hybridMultilevel"/>
    <w:tmpl w:val="4600E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D77679"/>
    <w:multiLevelType w:val="hybridMultilevel"/>
    <w:tmpl w:val="9984F0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715275"/>
    <w:multiLevelType w:val="hybridMultilevel"/>
    <w:tmpl w:val="25188A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AE349B9"/>
    <w:multiLevelType w:val="multilevel"/>
    <w:tmpl w:val="5A1A243C"/>
    <w:lvl w:ilvl="0">
      <w:start w:val="1"/>
      <w:numFmt w:val="upperRoman"/>
      <w:lvlText w:val="%1."/>
      <w:lvlJc w:val="left"/>
      <w:pPr>
        <w:ind w:left="1713" w:hanging="720"/>
      </w:pPr>
      <w:rPr>
        <w:rFonts w:asciiTheme="minorHAnsi" w:eastAsia="Times" w:hAnsiTheme="minorHAnsi" w:cstheme="minorHAnsi"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33C7F"/>
    <w:multiLevelType w:val="hybridMultilevel"/>
    <w:tmpl w:val="0B4CCDE4"/>
    <w:lvl w:ilvl="0" w:tplc="5694FB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27"/>
    <w:rsid w:val="00016E6F"/>
    <w:rsid w:val="000516D8"/>
    <w:rsid w:val="00064491"/>
    <w:rsid w:val="000712EE"/>
    <w:rsid w:val="00096881"/>
    <w:rsid w:val="000B793B"/>
    <w:rsid w:val="000C0D4F"/>
    <w:rsid w:val="000D6171"/>
    <w:rsid w:val="000F6158"/>
    <w:rsid w:val="00160ABF"/>
    <w:rsid w:val="00174399"/>
    <w:rsid w:val="00184909"/>
    <w:rsid w:val="001A2299"/>
    <w:rsid w:val="001C373A"/>
    <w:rsid w:val="001D06E8"/>
    <w:rsid w:val="00242E76"/>
    <w:rsid w:val="0025724E"/>
    <w:rsid w:val="0027567A"/>
    <w:rsid w:val="002962F3"/>
    <w:rsid w:val="002D067E"/>
    <w:rsid w:val="002D2E9B"/>
    <w:rsid w:val="002F226B"/>
    <w:rsid w:val="003033D3"/>
    <w:rsid w:val="00331623"/>
    <w:rsid w:val="003408F5"/>
    <w:rsid w:val="003501C4"/>
    <w:rsid w:val="00371856"/>
    <w:rsid w:val="003B23AE"/>
    <w:rsid w:val="003B6F75"/>
    <w:rsid w:val="003D445C"/>
    <w:rsid w:val="00402031"/>
    <w:rsid w:val="00404654"/>
    <w:rsid w:val="004106E5"/>
    <w:rsid w:val="00435207"/>
    <w:rsid w:val="004B1DB1"/>
    <w:rsid w:val="004D76B6"/>
    <w:rsid w:val="004F12AE"/>
    <w:rsid w:val="00522C52"/>
    <w:rsid w:val="00555C1F"/>
    <w:rsid w:val="00577D99"/>
    <w:rsid w:val="00592822"/>
    <w:rsid w:val="00593D4F"/>
    <w:rsid w:val="005A22FE"/>
    <w:rsid w:val="005E5A51"/>
    <w:rsid w:val="0065434C"/>
    <w:rsid w:val="00655004"/>
    <w:rsid w:val="00660F1A"/>
    <w:rsid w:val="006A2137"/>
    <w:rsid w:val="006B4F96"/>
    <w:rsid w:val="006C736A"/>
    <w:rsid w:val="006D389B"/>
    <w:rsid w:val="00794DCA"/>
    <w:rsid w:val="007B3C8D"/>
    <w:rsid w:val="00814904"/>
    <w:rsid w:val="00835FEF"/>
    <w:rsid w:val="00836532"/>
    <w:rsid w:val="00853C0C"/>
    <w:rsid w:val="00864C72"/>
    <w:rsid w:val="008828F6"/>
    <w:rsid w:val="00885A26"/>
    <w:rsid w:val="008A5D73"/>
    <w:rsid w:val="008B6F06"/>
    <w:rsid w:val="008D0308"/>
    <w:rsid w:val="00915711"/>
    <w:rsid w:val="00922A8D"/>
    <w:rsid w:val="00941D2D"/>
    <w:rsid w:val="00947D96"/>
    <w:rsid w:val="00961CFD"/>
    <w:rsid w:val="00980319"/>
    <w:rsid w:val="009B470B"/>
    <w:rsid w:val="009C2E4C"/>
    <w:rsid w:val="009E53F2"/>
    <w:rsid w:val="009F096E"/>
    <w:rsid w:val="009F51B7"/>
    <w:rsid w:val="00A45D78"/>
    <w:rsid w:val="00A97ABD"/>
    <w:rsid w:val="00AB7B6E"/>
    <w:rsid w:val="00AD67BE"/>
    <w:rsid w:val="00AE7C61"/>
    <w:rsid w:val="00AF5FAF"/>
    <w:rsid w:val="00B03573"/>
    <w:rsid w:val="00B172C0"/>
    <w:rsid w:val="00B3350B"/>
    <w:rsid w:val="00B344E3"/>
    <w:rsid w:val="00B87862"/>
    <w:rsid w:val="00BB1866"/>
    <w:rsid w:val="00BC0A97"/>
    <w:rsid w:val="00BE3154"/>
    <w:rsid w:val="00C30DD7"/>
    <w:rsid w:val="00C347E3"/>
    <w:rsid w:val="00C84710"/>
    <w:rsid w:val="00CB5120"/>
    <w:rsid w:val="00CC7517"/>
    <w:rsid w:val="00CD47B7"/>
    <w:rsid w:val="00CF510C"/>
    <w:rsid w:val="00D15B49"/>
    <w:rsid w:val="00D8648D"/>
    <w:rsid w:val="00D939A0"/>
    <w:rsid w:val="00DA1C27"/>
    <w:rsid w:val="00DA2C78"/>
    <w:rsid w:val="00DA36BD"/>
    <w:rsid w:val="00DB4714"/>
    <w:rsid w:val="00DE224B"/>
    <w:rsid w:val="00DE2452"/>
    <w:rsid w:val="00E01484"/>
    <w:rsid w:val="00E323D2"/>
    <w:rsid w:val="00E655CC"/>
    <w:rsid w:val="00E70835"/>
    <w:rsid w:val="00EF5089"/>
    <w:rsid w:val="00F07856"/>
    <w:rsid w:val="00F14B4C"/>
    <w:rsid w:val="00F56C8B"/>
    <w:rsid w:val="00F60A86"/>
    <w:rsid w:val="00F75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0ADA"/>
  <w15:chartTrackingRefBased/>
  <w15:docId w15:val="{1698B069-865E-447F-8ECF-54F56B2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44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491"/>
  </w:style>
  <w:style w:type="paragraph" w:styleId="Stopka">
    <w:name w:val="footer"/>
    <w:basedOn w:val="Normalny"/>
    <w:link w:val="StopkaZnak"/>
    <w:uiPriority w:val="99"/>
    <w:unhideWhenUsed/>
    <w:rsid w:val="000644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491"/>
  </w:style>
  <w:style w:type="paragraph" w:styleId="Tekstpodstawowy">
    <w:name w:val="Body Text"/>
    <w:basedOn w:val="Normalny"/>
    <w:link w:val="TekstpodstawowyZnak"/>
    <w:uiPriority w:val="1"/>
    <w:qFormat/>
    <w:rsid w:val="00064491"/>
    <w:pPr>
      <w:widowControl w:val="0"/>
      <w:autoSpaceDE w:val="0"/>
      <w:autoSpaceDN w:val="0"/>
      <w:spacing w:after="0" w:line="240" w:lineRule="auto"/>
    </w:pPr>
    <w:rPr>
      <w:rFonts w:ascii="Carlito" w:eastAsia="Carlito" w:hAnsi="Carlito" w:cs="Carlito"/>
      <w:sz w:val="16"/>
      <w:szCs w:val="16"/>
    </w:rPr>
  </w:style>
  <w:style w:type="character" w:customStyle="1" w:styleId="TekstpodstawowyZnak">
    <w:name w:val="Tekst podstawowy Znak"/>
    <w:basedOn w:val="Domylnaczcionkaakapitu"/>
    <w:link w:val="Tekstpodstawowy"/>
    <w:uiPriority w:val="1"/>
    <w:rsid w:val="00064491"/>
    <w:rPr>
      <w:rFonts w:ascii="Carlito" w:eastAsia="Carlito" w:hAnsi="Carlito" w:cs="Carlito"/>
      <w:sz w:val="16"/>
      <w:szCs w:val="16"/>
    </w:rPr>
  </w:style>
  <w:style w:type="paragraph" w:styleId="Tytu">
    <w:name w:val="Title"/>
    <w:basedOn w:val="Normalny"/>
    <w:next w:val="Normalny"/>
    <w:link w:val="TytuZnak1"/>
    <w:uiPriority w:val="10"/>
    <w:qFormat/>
    <w:rsid w:val="00853C0C"/>
    <w:pPr>
      <w:widowControl w:val="0"/>
      <w:suppressAutoHyphens/>
      <w:spacing w:before="240" w:after="60" w:line="240" w:lineRule="auto"/>
      <w:jc w:val="center"/>
      <w:textAlignment w:val="baseline"/>
      <w:outlineLvl w:val="0"/>
    </w:pPr>
    <w:rPr>
      <w:rFonts w:ascii="Calibri Light" w:eastAsia="Times New Roman" w:hAnsi="Calibri Light" w:cs="Mangal"/>
      <w:b/>
      <w:bCs/>
      <w:kern w:val="28"/>
      <w:sz w:val="32"/>
      <w:szCs w:val="29"/>
      <w:lang w:eastAsia="zh-CN" w:bidi="hi-IN"/>
    </w:rPr>
  </w:style>
  <w:style w:type="character" w:customStyle="1" w:styleId="TytuZnak">
    <w:name w:val="Tytuł Znak"/>
    <w:basedOn w:val="Domylnaczcionkaakapitu"/>
    <w:uiPriority w:val="10"/>
    <w:rsid w:val="00853C0C"/>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853C0C"/>
    <w:rPr>
      <w:rFonts w:ascii="Calibri Light" w:eastAsia="Times New Roman" w:hAnsi="Calibri Light" w:cs="Mangal"/>
      <w:b/>
      <w:bCs/>
      <w:kern w:val="28"/>
      <w:sz w:val="32"/>
      <w:szCs w:val="29"/>
      <w:lang w:eastAsia="zh-CN" w:bidi="hi-IN"/>
    </w:rPr>
  </w:style>
  <w:style w:type="paragraph" w:styleId="Podtytu">
    <w:name w:val="Subtitle"/>
    <w:basedOn w:val="Normalny"/>
    <w:next w:val="Normalny"/>
    <w:link w:val="PodtytuZnak"/>
    <w:uiPriority w:val="11"/>
    <w:qFormat/>
    <w:rsid w:val="001A2299"/>
    <w:pPr>
      <w:numPr>
        <w:ilvl w:val="1"/>
      </w:numPr>
    </w:pPr>
    <w:rPr>
      <w:rFonts w:ascii="Calibri" w:eastAsiaTheme="minorEastAsia" w:hAnsi="Calibri"/>
      <w:spacing w:val="15"/>
    </w:rPr>
  </w:style>
  <w:style w:type="character" w:customStyle="1" w:styleId="PodtytuZnak">
    <w:name w:val="Podtytuł Znak"/>
    <w:basedOn w:val="Domylnaczcionkaakapitu"/>
    <w:link w:val="Podtytu"/>
    <w:uiPriority w:val="11"/>
    <w:rsid w:val="001A2299"/>
    <w:rPr>
      <w:rFonts w:ascii="Calibri" w:eastAsiaTheme="minorEastAsia" w:hAnsi="Calibri"/>
      <w:spacing w:val="15"/>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1A2299"/>
    <w:pPr>
      <w:ind w:left="720"/>
      <w:contextualSpacing/>
    </w:pPr>
  </w:style>
  <w:style w:type="paragraph" w:styleId="Tekstdymka">
    <w:name w:val="Balloon Text"/>
    <w:basedOn w:val="Normalny"/>
    <w:link w:val="TekstdymkaZnak"/>
    <w:uiPriority w:val="99"/>
    <w:semiHidden/>
    <w:unhideWhenUsed/>
    <w:rsid w:val="001A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299"/>
    <w:rPr>
      <w:rFonts w:ascii="Segoe UI" w:hAnsi="Segoe UI" w:cs="Segoe UI"/>
      <w:sz w:val="18"/>
      <w:szCs w:val="18"/>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8828F6"/>
  </w:style>
  <w:style w:type="paragraph" w:styleId="Cytat">
    <w:name w:val="Quote"/>
    <w:basedOn w:val="Normalny"/>
    <w:next w:val="Normalny"/>
    <w:link w:val="CytatZnak"/>
    <w:uiPriority w:val="29"/>
    <w:qFormat/>
    <w:rsid w:val="00AE7C61"/>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E7C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3214">
      <w:bodyDiv w:val="1"/>
      <w:marLeft w:val="0"/>
      <w:marRight w:val="0"/>
      <w:marTop w:val="0"/>
      <w:marBottom w:val="0"/>
      <w:divBdr>
        <w:top w:val="none" w:sz="0" w:space="0" w:color="auto"/>
        <w:left w:val="none" w:sz="0" w:space="0" w:color="auto"/>
        <w:bottom w:val="none" w:sz="0" w:space="0" w:color="auto"/>
        <w:right w:val="none" w:sz="0" w:space="0" w:color="auto"/>
      </w:divBdr>
    </w:div>
    <w:div w:id="482738834">
      <w:bodyDiv w:val="1"/>
      <w:marLeft w:val="0"/>
      <w:marRight w:val="0"/>
      <w:marTop w:val="0"/>
      <w:marBottom w:val="0"/>
      <w:divBdr>
        <w:top w:val="none" w:sz="0" w:space="0" w:color="auto"/>
        <w:left w:val="none" w:sz="0" w:space="0" w:color="auto"/>
        <w:bottom w:val="none" w:sz="0" w:space="0" w:color="auto"/>
        <w:right w:val="none" w:sz="0" w:space="0" w:color="auto"/>
      </w:divBdr>
      <w:divsChild>
        <w:div w:id="841316288">
          <w:marLeft w:val="0"/>
          <w:marRight w:val="0"/>
          <w:marTop w:val="0"/>
          <w:marBottom w:val="0"/>
          <w:divBdr>
            <w:top w:val="none" w:sz="0" w:space="0" w:color="auto"/>
            <w:left w:val="none" w:sz="0" w:space="0" w:color="auto"/>
            <w:bottom w:val="none" w:sz="0" w:space="0" w:color="auto"/>
            <w:right w:val="none" w:sz="0" w:space="0" w:color="auto"/>
          </w:divBdr>
        </w:div>
        <w:div w:id="904411808">
          <w:marLeft w:val="0"/>
          <w:marRight w:val="0"/>
          <w:marTop w:val="0"/>
          <w:marBottom w:val="0"/>
          <w:divBdr>
            <w:top w:val="none" w:sz="0" w:space="0" w:color="auto"/>
            <w:left w:val="none" w:sz="0" w:space="0" w:color="auto"/>
            <w:bottom w:val="none" w:sz="0" w:space="0" w:color="auto"/>
            <w:right w:val="none" w:sz="0" w:space="0" w:color="auto"/>
          </w:divBdr>
        </w:div>
      </w:divsChild>
    </w:div>
    <w:div w:id="534583134">
      <w:bodyDiv w:val="1"/>
      <w:marLeft w:val="0"/>
      <w:marRight w:val="0"/>
      <w:marTop w:val="0"/>
      <w:marBottom w:val="0"/>
      <w:divBdr>
        <w:top w:val="none" w:sz="0" w:space="0" w:color="auto"/>
        <w:left w:val="none" w:sz="0" w:space="0" w:color="auto"/>
        <w:bottom w:val="none" w:sz="0" w:space="0" w:color="auto"/>
        <w:right w:val="none" w:sz="0" w:space="0" w:color="auto"/>
      </w:divBdr>
      <w:divsChild>
        <w:div w:id="556823610">
          <w:marLeft w:val="0"/>
          <w:marRight w:val="0"/>
          <w:marTop w:val="0"/>
          <w:marBottom w:val="0"/>
          <w:divBdr>
            <w:top w:val="none" w:sz="0" w:space="0" w:color="auto"/>
            <w:left w:val="none" w:sz="0" w:space="0" w:color="auto"/>
            <w:bottom w:val="none" w:sz="0" w:space="0" w:color="auto"/>
            <w:right w:val="none" w:sz="0" w:space="0" w:color="auto"/>
          </w:divBdr>
        </w:div>
        <w:div w:id="1858619975">
          <w:marLeft w:val="0"/>
          <w:marRight w:val="0"/>
          <w:marTop w:val="0"/>
          <w:marBottom w:val="0"/>
          <w:divBdr>
            <w:top w:val="none" w:sz="0" w:space="0" w:color="auto"/>
            <w:left w:val="none" w:sz="0" w:space="0" w:color="auto"/>
            <w:bottom w:val="none" w:sz="0" w:space="0" w:color="auto"/>
            <w:right w:val="none" w:sz="0" w:space="0" w:color="auto"/>
          </w:divBdr>
        </w:div>
      </w:divsChild>
    </w:div>
    <w:div w:id="6402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C2CBB-C5A5-4778-91D4-2404E8A2E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64B9C-0DF5-4CDF-A098-63B02C3E883F}">
  <ds:schemaRefs>
    <ds:schemaRef ds:uri="http://schemas.microsoft.com/sharepoint/v3/contenttype/forms"/>
  </ds:schemaRefs>
</ds:datastoreItem>
</file>

<file path=customXml/itemProps3.xml><?xml version="1.0" encoding="utf-8"?>
<ds:datastoreItem xmlns:ds="http://schemas.openxmlformats.org/officeDocument/2006/customXml" ds:itemID="{4DD73D1C-516B-4DA0-9E41-032722EEC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245</Words>
  <Characters>1474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Żynel</dc:creator>
  <cp:keywords/>
  <dc:description/>
  <cp:lastModifiedBy>Elżbieta Samsonowicz-Łęczycka</cp:lastModifiedBy>
  <cp:revision>48</cp:revision>
  <cp:lastPrinted>2024-05-17T06:51:00Z</cp:lastPrinted>
  <dcterms:created xsi:type="dcterms:W3CDTF">2022-05-27T07:08:00Z</dcterms:created>
  <dcterms:modified xsi:type="dcterms:W3CDTF">2024-05-20T11:04:00Z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