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83" w:rsidRDefault="006C5A83" w:rsidP="00C04223">
      <w:pPr>
        <w:pStyle w:val="Nagwek"/>
        <w:jc w:val="right"/>
        <w:rPr>
          <w:rFonts w:ascii="Verdana" w:hAnsi="Verdana"/>
          <w:b/>
          <w:sz w:val="20"/>
          <w:szCs w:val="20"/>
        </w:rPr>
      </w:pPr>
    </w:p>
    <w:p w:rsidR="00C04223" w:rsidRPr="00E36148" w:rsidRDefault="00E26357" w:rsidP="00C04223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2</w:t>
      </w:r>
      <w:r w:rsidR="00C04223">
        <w:rPr>
          <w:rFonts w:ascii="Verdana" w:hAnsi="Verdana"/>
          <w:b/>
          <w:sz w:val="20"/>
          <w:szCs w:val="20"/>
        </w:rPr>
        <w:t>a</w:t>
      </w:r>
      <w:r w:rsidR="00C04223" w:rsidRPr="00E36148">
        <w:rPr>
          <w:rFonts w:ascii="Verdana" w:hAnsi="Verdana"/>
          <w:b/>
          <w:sz w:val="20"/>
          <w:szCs w:val="20"/>
        </w:rPr>
        <w:t xml:space="preserve"> do SWZ</w:t>
      </w:r>
    </w:p>
    <w:p w:rsidR="00C04223" w:rsidRPr="00E36148" w:rsidRDefault="00C04223" w:rsidP="00C04223">
      <w:pPr>
        <w:jc w:val="center"/>
        <w:rPr>
          <w:rFonts w:ascii="Verdana" w:hAnsi="Verdana"/>
          <w:b/>
          <w:sz w:val="20"/>
          <w:szCs w:val="20"/>
        </w:rPr>
      </w:pPr>
    </w:p>
    <w:p w:rsidR="00C04223" w:rsidRPr="00E36148" w:rsidRDefault="00C04223" w:rsidP="006C5A8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część druga zamówienia:  dostawa pomocy dydaktycznych </w:t>
      </w:r>
    </w:p>
    <w:p w:rsidR="00C04223" w:rsidRPr="004F56CE" w:rsidRDefault="00C04223" w:rsidP="00C04223">
      <w:pPr>
        <w:spacing w:line="240" w:lineRule="auto"/>
        <w:jc w:val="center"/>
        <w:rPr>
          <w:rFonts w:cs="Calibri"/>
          <w:b/>
          <w:sz w:val="22"/>
          <w:szCs w:val="22"/>
        </w:rPr>
      </w:pPr>
      <w:r w:rsidRPr="004F56CE">
        <w:rPr>
          <w:rFonts w:ascii="Verdana" w:hAnsi="Verdana"/>
          <w:b/>
          <w:bCs/>
          <w:sz w:val="22"/>
          <w:szCs w:val="22"/>
        </w:rPr>
        <w:t>WYMAGANE MINIMALNE PARAMETRY TECHNICZNE</w:t>
      </w:r>
    </w:p>
    <w:p w:rsidR="00A55A89" w:rsidRDefault="00A55A89" w:rsidP="00F352D1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405" w:type="dxa"/>
        <w:tblLayout w:type="fixed"/>
        <w:tblCellMar>
          <w:top w:w="15" w:type="dxa"/>
          <w:left w:w="70" w:type="dxa"/>
          <w:right w:w="70" w:type="dxa"/>
        </w:tblCellMar>
        <w:tblLook w:val="04A0"/>
      </w:tblPr>
      <w:tblGrid>
        <w:gridCol w:w="496"/>
        <w:gridCol w:w="2019"/>
        <w:gridCol w:w="674"/>
        <w:gridCol w:w="5245"/>
        <w:gridCol w:w="5811"/>
        <w:gridCol w:w="160"/>
      </w:tblGrid>
      <w:tr w:rsidR="00E26357" w:rsidRPr="006547C0" w:rsidTr="006C5A83">
        <w:trPr>
          <w:gridAfter w:val="1"/>
          <w:wAfter w:w="160" w:type="dxa"/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6C5A83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Ilość </w:t>
            </w:r>
            <w:r w:rsidR="00E26357"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Szt</w:t>
            </w:r>
            <w:r w:rsidR="00E2635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4F56CE" w:rsidRDefault="00E26357" w:rsidP="00E26357">
            <w:pPr>
              <w:spacing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WYMAGANE MINIMALNE PARAMETRY PRZEDMIOTU ZAMÓWIENIA </w:t>
            </w:r>
          </w:p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65E" w:rsidRDefault="0005765E" w:rsidP="00E26357">
            <w:pPr>
              <w:spacing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:rsidR="00E26357" w:rsidRDefault="00E26357" w:rsidP="00E26357">
            <w:pPr>
              <w:spacing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NAZWA I </w:t>
            </w:r>
            <w:r w:rsidRPr="003A5139">
              <w:rPr>
                <w:rFonts w:ascii="Verdana" w:hAnsi="Verdana" w:cstheme="minorHAnsi"/>
                <w:b/>
                <w:sz w:val="22"/>
                <w:szCs w:val="22"/>
              </w:rPr>
              <w:t xml:space="preserve">PARAMETRY OFEROWANEGO </w:t>
            </w:r>
          </w:p>
          <w:p w:rsidR="00E26357" w:rsidRDefault="00E26357" w:rsidP="00E26357">
            <w:pPr>
              <w:spacing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PRZEDMIOTU ZAMÓWIENIA</w:t>
            </w:r>
          </w:p>
          <w:p w:rsidR="0005765E" w:rsidRPr="006C5A83" w:rsidRDefault="0005765E" w:rsidP="0005765E">
            <w:pPr>
              <w:pStyle w:val="Standard"/>
              <w:autoSpaceDN w:val="0"/>
              <w:ind w:left="390"/>
              <w:jc w:val="center"/>
              <w:textAlignment w:val="baseline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C5A83">
              <w:rPr>
                <w:rFonts w:ascii="Verdana" w:hAnsi="Verdana" w:cstheme="minorHAnsi"/>
                <w:b/>
                <w:sz w:val="20"/>
                <w:szCs w:val="20"/>
              </w:rPr>
              <w:t xml:space="preserve">Wykonawca w poniższej kolumnie (5) </w:t>
            </w:r>
          </w:p>
          <w:p w:rsidR="0005765E" w:rsidRPr="006C5A83" w:rsidRDefault="0005765E" w:rsidP="0005765E">
            <w:pPr>
              <w:pStyle w:val="Standard"/>
              <w:autoSpaceDN w:val="0"/>
              <w:ind w:left="390"/>
              <w:jc w:val="center"/>
              <w:textAlignment w:val="baseline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C5A83">
              <w:rPr>
                <w:rFonts w:ascii="Verdana" w:hAnsi="Verdana" w:cstheme="minorHAnsi"/>
                <w:b/>
                <w:sz w:val="20"/>
                <w:szCs w:val="20"/>
              </w:rPr>
              <w:t xml:space="preserve">podaje parametry oferowanego przedmiotu zamówienia w odniesieniu do </w:t>
            </w:r>
          </w:p>
          <w:p w:rsidR="0005765E" w:rsidRPr="006C5A83" w:rsidRDefault="0005765E" w:rsidP="0005765E">
            <w:pPr>
              <w:pStyle w:val="Standard"/>
              <w:autoSpaceDN w:val="0"/>
              <w:ind w:left="390"/>
              <w:jc w:val="center"/>
              <w:textAlignment w:val="baseline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C5A83">
              <w:rPr>
                <w:rFonts w:ascii="Verdana" w:hAnsi="Verdana" w:cstheme="minorHAnsi"/>
                <w:b/>
                <w:sz w:val="20"/>
                <w:szCs w:val="20"/>
              </w:rPr>
              <w:t>wymaganych minimalnych parametrów określonych w kolumnie 4</w:t>
            </w:r>
          </w:p>
          <w:p w:rsidR="0005765E" w:rsidRPr="006547C0" w:rsidRDefault="0005765E" w:rsidP="00E2635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5765E" w:rsidRPr="0005765E" w:rsidTr="006C5A83">
        <w:trPr>
          <w:gridAfter w:val="1"/>
          <w:wAfter w:w="160" w:type="dxa"/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5E" w:rsidRPr="0005765E" w:rsidRDefault="0005765E" w:rsidP="006C5A83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05765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5E" w:rsidRPr="0005765E" w:rsidRDefault="0005765E" w:rsidP="0005765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05765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5E" w:rsidRPr="0005765E" w:rsidRDefault="0005765E" w:rsidP="006C5A83">
            <w:pPr>
              <w:spacing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05765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5E" w:rsidRPr="0005765E" w:rsidRDefault="0005765E" w:rsidP="0005765E">
            <w:pPr>
              <w:spacing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5765E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65E" w:rsidRPr="0005765E" w:rsidRDefault="0005765E" w:rsidP="0005765E">
            <w:pPr>
              <w:spacing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5765E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</w:tr>
      <w:tr w:rsidR="00E26357" w:rsidRPr="006547C0" w:rsidTr="0005765E">
        <w:trPr>
          <w:gridAfter w:val="1"/>
          <w:wAfter w:w="160" w:type="dxa"/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SP </w:t>
            </w:r>
            <w:r w:rsidRPr="00654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MIROSŁAWIEC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:rsidR="00E26357" w:rsidRDefault="00E26357" w:rsidP="00E26357">
            <w:pPr>
              <w:spacing w:line="240" w:lineRule="auto"/>
              <w:ind w:left="-1301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gridAfter w:val="1"/>
          <w:wAfter w:w="160" w:type="dxa"/>
          <w:trHeight w:val="4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długopis 3D (zestaw 6 sztuk)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min.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6 długopisów 3D wraz z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powerbankami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(bateriami), min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./max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zakres tem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eratur  50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/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200 st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C, min. 7 ustawień prędkości, głowica ceramiczna, wyświetlacz LCD, podkładka do druku, zestaw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filam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ntów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komplecie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(min. 6 różnych kolorów x 80m +/- 5m)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min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20 kart pracy, instrukcja obsługi, całoś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umieszczona w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pudełku/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walizce.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interaktywna ściana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Interaktywna ściana z tworzywa sztucznego o min.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/max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Wym. 50-65cm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+/- 10 cm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powinna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posiada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kieszonki do umieszczenia zdjęć/przedmiotów 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możliwość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nagrywania wiadomości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przynajmniej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do 10 sek.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interaktywna podkładka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Podkładka o min.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ym. A5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nie większa niż A3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powinna być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wykonana z plastiku, posiada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uchwyt z kontrolkami umożliwiający nagrywanie ścieżki dźwiękowej min. 30 sek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do wykorzystania z bateriami AAA. Różne kolory.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C5A83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</w:t>
            </w:r>
            <w:r w:rsidRPr="008734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odel demonstracyjny, który służy poznaniu sposobów działania różnych rodzajów energii odnawialnej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modeli pokazujących działanie min. 3 rodzajów energii odnawialnych 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np.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woda, wiatr, słońce</w:t>
            </w:r>
            <w:r w:rsidRPr="006E22C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), przykładowy minimalny skład zestawu: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brzęczka, przekładnie, dio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y, miernik, przyrządy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powinny znajdować się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na podstawie o wym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</w:t>
            </w:r>
            <w:r w:rsidRPr="0090568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25x20 cm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E22C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+/- 2 cm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wysokość 40 </w:t>
            </w:r>
            <w:r w:rsidRPr="006E22C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cm +/-4 </w:t>
            </w:r>
            <w:proofErr w:type="spellStart"/>
            <w:r w:rsidRPr="006E22C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cm</w:t>
            </w:r>
            <w:proofErr w:type="spellEnd"/>
            <w:r w:rsidRPr="00157806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C5A83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Model demonstracyjny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ludzkie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go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ciał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 z organami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+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zeszyty z kartami pracy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powinien składać się z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min. 6 modeli korpusu człowieka, każdy składa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się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 z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min. 5 organów 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np.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płuca, 4-elementowe serce, żołądek, wątroba, jelita, budowa mięśni, budowa wewnętrzna głowy, min. 20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el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. Kostnych. Wszystkie elementy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powinny dać możliwość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łączeni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się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być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ruchome. W skład zestawu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powinno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wchodzi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min. </w:t>
            </w:r>
            <w:r w:rsidRPr="00917CC6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25-35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zeszytów ćwiczeń z modelami anatomii, segregator dla nauczyciela, akcesoria do doświadczeń, miarki, stopery, słomki, balony, instrukcja metodyczna.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C5A83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Modele demonstracyjne  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tom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ów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do budowy cząsteczek - magnetyczne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atomów do budowy cząsteczek, w skład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powinno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wchodz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min. 100 atomów 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przynajmniej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9 różnych kolorach, min. 35 pasków (o Wym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8x2 cm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tolerancja +/- 2cm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 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preferowanym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kolorze czerwonym. Całość elementów wykonanych z folii magnetycznej. Elementy zamykane w pudełku.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C5A83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m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odel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i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atomów kulkow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elementów wykonanych z trwałego tworzywa, możliwość łączenia elementów. W skład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powinno wchodzić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min. 70 atomów (</w:t>
            </w:r>
            <w:r w:rsidRPr="0051444B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10-20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rodzajów pod względem rozmiarów i kolorów), </w:t>
            </w:r>
            <w:r w:rsidRPr="0051444B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20-40 wiązań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kowalencyjnych, instrukcja i karta pracy.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C5A83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Model przestrzenny b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udow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struktur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atomu - (wg Bohra)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E26357" w:rsidRDefault="00E26357" w:rsidP="00E26357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497668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Zestaw powinien umożliwić zapoznanie się z budową atomu w oparciu o teorię Nielsa-Bohra. Przykładowy minimalny skład zestawu: 20-30 protonów, 20-30 neutronów, 20-30 elektronów. Wszystkie elementy zestawu powinny być zapakowane w zamykane pudełko.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C5A83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9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estaw do nauki o elektryczności 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powinien zawierać 90-150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elementów do nauki i eksperymentowania z elektrycznością,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 skład powinny wchodzić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min. Przełącznik nożowy, magne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y do przełącznika, klocek korkowy, pinezki, zaciski do papieru, różne typy baterii, folia aluminiowa, brzęczyk, uchwyty na różne baterie, silnik, potencjometry obrotowe, zestaw małych śrubokrętów, zrywacz izolacji, przewody krokodylkowe, złącza typu AMP,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 20-30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m. przewodu czarnego i czerwonego, opaski zaciskowe, przełączniki wciskane czarny i czerwony, przełącznik micro, przechyłowy, z dźwignią, diody (czerwone, zielone, żółte), żar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ówki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oprawką, migająca żarówka, spinacze, gwoździe, śrubki, druciak. Całość umieszczona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powinna być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zamykanym pudełku.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estaw optyczny z laserem LED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do optyki i badania właściwości światła,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 skład powinno wchodzić min.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laser LED 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przynajmniej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3 wiązkach światła - białej i czerwonej, działa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na baterie,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8-12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akrylowych pryzmatów i soczewek w różnych kształtach,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7-15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kart pracy, instrukcja obsługi.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d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oświadcze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ń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pneumatyk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do doświadczeń, eksperymentów pneumatycznych,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 skład którego powinno wchodzić: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00-300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elementów, (ponad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klocków, kompresor, manometr, cylindry, akumulator, zawory ręczne, elektromagnetyczne,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zwrotne, przełączniki, kubek próżniowy, przepustnice powietrza, instrukcja obsługi z metodycznym wyjaśnieniem),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powinien dać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możliwość zbudowania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8-10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modeli i wykonania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20-30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eksperymentów.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Roboty edukacyjne do zajęć z fizyki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w, w którego skład powinno wchodzić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interdyscyplinarne roboty,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10-15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scenariuszy lekcji fizyki dla klas 7-8 zgodn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podstawą programową 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zawierać powinien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eksperymenty, dot. zjawisk, zagadnień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fizycznych)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siłomierze i suwmiarki,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10-12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odważników po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co najmniej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100g, linijki, stoper, latarkę, lupę, aplikację dedykowaną do zestawu. Całość umieszczona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powinna być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zamykanym pudełku, łatwym do przenoszenia.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klocków konstrukcyjnych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konstrukcyjny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w skład którego powinno wchodzić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450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-1800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elementów, m.in.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odstaw konstrukcyjn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ół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śmigła, koła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bate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go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łańcuch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szn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figur, złącz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k, 20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kart pracy z różnymi projektami, instrukcja dla nauczyciela.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klocków konstrukcyjnych do nauki robotyki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 zawierać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500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-750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kolorowych klocków,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klocki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powinny być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różnych rozmiarach,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mieć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możliwość łączenia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ze sobą, w zestawie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powinny być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również koła, klipsy do przewodów, 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silniki, czujniki siły, koloru, odległości, instrukcja i materiały dla nauczycieli z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-500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lekcjami, 40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scenariuszami lekcji. Po zbudowaniu konstrukcji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 klocków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powinna istnieć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możliwość sterowania robotami za pomocą komputera.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estaw do badania powietrza</w:t>
            </w:r>
          </w:p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 zawierać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doświadczeń, sprzętu laboratoryjno-badawczego.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.in.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ługopis z laserem/latarką, linijka, taśma samoprzylepna, lupa, szpatułki, matryce, mikroskop ręczny, paski wskaźnikowe do oznaczania ozonu, do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pH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pipeta Pasteura, szalka Perttiego, termometr, 200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ml wody destylowanej. Całość umieszczona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powinna być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zamykan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ej walizce.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do 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ksperyment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owania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wodą 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 zawierać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wyposażen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laboratoryjne do wykonania 30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eksperymentów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powinien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składa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się z m.in. 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zlewek miarowych,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lejków, 50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-70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sączków, mikroskop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ręczn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ego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2-3 różnych lup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 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barwników spożywczyc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 w różnych kolorach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butelki z zakraplaczem,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bagiet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ek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szklan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zakraplacz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pipet Pasteura, palnik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spirytusow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ego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knotem, szczypc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ów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laboratoryjn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balon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ów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szpatułek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metalow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sitko, termometr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szal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ek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Perttiego, naczy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ń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połączon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rur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ek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kapilarn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wag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sprężynow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ej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100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-120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pasków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Ph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słoik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nakrętką, taśm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klejąc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ej.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do doświadczeń chemicznych - destylacja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do destylacji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powinien zawierać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15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-20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elementów, m.in.. Podstaw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element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statywu, chłodnic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Liebiga, kolb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stożkow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ą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okrągłodenn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ą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zlewk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nasadk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destylacyjn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ą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przedłużacz destylacyjn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lej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ek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laboratoryjn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palnik spirytusow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stojak na palnik, 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ąż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gumow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płaszcz grzejn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do doświadczeń z zakresu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biodegradowalności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umożliwiający przeprowadzenie doświadczeń dot.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biodegr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owalności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. W skład zestawu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powinno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wchodz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ić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Torba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biodegradowalna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torba na odchody psa, folia celulozowa, otręby pszenne, min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8-10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pasków różnych metali, wypełniacz skrobiowy,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5-6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pojemników z otworami wentylacyjnymi, odpowiednia ilość korków do otworów wentylacyjnych, uchwyty i podstawki do pojemników, pęseta, komposter,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etykiet samoprzylepn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karta obserwacji. Całość umieszczona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powinna być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 plastikowym pojemniku, łatwym do przenoszenia.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C5A83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Gra pamięciowa dotycząca zagadnień z biologii i chemii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Gra pamięciowa pozwalająca utrwalić i usystematyzować wiedzę z chemii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biologii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na poziomie klasy 7-8 szkoły podstawowej, składa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się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powinna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40-50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płytek o min. Wym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.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3x7cm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(+/-2 cm)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zawierających informację z zakresu chemii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/biologii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. Całość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powinna być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umieszczona pudełku drewnianym.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estaw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do przeprowadzenia eksperymentów 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superabsorbentami</w:t>
            </w:r>
            <w:proofErr w:type="spellEnd"/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do przeprowadzenia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10-15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eksperymentów, składa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się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m.in.10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-12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probówek z nakrętkami, 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-12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probówek z kryształkami,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25-35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kubeczków 100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-120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ml.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30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pastylek barwiących w 3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różnych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kolorach,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mieszadełek,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10-12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łyżeczek,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10-12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fartuchów, zestaw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dodatkow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ego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dla nauczyciela, instrukcj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obsługi.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do przeprowadzenia doświadczeń o strukturze i właściwości materii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do przeprowadzania doświadczeń na lekcjach chemii. Zawiera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 powinien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materiały dla uczniów i nauczycieli - symul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ujące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przedstawia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zjawiska, multimedialne podręczniki dla uczniów, multimedialne karty pracy i obserwacji, bezterminowy dostęp do materiałów cyfrowych, ćwiczenia, testy sprawdzające wiedzę, scenariusze lekcji,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100-120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ekranów multimedialnych,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8-10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cylindrów miarowych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przynajmniej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1l,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zlewki laboratoryjne,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300-350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metalowych kulek,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40-50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balonów,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40-50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pipet, 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lejków, jodyn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30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ml, 100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rękawiczek jednorazowych, wag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odważnikami z mosiądzu do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1,5-2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kg,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termometry zanurzeniowe, 0,5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kg opiłków żelaza,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25-30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lup,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10-15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różdżek magnetycznych, 20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-25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podkładek metalowych, 40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0-500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kulek szklanych, 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-1,5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 gleb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Interaktywne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lansze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 chemii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 zawierać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80-100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plansz z zakresu chemii do klas 7-8 szkoły podstawowej, zawiera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ć powinien około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setki zdjęć, ilustracji, animacji, filmów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80-100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różnych zagadnień. Działa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tablicami i monitorami interaktywnymi,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wymagane 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bezterminowe licencje,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wymagane działanie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 trybie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online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offline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 dotyczyć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zagadnie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ń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m.in. materia, gazy sole, węglowodory, reakcje chemiczne.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6C5A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Teleskop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teleskop soczewkowy, astronomiczny o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śr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 Min. 60mm, powiększenie x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120, ogniskow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ej min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900mm, umieszczony na statywie,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powinien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posiada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mikro ruchy.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05765E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SP </w:t>
            </w:r>
            <w:r w:rsidRPr="006547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PIECNIK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60062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klocków konstrukcyjnych do nauki robotyki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 zawierać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-1200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kolorowych klocków,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klocki w różnych rozmiarach, możliwość łączenia ich ze sobą, w zestawie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powinny się znaleźć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również koła, klipsy do przewodów,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3-4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silniki, czujniki siły, koloru, odległości, instrukcja i materiały dla nauczycieli z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lekcjami z scenariuszami lekcji. Po zbudowaniu konstrukcji z klocków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wymagana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możliwość sterowania robotami za pomocą komputera.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66006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do 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ksperyment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owania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wodą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 zawierać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wyposażen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laboratoryjne do wykonania 30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eksperymentów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powinien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składa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się z m.in. 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zlewek miarowych,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lejków, 50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-70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sączków, mikroskop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ręczn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ego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2-3 różnych lup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 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barwników spożywczyc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 w różnych kolorach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butelki z zakraplaczem,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bagiet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ek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szklan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zakraplacz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pipet Pasteura, palnik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spirytusow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ego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knotem, szczypc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ów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laboratoryjn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balon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ów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szpatułek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metalow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sitko, termometr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szal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ek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Perttiego, naczy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ń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połączon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rur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ek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kapilarn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wag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sprężynow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ej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100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-120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pasków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Ph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słoik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nakrętką, taśm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klejąc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ej.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2" w:rsidRPr="006547C0" w:rsidRDefault="00660062" w:rsidP="006600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do doświadczeń chemicznych - destylacja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do destylacji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powinien zawierać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15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-20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elementów, m.in.. Podstaw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element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statywu, chłodnic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Liebiga, kolb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stożkow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ą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okrągłodenn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ą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zlewk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nasadk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destylacyjn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ą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przedłużacz destylacyjn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lej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ek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laboratoryjn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palnik spirytusow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stojak na palnik, 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ąż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gumow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płaszcz grzejn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60062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do doświadczeń z zakresu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biodegradowalności</w:t>
            </w:r>
            <w:proofErr w:type="spellEnd"/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umożliwiający przeprowadzenie doświadczeń dot.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biodegr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owalności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. W skład zestawu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powinno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wchodz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ić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Torba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biodegradowalna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torba na odchody psa, folia celulozowa, otręby pszenne, min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8-10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pasków różnych metali, wypełniacz skrobiowy,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5-6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pojemników z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 xml:space="preserve">otworami wentylacyjnymi, odpowiednia ilość korków do otworów wentylacyjnych, uchwyty i podstawki do pojemników, pęseta, komposter,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etykiet samoprzylepn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karta obserwacji. Całość umieszczona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powinna być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 plastikowym pojemniku, łatwym do przenoszenia.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60062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28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Gra pamięciowa dotycząca zagadnień z biologii i chemii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Gra pamięciowa pozwalająca utrwalić i usystematyzować wiedzę z chemii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biologii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na poziomie klasy 7-8 szkoły podstawowej, składa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się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powinna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40-50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płytek o min. Wym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.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3x7cm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(+/-2cm)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zawierających informację o z zakresu chemii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/biologii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. Całość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powinna być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umieszczona pudełku drewnianym.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60062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estaw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do przeprowadzenia eksperymentów 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superabsorbentami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do przeprowadzenia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10-15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eksperymentów, składa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się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m.in.10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-12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probówek z nakrętkami, 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-12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probówek z kryształkami,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25-35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kubeczków 100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-120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ml.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30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pastylek barwiących w 3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różnych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kolorach,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mieszadełek,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10-12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łyżeczek,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10-12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fartuchów, zestaw dodatkowy dla nauczyciela, instrukcja obsługi.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60062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Interaktywne Plansze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 chemii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powinien zawierać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80-100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plansz z zakresu chemii do klas 7-8 szkoły podstawowej, zawiera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ć powinien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setki zdjęć, ilustracji, animacji, filmów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80-100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różnych zagadnień.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Wymagane współdziałanie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tablicami i monitorami interaktywnymi,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wymagane posiadanie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bezterminow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ych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licencj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wymagane działanie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trybie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online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offline</w:t>
            </w:r>
            <w:proofErr w:type="spellEnd"/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 Porusza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ć powinien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zagadnie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nia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m.in. materia, gazy sole, węglowodory, reakcje chemiczne.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660062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Zestaw do przeprowadzenia doświadczeń o strukturze 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właściwości materii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Zestaw do przeprowadzania doświadczeń na lekcjach chemii. Zawiera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ć powinien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materiały dla uczniów i nauczycieli - symul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ujące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przedstawia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ne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zjawiska, multimedialne podręczniki dla uczniów, multimedialne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 xml:space="preserve">karty pracy i obserwacji, bezterminowy dostęp do materiałów cyfrowych, ćwiczenia, testy sprawdzające wiedzę, scenariusze lekcji,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100-120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ekranów multimedialnych,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8-10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cylindrów miarowych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przynajmniej 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1l,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zlewki laboratoryjne,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300-350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metalowych kulek,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40-50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balonów,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40-50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pipet, 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lejków, jodyna 30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-40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ml, 100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-150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rękawiczek jednorazowych, waga z 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odważnikami z mosiądzu do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1,5-2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kg, 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-3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termometry zanurzeniowe, 0,5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kg opiłków żelaza,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25-30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lup,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10-15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różdżek magnetycznych, 20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-25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podkładek metalowych, 40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0-500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kulek szklanych, 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-1,5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 gleb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6547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26357" w:rsidRPr="006547C0" w:rsidTr="006C5A83">
        <w:trPr>
          <w:trHeight w:val="28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C5A83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57" w:rsidRPr="006547C0" w:rsidRDefault="00E26357" w:rsidP="00654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6547C0" w:rsidRDefault="00E26357" w:rsidP="00E26357">
            <w:pPr>
              <w:spacing w:line="240" w:lineRule="auto"/>
              <w:ind w:left="-130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57" w:rsidRPr="006547C0" w:rsidRDefault="00E26357" w:rsidP="006547C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A55A89" w:rsidRPr="00145B4F" w:rsidRDefault="00A55A89" w:rsidP="00F352D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A55A89" w:rsidRPr="00145B4F" w:rsidSect="006C5A83">
      <w:head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61" w:rsidRDefault="00B75761">
      <w:pPr>
        <w:spacing w:line="240" w:lineRule="auto"/>
      </w:pPr>
      <w:r>
        <w:separator/>
      </w:r>
    </w:p>
  </w:endnote>
  <w:endnote w:type="continuationSeparator" w:id="0">
    <w:p w:rsidR="00B75761" w:rsidRDefault="00B75761">
      <w:pPr>
        <w:spacing w:line="240" w:lineRule="auto"/>
      </w:pPr>
      <w:r>
        <w:continuationSeparator/>
      </w:r>
    </w:p>
  </w:endnote>
  <w:endnote w:type="continuationNotice" w:id="1">
    <w:p w:rsidR="00B75761" w:rsidRDefault="00B7576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61" w:rsidRDefault="00B75761">
      <w:pPr>
        <w:spacing w:line="240" w:lineRule="auto"/>
      </w:pPr>
      <w:r>
        <w:separator/>
      </w:r>
    </w:p>
  </w:footnote>
  <w:footnote w:type="continuationSeparator" w:id="0">
    <w:p w:rsidR="00B75761" w:rsidRDefault="00B75761">
      <w:pPr>
        <w:spacing w:line="240" w:lineRule="auto"/>
      </w:pPr>
      <w:r>
        <w:continuationSeparator/>
      </w:r>
    </w:p>
  </w:footnote>
  <w:footnote w:type="continuationNotice" w:id="1">
    <w:p w:rsidR="00B75761" w:rsidRDefault="00B7576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83" w:rsidRPr="006C5A83" w:rsidRDefault="007D76E0" w:rsidP="006C5A83">
    <w:pPr>
      <w:pStyle w:val="Nagwek"/>
      <w:jc w:val="right"/>
      <w:rPr>
        <w:rFonts w:ascii="Verdana" w:hAnsi="Verdana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593080" cy="800100"/>
          <wp:effectExtent l="0" t="0" r="7620" b="0"/>
          <wp:docPr id="14842789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5A83" w:rsidRPr="006C5A83">
      <w:t xml:space="preserve"> </w:t>
    </w:r>
    <w:r w:rsidR="006C5A83" w:rsidRPr="006C5A83">
      <w:rPr>
        <w:rFonts w:ascii="Verdana" w:hAnsi="Verdana"/>
        <w:sz w:val="20"/>
        <w:szCs w:val="20"/>
      </w:rPr>
      <w:t>Nr sprawy: IGN.271.1.16.2024.JD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005"/>
    <w:multiLevelType w:val="multilevel"/>
    <w:tmpl w:val="DAF0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055DA"/>
    <w:multiLevelType w:val="hybridMultilevel"/>
    <w:tmpl w:val="C6E6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352D1"/>
    <w:rsid w:val="00016AF6"/>
    <w:rsid w:val="00035068"/>
    <w:rsid w:val="00056842"/>
    <w:rsid w:val="0005765E"/>
    <w:rsid w:val="00076E7B"/>
    <w:rsid w:val="00077DC4"/>
    <w:rsid w:val="0009007C"/>
    <w:rsid w:val="000C1312"/>
    <w:rsid w:val="000C278B"/>
    <w:rsid w:val="000C4EFD"/>
    <w:rsid w:val="000F07BC"/>
    <w:rsid w:val="00102FA7"/>
    <w:rsid w:val="0012435F"/>
    <w:rsid w:val="001243E9"/>
    <w:rsid w:val="0012611C"/>
    <w:rsid w:val="00127F44"/>
    <w:rsid w:val="00131AA6"/>
    <w:rsid w:val="00144D5B"/>
    <w:rsid w:val="00157806"/>
    <w:rsid w:val="00176BED"/>
    <w:rsid w:val="0018431C"/>
    <w:rsid w:val="001A3DAA"/>
    <w:rsid w:val="001B476F"/>
    <w:rsid w:val="001C491D"/>
    <w:rsid w:val="001D4FE5"/>
    <w:rsid w:val="001E693C"/>
    <w:rsid w:val="00214FD2"/>
    <w:rsid w:val="00216339"/>
    <w:rsid w:val="00237D34"/>
    <w:rsid w:val="002767AC"/>
    <w:rsid w:val="00282992"/>
    <w:rsid w:val="002C2634"/>
    <w:rsid w:val="0032003C"/>
    <w:rsid w:val="003403C3"/>
    <w:rsid w:val="003444A2"/>
    <w:rsid w:val="00345488"/>
    <w:rsid w:val="00357DE0"/>
    <w:rsid w:val="00381609"/>
    <w:rsid w:val="00383674"/>
    <w:rsid w:val="00392BBC"/>
    <w:rsid w:val="003A62A6"/>
    <w:rsid w:val="003F24C2"/>
    <w:rsid w:val="00400E1D"/>
    <w:rsid w:val="004231AE"/>
    <w:rsid w:val="00426E05"/>
    <w:rsid w:val="00426E63"/>
    <w:rsid w:val="00435C15"/>
    <w:rsid w:val="0043796D"/>
    <w:rsid w:val="00452D80"/>
    <w:rsid w:val="004603EE"/>
    <w:rsid w:val="004629F3"/>
    <w:rsid w:val="00482DF1"/>
    <w:rsid w:val="00497668"/>
    <w:rsid w:val="004A3E80"/>
    <w:rsid w:val="004B3CC9"/>
    <w:rsid w:val="005000D6"/>
    <w:rsid w:val="00501221"/>
    <w:rsid w:val="00501B12"/>
    <w:rsid w:val="00502E3A"/>
    <w:rsid w:val="0051444B"/>
    <w:rsid w:val="00531BE1"/>
    <w:rsid w:val="00562121"/>
    <w:rsid w:val="00562976"/>
    <w:rsid w:val="005758CE"/>
    <w:rsid w:val="005814F5"/>
    <w:rsid w:val="005A05D6"/>
    <w:rsid w:val="005B15FA"/>
    <w:rsid w:val="005D022A"/>
    <w:rsid w:val="005D088A"/>
    <w:rsid w:val="005E38BB"/>
    <w:rsid w:val="0061064B"/>
    <w:rsid w:val="00622451"/>
    <w:rsid w:val="00637F03"/>
    <w:rsid w:val="00643C65"/>
    <w:rsid w:val="00646457"/>
    <w:rsid w:val="006547C0"/>
    <w:rsid w:val="00660062"/>
    <w:rsid w:val="0068072C"/>
    <w:rsid w:val="00691A57"/>
    <w:rsid w:val="00697CAE"/>
    <w:rsid w:val="00697E64"/>
    <w:rsid w:val="006A48EE"/>
    <w:rsid w:val="006B6F03"/>
    <w:rsid w:val="006B7C18"/>
    <w:rsid w:val="006C2936"/>
    <w:rsid w:val="006C5A83"/>
    <w:rsid w:val="006D0701"/>
    <w:rsid w:val="006E22C7"/>
    <w:rsid w:val="006E4B00"/>
    <w:rsid w:val="006E7D4F"/>
    <w:rsid w:val="006F4637"/>
    <w:rsid w:val="00713803"/>
    <w:rsid w:val="007156E5"/>
    <w:rsid w:val="00750747"/>
    <w:rsid w:val="007A5CA3"/>
    <w:rsid w:val="007D76E0"/>
    <w:rsid w:val="007E3A9D"/>
    <w:rsid w:val="00845AA3"/>
    <w:rsid w:val="00861260"/>
    <w:rsid w:val="00861362"/>
    <w:rsid w:val="008615A9"/>
    <w:rsid w:val="008701F6"/>
    <w:rsid w:val="008712A8"/>
    <w:rsid w:val="00873445"/>
    <w:rsid w:val="00890168"/>
    <w:rsid w:val="008D350A"/>
    <w:rsid w:val="008E2BB5"/>
    <w:rsid w:val="008E75AA"/>
    <w:rsid w:val="008F4903"/>
    <w:rsid w:val="00905685"/>
    <w:rsid w:val="00917201"/>
    <w:rsid w:val="00917CC6"/>
    <w:rsid w:val="00921C62"/>
    <w:rsid w:val="009236B6"/>
    <w:rsid w:val="00933F6A"/>
    <w:rsid w:val="009364AA"/>
    <w:rsid w:val="00970547"/>
    <w:rsid w:val="00974A16"/>
    <w:rsid w:val="009758B8"/>
    <w:rsid w:val="00975ECA"/>
    <w:rsid w:val="00976130"/>
    <w:rsid w:val="009C74DE"/>
    <w:rsid w:val="009E230C"/>
    <w:rsid w:val="009E3C18"/>
    <w:rsid w:val="00A170B7"/>
    <w:rsid w:val="00A3362C"/>
    <w:rsid w:val="00A50E86"/>
    <w:rsid w:val="00A55A89"/>
    <w:rsid w:val="00A65238"/>
    <w:rsid w:val="00A82D32"/>
    <w:rsid w:val="00AA6FA1"/>
    <w:rsid w:val="00AB3747"/>
    <w:rsid w:val="00AB490C"/>
    <w:rsid w:val="00AD4521"/>
    <w:rsid w:val="00AF0386"/>
    <w:rsid w:val="00AF0FC7"/>
    <w:rsid w:val="00AF225C"/>
    <w:rsid w:val="00B104FF"/>
    <w:rsid w:val="00B2392D"/>
    <w:rsid w:val="00B377C1"/>
    <w:rsid w:val="00B509E8"/>
    <w:rsid w:val="00B70DE0"/>
    <w:rsid w:val="00B75761"/>
    <w:rsid w:val="00B83C6E"/>
    <w:rsid w:val="00B87995"/>
    <w:rsid w:val="00B93082"/>
    <w:rsid w:val="00BA10B3"/>
    <w:rsid w:val="00BA6B1D"/>
    <w:rsid w:val="00BB0D5E"/>
    <w:rsid w:val="00BC3800"/>
    <w:rsid w:val="00BE12FA"/>
    <w:rsid w:val="00BE21A8"/>
    <w:rsid w:val="00C01B1D"/>
    <w:rsid w:val="00C04223"/>
    <w:rsid w:val="00C25753"/>
    <w:rsid w:val="00C478B2"/>
    <w:rsid w:val="00C55481"/>
    <w:rsid w:val="00C56517"/>
    <w:rsid w:val="00C861F0"/>
    <w:rsid w:val="00C90363"/>
    <w:rsid w:val="00CA6E9B"/>
    <w:rsid w:val="00CC4D2C"/>
    <w:rsid w:val="00CC5A34"/>
    <w:rsid w:val="00CD2947"/>
    <w:rsid w:val="00CF2A19"/>
    <w:rsid w:val="00CF5FC4"/>
    <w:rsid w:val="00D0508E"/>
    <w:rsid w:val="00D223A5"/>
    <w:rsid w:val="00D33EFE"/>
    <w:rsid w:val="00D42E2E"/>
    <w:rsid w:val="00D54282"/>
    <w:rsid w:val="00D80BAC"/>
    <w:rsid w:val="00D82F50"/>
    <w:rsid w:val="00D85E05"/>
    <w:rsid w:val="00D85F8E"/>
    <w:rsid w:val="00D87C12"/>
    <w:rsid w:val="00DB738B"/>
    <w:rsid w:val="00DC33E7"/>
    <w:rsid w:val="00DF241C"/>
    <w:rsid w:val="00E26357"/>
    <w:rsid w:val="00E5669A"/>
    <w:rsid w:val="00E81775"/>
    <w:rsid w:val="00EA3959"/>
    <w:rsid w:val="00EE4FC6"/>
    <w:rsid w:val="00EF5BFA"/>
    <w:rsid w:val="00F137E1"/>
    <w:rsid w:val="00F229F4"/>
    <w:rsid w:val="00F243F9"/>
    <w:rsid w:val="00F254E5"/>
    <w:rsid w:val="00F352D1"/>
    <w:rsid w:val="00F4154E"/>
    <w:rsid w:val="00F4304F"/>
    <w:rsid w:val="00F536CB"/>
    <w:rsid w:val="00F75F61"/>
    <w:rsid w:val="00FD38BC"/>
    <w:rsid w:val="00FD59F4"/>
    <w:rsid w:val="00FE2FAC"/>
    <w:rsid w:val="00FF24DE"/>
    <w:rsid w:val="00FF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2D1"/>
    <w:pPr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2D1"/>
    <w:rPr>
      <w:rFonts w:ascii="Times New Roman" w:hAnsi="Times New Roman" w:cs="Times New Roman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352D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352D1"/>
  </w:style>
  <w:style w:type="character" w:styleId="Pogrubienie">
    <w:name w:val="Strong"/>
    <w:basedOn w:val="Domylnaczcionkaakapitu"/>
    <w:uiPriority w:val="22"/>
    <w:qFormat/>
    <w:rsid w:val="00F352D1"/>
    <w:rPr>
      <w:b/>
      <w:bCs/>
    </w:rPr>
  </w:style>
  <w:style w:type="paragraph" w:styleId="Akapitzlist">
    <w:name w:val="List Paragraph"/>
    <w:basedOn w:val="Normalny"/>
    <w:uiPriority w:val="34"/>
    <w:qFormat/>
    <w:rsid w:val="00F352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52D1"/>
    <w:rPr>
      <w:color w:val="0563C1" w:themeColor="hyperlink"/>
      <w:u w:val="single"/>
    </w:rPr>
  </w:style>
  <w:style w:type="paragraph" w:customStyle="1" w:styleId="Standard">
    <w:name w:val="Standard"/>
    <w:qFormat/>
    <w:rsid w:val="00F352D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76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E0"/>
    <w:rPr>
      <w:rFonts w:ascii="Times New Roman" w:hAnsi="Times New Roman" w:cs="Times New Roman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A1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A1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A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4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4A1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A16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223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rsid w:val="00C04223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A024-C4F7-484D-B2AF-0AC8F534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</dc:creator>
  <cp:lastModifiedBy>justyna.darlak</cp:lastModifiedBy>
  <cp:revision>3</cp:revision>
  <cp:lastPrinted>2024-06-12T08:06:00Z</cp:lastPrinted>
  <dcterms:created xsi:type="dcterms:W3CDTF">2024-06-12T08:06:00Z</dcterms:created>
  <dcterms:modified xsi:type="dcterms:W3CDTF">2024-06-12T08:27:00Z</dcterms:modified>
</cp:coreProperties>
</file>