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8301F6">
            <w:pPr>
              <w:spacing w:line="276" w:lineRule="auto"/>
              <w:rPr>
                <w:rFonts w:ascii="Arial" w:eastAsia="Times New Roman" w:hAnsi="Arial" w:cs="Arial"/>
                <w:b/>
                <w:szCs w:val="26"/>
                <w:lang w:eastAsia="pl-PL"/>
              </w:rPr>
            </w:pPr>
          </w:p>
        </w:tc>
      </w:tr>
    </w:tbl>
    <w:p w:rsidR="00077E1E" w:rsidRPr="00DB41BA" w:rsidRDefault="00077E1E" w:rsidP="008301F6">
      <w:pPr>
        <w:spacing w:line="276" w:lineRule="auto"/>
        <w:rPr>
          <w:rFonts w:ascii="Arial" w:eastAsia="Times New Roman" w:hAnsi="Arial" w:cs="Arial"/>
          <w:b/>
          <w:szCs w:val="26"/>
          <w:lang w:eastAsia="pl-PL"/>
        </w:rPr>
      </w:pPr>
    </w:p>
    <w:p w:rsidR="00093693" w:rsidRPr="00DB41BA" w:rsidRDefault="00093693"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8301F6">
      <w:pPr>
        <w:spacing w:line="276" w:lineRule="auto"/>
        <w:jc w:val="center"/>
        <w:rPr>
          <w:rFonts w:ascii="Arial" w:hAnsi="Arial" w:cs="Arial"/>
          <w:b/>
          <w:sz w:val="44"/>
          <w:szCs w:val="24"/>
        </w:rPr>
      </w:pPr>
    </w:p>
    <w:p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E427AF" w:rsidRPr="00DB41BA" w:rsidRDefault="00E427AF" w:rsidP="008301F6">
      <w:pPr>
        <w:spacing w:line="276" w:lineRule="auto"/>
        <w:rPr>
          <w:rFonts w:ascii="Arial" w:hAnsi="Arial" w:cs="Arial"/>
          <w:sz w:val="24"/>
          <w:szCs w:val="24"/>
        </w:rPr>
      </w:pPr>
    </w:p>
    <w:p w:rsidR="006C0B52" w:rsidRDefault="006C0B52" w:rsidP="008301F6">
      <w:pPr>
        <w:tabs>
          <w:tab w:val="left" w:pos="3491"/>
        </w:tabs>
        <w:spacing w:line="276" w:lineRule="auto"/>
        <w:jc w:val="center"/>
        <w:rPr>
          <w:rFonts w:ascii="Arial" w:hAnsi="Arial" w:cs="Arial"/>
          <w:b/>
          <w:sz w:val="28"/>
          <w:szCs w:val="24"/>
        </w:rPr>
      </w:pPr>
      <w:r w:rsidRPr="006C0B52">
        <w:rPr>
          <w:rFonts w:ascii="Arial" w:hAnsi="Arial" w:cs="Arial"/>
          <w:b/>
          <w:sz w:val="28"/>
          <w:szCs w:val="24"/>
        </w:rPr>
        <w:t>Remont drogi gminnej Nr 335008T Świdno-Chotów</w:t>
      </w:r>
    </w:p>
    <w:p w:rsidR="00A171F2" w:rsidRPr="00DB41BA" w:rsidRDefault="006C0B52" w:rsidP="008301F6">
      <w:pPr>
        <w:tabs>
          <w:tab w:val="left" w:pos="3491"/>
        </w:tabs>
        <w:spacing w:line="276" w:lineRule="auto"/>
        <w:jc w:val="center"/>
        <w:rPr>
          <w:rFonts w:ascii="Arial" w:eastAsia="Times New Roman" w:hAnsi="Arial" w:cs="Arial"/>
          <w:sz w:val="26"/>
          <w:szCs w:val="26"/>
          <w:lang w:eastAsia="pl-PL"/>
        </w:rPr>
      </w:pPr>
      <w:r w:rsidRPr="006C0B52">
        <w:rPr>
          <w:rFonts w:ascii="Arial" w:hAnsi="Arial" w:cs="Arial"/>
          <w:b/>
          <w:sz w:val="28"/>
          <w:szCs w:val="24"/>
        </w:rPr>
        <w:t>w miejscowości Świdno</w:t>
      </w:r>
    </w:p>
    <w:p w:rsidR="00085F9C" w:rsidRPr="00DB41BA" w:rsidRDefault="00085F9C" w:rsidP="008301F6">
      <w:pPr>
        <w:spacing w:line="276" w:lineRule="auto"/>
        <w:jc w:val="center"/>
        <w:rPr>
          <w:rFonts w:ascii="Arial" w:eastAsia="Times New Roman" w:hAnsi="Arial" w:cs="Arial"/>
          <w:sz w:val="26"/>
          <w:szCs w:val="26"/>
          <w:lang w:eastAsia="pl-PL"/>
        </w:rPr>
      </w:pPr>
    </w:p>
    <w:p w:rsidR="00085F9C" w:rsidRPr="00DB41BA" w:rsidRDefault="00085F9C" w:rsidP="008301F6">
      <w:pPr>
        <w:spacing w:line="276" w:lineRule="auto"/>
        <w:jc w:val="center"/>
        <w:rPr>
          <w:rFonts w:ascii="Arial" w:eastAsia="Times New Roman" w:hAnsi="Arial" w:cs="Arial"/>
          <w:sz w:val="26"/>
          <w:szCs w:val="26"/>
          <w:lang w:eastAsia="pl-PL"/>
        </w:rPr>
      </w:pPr>
    </w:p>
    <w:p w:rsidR="00A171F2" w:rsidRPr="00DB41BA" w:rsidRDefault="00A171F2" w:rsidP="008301F6">
      <w:pPr>
        <w:spacing w:line="276" w:lineRule="auto"/>
        <w:jc w:val="center"/>
        <w:rPr>
          <w:rFonts w:ascii="Arial" w:eastAsia="Times New Roman" w:hAnsi="Arial" w:cs="Arial"/>
          <w:sz w:val="26"/>
          <w:szCs w:val="26"/>
          <w:lang w:eastAsia="pl-PL"/>
        </w:rPr>
      </w:pPr>
    </w:p>
    <w:p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6C0B52">
        <w:rPr>
          <w:rFonts w:ascii="Arial" w:eastAsia="Times New Roman" w:hAnsi="Arial" w:cs="Arial"/>
          <w:sz w:val="24"/>
          <w:szCs w:val="26"/>
          <w:lang w:eastAsia="pl-PL"/>
        </w:rPr>
        <w:t>2</w:t>
      </w:r>
      <w:r w:rsidR="008A0CD3">
        <w:rPr>
          <w:rFonts w:ascii="Arial" w:eastAsia="Times New Roman" w:hAnsi="Arial" w:cs="Arial"/>
          <w:sz w:val="24"/>
          <w:szCs w:val="26"/>
          <w:lang w:eastAsia="pl-PL"/>
        </w:rPr>
        <w:t>1</w:t>
      </w:r>
      <w:r w:rsidR="00DD7ADF">
        <w:rPr>
          <w:rFonts w:ascii="Arial" w:eastAsia="Times New Roman" w:hAnsi="Arial" w:cs="Arial"/>
          <w:sz w:val="24"/>
          <w:szCs w:val="26"/>
          <w:lang w:eastAsia="pl-PL"/>
        </w:rPr>
        <w:t>.0</w:t>
      </w:r>
      <w:r w:rsidR="006C0B52">
        <w:rPr>
          <w:rFonts w:ascii="Arial" w:eastAsia="Times New Roman" w:hAnsi="Arial" w:cs="Arial"/>
          <w:sz w:val="24"/>
          <w:szCs w:val="26"/>
          <w:lang w:eastAsia="pl-PL"/>
        </w:rPr>
        <w:t>3</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8301F6">
      <w:pPr>
        <w:spacing w:line="276" w:lineRule="auto"/>
        <w:jc w:val="both"/>
        <w:rPr>
          <w:rFonts w:ascii="Arial" w:eastAsia="Times New Roman" w:hAnsi="Arial" w:cs="Arial"/>
          <w:sz w:val="18"/>
          <w:szCs w:val="26"/>
          <w:lang w:eastAsia="pl-PL"/>
        </w:rPr>
      </w:pPr>
    </w:p>
    <w:p w:rsidR="004A3812" w:rsidRPr="00DB41BA" w:rsidRDefault="004A3812"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p w:rsidR="003F7C6D" w:rsidRDefault="003F7C6D" w:rsidP="008301F6">
      <w:pPr>
        <w:spacing w:line="276" w:lineRule="auto"/>
        <w:jc w:val="both"/>
        <w:rPr>
          <w:rFonts w:ascii="Arial" w:eastAsia="Times New Roman" w:hAnsi="Arial" w:cs="Arial"/>
          <w:sz w:val="18"/>
          <w:szCs w:val="26"/>
          <w:lang w:eastAsia="pl-PL"/>
        </w:rPr>
      </w:pPr>
    </w:p>
    <w:p w:rsidR="003F7C6D" w:rsidRDefault="003F7C6D" w:rsidP="008301F6">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8301F6">
      <w:pPr>
        <w:spacing w:line="276" w:lineRule="auto"/>
        <w:rPr>
          <w:rFonts w:ascii="Arial" w:eastAsia="Times New Roman" w:hAnsi="Arial" w:cs="Arial"/>
          <w:b/>
          <w:sz w:val="24"/>
          <w:szCs w:val="26"/>
          <w:lang w:eastAsia="pl-PL"/>
        </w:rPr>
      </w:pPr>
    </w:p>
    <w:p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6C0B52"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6C0B52">
              <w:rPr>
                <w:rFonts w:ascii="Arial" w:eastAsia="Times New Roman" w:hAnsi="Arial" w:cs="Arial"/>
                <w:sz w:val="24"/>
                <w:szCs w:val="24"/>
                <w:lang w:eastAsia="pl-PL"/>
              </w:rPr>
              <w:t>6</w:t>
            </w:r>
          </w:p>
        </w:tc>
        <w:tc>
          <w:tcPr>
            <w:tcW w:w="2835"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8301F6">
      <w:pPr>
        <w:spacing w:line="276" w:lineRule="auto"/>
        <w:ind w:firstLine="567"/>
        <w:jc w:val="both"/>
        <w:rPr>
          <w:rFonts w:ascii="Arial" w:eastAsia="Times New Roman" w:hAnsi="Arial" w:cs="Arial"/>
          <w:sz w:val="24"/>
          <w:szCs w:val="24"/>
          <w:lang w:eastAsia="pl-PL"/>
        </w:rPr>
      </w:pPr>
    </w:p>
    <w:p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5C58AB"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8301F6">
      <w:pPr>
        <w:spacing w:line="276" w:lineRule="auto"/>
        <w:rPr>
          <w:rFonts w:ascii="Arial" w:eastAsia="Times New Roman" w:hAnsi="Arial" w:cs="Arial"/>
          <w:szCs w:val="24"/>
          <w:lang w:eastAsia="pl-PL"/>
        </w:rPr>
      </w:pPr>
    </w:p>
    <w:p w:rsidR="006C0B52" w:rsidRPr="006C0B52" w:rsidRDefault="006C0B52" w:rsidP="008301F6">
      <w:pPr>
        <w:pStyle w:val="Akapitzlist"/>
        <w:numPr>
          <w:ilvl w:val="1"/>
          <w:numId w:val="10"/>
        </w:numPr>
        <w:tabs>
          <w:tab w:val="left" w:pos="709"/>
        </w:tabs>
        <w:spacing w:line="276" w:lineRule="auto"/>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Zadanie będzie finansowane w ramach Rządowego Funduszu Rozwoju Dróg.</w:t>
      </w:r>
    </w:p>
    <w:p w:rsidR="006C0B52" w:rsidRPr="006C0B52" w:rsidRDefault="006C0B52" w:rsidP="008301F6">
      <w:pPr>
        <w:pStyle w:val="Akapitzlist"/>
        <w:numPr>
          <w:ilvl w:val="2"/>
          <w:numId w:val="10"/>
        </w:numPr>
        <w:tabs>
          <w:tab w:val="left" w:pos="709"/>
        </w:tabs>
        <w:spacing w:line="276" w:lineRule="auto"/>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Uwaga! Możliwość unieważnienia postępowania.</w:t>
      </w:r>
      <w:r>
        <w:rPr>
          <w:rFonts w:ascii="Arial" w:eastAsia="Times New Roman" w:hAnsi="Arial" w:cs="Arial"/>
          <w:sz w:val="24"/>
          <w:szCs w:val="24"/>
          <w:lang w:eastAsia="pl-PL"/>
        </w:rPr>
        <w:t xml:space="preserve"> Zgodnie z art. 310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t>
      </w:r>
      <w:r w:rsidRPr="006C0B52">
        <w:rPr>
          <w:rFonts w:ascii="Arial" w:eastAsia="Times New Roman" w:hAnsi="Arial" w:cs="Arial"/>
          <w:sz w:val="24"/>
          <w:szCs w:val="24"/>
          <w:lang w:eastAsia="pl-PL"/>
        </w:rPr>
        <w:t>Zamawiający może unieważnić postępowanie o udzielenie zamówienia, jeżeli środki publiczne, które Zamawiający zamierzał przeznaczyć na sfinansowanie całości lub części zamówienia, nie zostały mu przyznane.</w:t>
      </w:r>
    </w:p>
    <w:p w:rsidR="00FD591E" w:rsidRPr="00DB41B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rsidR="000832D2" w:rsidRPr="0005319D" w:rsidRDefault="004F6659" w:rsidP="008301F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 xml:space="preserve">  </w:t>
      </w:r>
      <w:r w:rsidR="000832D2" w:rsidRPr="0005319D">
        <w:rPr>
          <w:rFonts w:ascii="Arial" w:eastAsia="Times New Roman" w:hAnsi="Arial" w:cs="Arial"/>
          <w:sz w:val="24"/>
          <w:szCs w:val="24"/>
          <w:lang w:eastAsia="pl-PL"/>
        </w:rPr>
        <w:t>Informacja o przewidywanych zamówieniach, o których mowa</w:t>
      </w:r>
      <w:r w:rsidRPr="0005319D">
        <w:rPr>
          <w:rFonts w:ascii="Arial" w:eastAsia="Times New Roman" w:hAnsi="Arial" w:cs="Arial"/>
          <w:sz w:val="24"/>
          <w:szCs w:val="24"/>
          <w:lang w:eastAsia="pl-PL"/>
        </w:rPr>
        <w:t xml:space="preserve"> w art. 214 ust. 1 pkt 7 i 8. </w:t>
      </w:r>
      <w:r w:rsidR="000832D2" w:rsidRPr="0005319D">
        <w:rPr>
          <w:rFonts w:ascii="Arial" w:eastAsia="Times New Roman" w:hAnsi="Arial" w:cs="Arial"/>
          <w:sz w:val="24"/>
          <w:szCs w:val="24"/>
          <w:lang w:eastAsia="pl-PL"/>
        </w:rPr>
        <w:t>Zamawiający</w:t>
      </w:r>
      <w:r w:rsidR="00493A68" w:rsidRPr="0005319D">
        <w:rPr>
          <w:rFonts w:ascii="Arial" w:eastAsia="Times New Roman" w:hAnsi="Arial" w:cs="Arial"/>
          <w:sz w:val="24"/>
          <w:szCs w:val="24"/>
          <w:lang w:eastAsia="pl-PL"/>
        </w:rPr>
        <w:t xml:space="preserve"> nie</w:t>
      </w:r>
      <w:r w:rsidR="000832D2" w:rsidRPr="0005319D">
        <w:rPr>
          <w:rFonts w:ascii="Arial" w:eastAsia="Times New Roman" w:hAnsi="Arial" w:cs="Arial"/>
          <w:sz w:val="24"/>
          <w:szCs w:val="24"/>
          <w:lang w:eastAsia="pl-PL"/>
        </w:rPr>
        <w:t xml:space="preserve"> przewiduje możliwość udzielenia zamówień, o których mowa w art. 214 ust. 1</w:t>
      </w:r>
      <w:r w:rsidRPr="0005319D">
        <w:rPr>
          <w:rFonts w:ascii="Arial" w:eastAsia="Times New Roman" w:hAnsi="Arial" w:cs="Arial"/>
          <w:sz w:val="24"/>
          <w:szCs w:val="24"/>
          <w:lang w:eastAsia="pl-PL"/>
        </w:rPr>
        <w:t xml:space="preserve"> pkt 7 ustawy </w:t>
      </w:r>
      <w:proofErr w:type="spellStart"/>
      <w:r w:rsidRPr="0005319D">
        <w:rPr>
          <w:rFonts w:ascii="Arial" w:eastAsia="Times New Roman" w:hAnsi="Arial" w:cs="Arial"/>
          <w:sz w:val="24"/>
          <w:szCs w:val="24"/>
          <w:lang w:eastAsia="pl-PL"/>
        </w:rPr>
        <w:t>Pzp</w:t>
      </w:r>
      <w:proofErr w:type="spellEnd"/>
      <w:r w:rsidRPr="0005319D">
        <w:rPr>
          <w:rFonts w:ascii="Arial" w:eastAsia="Times New Roman" w:hAnsi="Arial" w:cs="Arial"/>
          <w:sz w:val="24"/>
          <w:szCs w:val="24"/>
          <w:lang w:eastAsia="pl-PL"/>
        </w:rPr>
        <w:t xml:space="preserve"> polegających </w:t>
      </w:r>
      <w:r w:rsidR="000832D2" w:rsidRPr="0005319D">
        <w:rPr>
          <w:rFonts w:ascii="Arial" w:eastAsia="Times New Roman" w:hAnsi="Arial" w:cs="Arial"/>
          <w:sz w:val="24"/>
          <w:szCs w:val="24"/>
          <w:lang w:eastAsia="pl-PL"/>
        </w:rPr>
        <w:t>na powtórzeniu podobnych robót budowlanych</w:t>
      </w:r>
      <w:r w:rsidR="00493A68" w:rsidRPr="0005319D">
        <w:rPr>
          <w:rFonts w:ascii="Arial" w:eastAsia="Times New Roman" w:hAnsi="Arial" w:cs="Arial"/>
          <w:sz w:val="24"/>
          <w:szCs w:val="24"/>
          <w:lang w:eastAsia="pl-PL"/>
        </w:rPr>
        <w:t>.</w:t>
      </w:r>
    </w:p>
    <w:p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lastRenderedPageBreak/>
        <w:tab/>
      </w:r>
      <w:r w:rsidRPr="006C0B52">
        <w:rPr>
          <w:rFonts w:ascii="Arial" w:eastAsia="Times New Roman" w:hAnsi="Arial" w:cs="Arial"/>
          <w:sz w:val="24"/>
          <w:szCs w:val="24"/>
          <w:lang w:eastAsia="pl-PL"/>
        </w:rPr>
        <w:tab/>
        <w:t>Pozostałe warunki zostały określone we wzorze umowy.</w:t>
      </w:r>
    </w:p>
    <w:p w:rsidR="008301F6" w:rsidRPr="00805B72" w:rsidRDefault="008301F6"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8301F6">
      <w:pPr>
        <w:pStyle w:val="Akapitzlist"/>
        <w:tabs>
          <w:tab w:val="left" w:pos="0"/>
          <w:tab w:val="left" w:pos="567"/>
        </w:tabs>
        <w:spacing w:line="276" w:lineRule="auto"/>
        <w:ind w:left="0"/>
        <w:jc w:val="both"/>
        <w:rPr>
          <w:rFonts w:ascii="Arial" w:hAnsi="Arial" w:cs="Arial"/>
          <w:b/>
        </w:rPr>
      </w:pPr>
    </w:p>
    <w:p w:rsidR="009A4B62" w:rsidRPr="009A4B62" w:rsidRDefault="00587B20" w:rsidP="0005319D">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9A4B62">
        <w:rPr>
          <w:rFonts w:ascii="Arial" w:hAnsi="Arial" w:cs="Arial"/>
          <w:sz w:val="24"/>
          <w:szCs w:val="24"/>
        </w:rPr>
        <w:t xml:space="preserve">Przedmiotem </w:t>
      </w:r>
      <w:r w:rsidR="005C0723" w:rsidRPr="009A4B62">
        <w:rPr>
          <w:rFonts w:ascii="Arial" w:hAnsi="Arial" w:cs="Arial"/>
          <w:sz w:val="24"/>
          <w:szCs w:val="24"/>
        </w:rPr>
        <w:t xml:space="preserve">zamówienia </w:t>
      </w:r>
      <w:r w:rsidR="00583943" w:rsidRPr="009A4B62">
        <w:rPr>
          <w:rFonts w:ascii="Arial" w:hAnsi="Arial" w:cs="Arial"/>
          <w:sz w:val="24"/>
          <w:szCs w:val="24"/>
        </w:rPr>
        <w:t xml:space="preserve">jest remont drogi gminnej Nr 335008T Świdno-Chotów </w:t>
      </w:r>
      <w:r w:rsidR="00583943" w:rsidRPr="009A4B62">
        <w:rPr>
          <w:rFonts w:ascii="Arial" w:hAnsi="Arial" w:cs="Arial"/>
          <w:sz w:val="24"/>
          <w:szCs w:val="24"/>
        </w:rPr>
        <w:br/>
        <w:t>w miejscowości Świdno</w:t>
      </w:r>
      <w:r w:rsidR="009A4B62" w:rsidRPr="009A4B62">
        <w:rPr>
          <w:rFonts w:ascii="Arial" w:hAnsi="Arial" w:cs="Arial"/>
          <w:sz w:val="24"/>
          <w:szCs w:val="24"/>
        </w:rPr>
        <w:t xml:space="preserve"> (dz. nr ew. 4278, 4243, 4058 i 4316 obręb Świdno) w związku </w:t>
      </w:r>
      <w:r w:rsidR="009A4B62" w:rsidRPr="009A4B62">
        <w:rPr>
          <w:rFonts w:ascii="Arial" w:hAnsi="Arial" w:cs="Arial"/>
          <w:sz w:val="24"/>
          <w:szCs w:val="24"/>
        </w:rPr>
        <w:br/>
        <w:t>z uszkodzeniami jakie występują w nawierzchni asfaltowej. Remontowana droga łączy się z drogą powiatową  Nr 0258T. W związku z występującymi uszkodzeniami planuje się wykonanie remontu na odcinku drogi od km 0+006 do km 0+776 obejmującego:</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ścięcie nadmiaru gruntu na poboczach,</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mechaniczne czyszczenie istniejącej nawierzchni bitumicznej,</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nacięcie nawierzchni mineralno-bitumicznej na połączeniach z istni</w:t>
      </w:r>
      <w:r>
        <w:rPr>
          <w:rFonts w:ascii="Arial" w:hAnsi="Arial" w:cs="Arial"/>
          <w:sz w:val="24"/>
          <w:szCs w:val="24"/>
        </w:rPr>
        <w:t>ej</w:t>
      </w:r>
      <w:r w:rsidRPr="009A4B62">
        <w:rPr>
          <w:rFonts w:ascii="Arial" w:hAnsi="Arial" w:cs="Arial"/>
          <w:sz w:val="24"/>
          <w:szCs w:val="24"/>
        </w:rPr>
        <w:t>ącą nawierzchnią,</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skropienie nawierzchni asfaltem,</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wykonanie warstwy wyrównawczej z masy mineralno-bitumicznej o gr. śr. 3 cm,</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xml:space="preserve">- ułożenie warstwy ścieralnej z masy </w:t>
      </w:r>
      <w:proofErr w:type="spellStart"/>
      <w:r w:rsidRPr="009A4B62">
        <w:rPr>
          <w:rFonts w:ascii="Arial" w:hAnsi="Arial" w:cs="Arial"/>
          <w:sz w:val="24"/>
          <w:szCs w:val="24"/>
        </w:rPr>
        <w:t>mineralno</w:t>
      </w:r>
      <w:proofErr w:type="spellEnd"/>
      <w:r w:rsidRPr="009A4B62">
        <w:rPr>
          <w:rFonts w:ascii="Arial" w:hAnsi="Arial" w:cs="Arial"/>
          <w:sz w:val="24"/>
          <w:szCs w:val="24"/>
        </w:rPr>
        <w:t xml:space="preserve"> bitumicznej gr. śr. 3 cm, </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odtworzenie poboczy tłuczniowych szer. 50 cm,</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regulacja wysokościowa studni kanalizacyjnych i zaworów wodociągowych.</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Szerokość nawierzchni asfaltowej na przedmiotowej drodze jest zmienna od 4,00 m do 5,00 m i wynosi odpowiednio:</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od km 0+006 do km 0+226  - 5,00 m,</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od km 0+226 do km 0+668  - 4,60 m,</w:t>
      </w:r>
    </w:p>
    <w:p w:rsidR="009A4B62" w:rsidRP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od km 0+668 do km 0+776  - 5,00-4,00 m.</w:t>
      </w:r>
    </w:p>
    <w:p w:rsidR="009A4B62" w:rsidRDefault="009A4B62" w:rsidP="009A4B62">
      <w:pPr>
        <w:pStyle w:val="Akapitzlist"/>
        <w:tabs>
          <w:tab w:val="left" w:pos="0"/>
          <w:tab w:val="left" w:pos="709"/>
        </w:tabs>
        <w:spacing w:line="276" w:lineRule="auto"/>
        <w:ind w:left="709"/>
        <w:jc w:val="both"/>
        <w:rPr>
          <w:rFonts w:ascii="Arial" w:hAnsi="Arial" w:cs="Arial"/>
          <w:sz w:val="24"/>
          <w:szCs w:val="24"/>
        </w:rPr>
      </w:pPr>
      <w:r w:rsidRPr="009A4B62">
        <w:rPr>
          <w:rFonts w:ascii="Arial" w:hAnsi="Arial" w:cs="Arial"/>
          <w:sz w:val="24"/>
          <w:szCs w:val="24"/>
        </w:rPr>
        <w:t xml:space="preserve">W ramach zadania zostanie również wykonany remont sięgacza długości 13,00 </w:t>
      </w:r>
      <w:proofErr w:type="spellStart"/>
      <w:r w:rsidRPr="009A4B62">
        <w:rPr>
          <w:rFonts w:ascii="Arial" w:hAnsi="Arial" w:cs="Arial"/>
          <w:sz w:val="24"/>
          <w:szCs w:val="24"/>
        </w:rPr>
        <w:t>mb</w:t>
      </w:r>
      <w:proofErr w:type="spellEnd"/>
      <w:r w:rsidRPr="009A4B62">
        <w:rPr>
          <w:rFonts w:ascii="Arial" w:hAnsi="Arial" w:cs="Arial"/>
          <w:sz w:val="24"/>
          <w:szCs w:val="24"/>
        </w:rPr>
        <w:t xml:space="preserve"> i szerokości 3,00 m w kierunku drogi powiatowej.</w:t>
      </w:r>
    </w:p>
    <w:p w:rsidR="00583943" w:rsidRPr="00583943" w:rsidRDefault="00583943" w:rsidP="008301F6">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583943">
        <w:rPr>
          <w:rFonts w:ascii="Arial" w:hAnsi="Arial" w:cs="Arial"/>
          <w:sz w:val="24"/>
          <w:szCs w:val="24"/>
        </w:rPr>
        <w:t xml:space="preserve">Szczegółowy zakres zamówienia oraz warunki realizacji zostały określone w załącznikach do SWZ. </w:t>
      </w:r>
      <w:r w:rsidR="0005319D">
        <w:rPr>
          <w:rFonts w:ascii="Arial" w:hAnsi="Arial" w:cs="Arial"/>
          <w:sz w:val="24"/>
          <w:szCs w:val="24"/>
        </w:rPr>
        <w:t>O</w:t>
      </w:r>
      <w:r w:rsidRPr="00583943">
        <w:rPr>
          <w:rFonts w:ascii="Arial" w:hAnsi="Arial" w:cs="Arial"/>
          <w:sz w:val="24"/>
          <w:szCs w:val="24"/>
        </w:rPr>
        <w:t xml:space="preserve">pis przedmiotu zamówienia określają załączone do niniejszej SWZ przedmiary </w:t>
      </w:r>
      <w:r w:rsidRPr="0005319D">
        <w:rPr>
          <w:rFonts w:ascii="Arial" w:hAnsi="Arial" w:cs="Arial"/>
          <w:sz w:val="24"/>
          <w:szCs w:val="24"/>
        </w:rPr>
        <w:t>robót</w:t>
      </w:r>
      <w:r w:rsidR="0005319D" w:rsidRPr="0005319D">
        <w:rPr>
          <w:rFonts w:ascii="Arial" w:hAnsi="Arial" w:cs="Arial"/>
          <w:sz w:val="24"/>
          <w:szCs w:val="24"/>
        </w:rPr>
        <w:t xml:space="preserve">, </w:t>
      </w:r>
      <w:proofErr w:type="spellStart"/>
      <w:r w:rsidR="0005319D" w:rsidRPr="0005319D">
        <w:rPr>
          <w:rFonts w:ascii="Arial" w:hAnsi="Arial" w:cs="Arial"/>
          <w:sz w:val="24"/>
          <w:szCs w:val="24"/>
        </w:rPr>
        <w:t>stwiorb</w:t>
      </w:r>
      <w:proofErr w:type="spellEnd"/>
      <w:r w:rsidRPr="0005319D">
        <w:rPr>
          <w:rFonts w:ascii="Arial" w:hAnsi="Arial" w:cs="Arial"/>
          <w:sz w:val="24"/>
          <w:szCs w:val="24"/>
        </w:rPr>
        <w:t xml:space="preserve"> - zgodnie z załącznikiem nr </w:t>
      </w:r>
      <w:r w:rsidR="0005319D" w:rsidRPr="0005319D">
        <w:rPr>
          <w:rFonts w:ascii="Arial" w:hAnsi="Arial" w:cs="Arial"/>
          <w:sz w:val="24"/>
          <w:szCs w:val="24"/>
        </w:rPr>
        <w:t xml:space="preserve">4 </w:t>
      </w:r>
      <w:r w:rsidRPr="0005319D">
        <w:rPr>
          <w:rFonts w:ascii="Arial" w:hAnsi="Arial" w:cs="Arial"/>
          <w:sz w:val="24"/>
          <w:szCs w:val="24"/>
        </w:rPr>
        <w:t xml:space="preserve">do SWZ. Wykonawca jest zobowiązany zrealizować zamówienie na zasadach i warunkach opisanych we wzorze umowy stanowiącym załącznik nr </w:t>
      </w:r>
      <w:r w:rsidR="0005319D" w:rsidRPr="0005319D">
        <w:rPr>
          <w:rFonts w:ascii="Arial" w:hAnsi="Arial" w:cs="Arial"/>
          <w:sz w:val="24"/>
          <w:szCs w:val="24"/>
        </w:rPr>
        <w:t xml:space="preserve">3 </w:t>
      </w:r>
      <w:r w:rsidRPr="0005319D">
        <w:rPr>
          <w:rFonts w:ascii="Arial" w:hAnsi="Arial" w:cs="Arial"/>
          <w:sz w:val="24"/>
          <w:szCs w:val="24"/>
        </w:rPr>
        <w:t>do SWZ.</w:t>
      </w:r>
    </w:p>
    <w:p w:rsidR="00583943" w:rsidRPr="00DB41BA"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Dokumentacja </w:t>
      </w:r>
      <w:r>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Pr>
          <w:rFonts w:ascii="Arial" w:hAnsi="Arial" w:cs="Arial"/>
          <w:sz w:val="24"/>
          <w:szCs w:val="24"/>
        </w:rPr>
        <w:br/>
      </w:r>
      <w:r w:rsidRPr="00DB41BA">
        <w:rPr>
          <w:rFonts w:ascii="Arial" w:hAnsi="Arial" w:cs="Arial"/>
          <w:sz w:val="24"/>
          <w:szCs w:val="24"/>
        </w:rPr>
        <w:t xml:space="preserve">w dokumentacji towarzyszy wyraz „lub równoważne".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w:t>
      </w:r>
      <w:r w:rsidRPr="00DB41BA">
        <w:rPr>
          <w:rFonts w:ascii="Arial" w:hAnsi="Arial" w:cs="Arial"/>
          <w:sz w:val="24"/>
          <w:szCs w:val="24"/>
        </w:rPr>
        <w:lastRenderedPageBreak/>
        <w:t xml:space="preserve">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583943" w:rsidRPr="002B69AF"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583943" w:rsidRPr="002B69AF" w:rsidRDefault="00583943" w:rsidP="008301F6">
      <w:pPr>
        <w:pStyle w:val="Akapitzlist"/>
        <w:tabs>
          <w:tab w:val="left" w:pos="0"/>
          <w:tab w:val="left" w:pos="709"/>
        </w:tabs>
        <w:spacing w:line="276" w:lineRule="auto"/>
        <w:ind w:left="709"/>
        <w:jc w:val="both"/>
        <w:rPr>
          <w:rFonts w:ascii="Arial" w:hAnsi="Arial" w:cs="Arial"/>
          <w:sz w:val="24"/>
          <w:szCs w:val="24"/>
        </w:rPr>
      </w:pPr>
      <w:r w:rsidRPr="002B69AF">
        <w:rPr>
          <w:rFonts w:ascii="Arial" w:hAnsi="Arial" w:cs="Arial"/>
          <w:sz w:val="24"/>
          <w:szCs w:val="24"/>
        </w:rPr>
        <w:t>45233220-7</w:t>
      </w:r>
      <w:r w:rsidRPr="002B69AF">
        <w:rPr>
          <w:rFonts w:ascii="Arial" w:hAnsi="Arial" w:cs="Arial"/>
          <w:sz w:val="24"/>
          <w:szCs w:val="24"/>
        </w:rPr>
        <w:tab/>
        <w:t>Roboty w zakresie nawierzchni dróg</w:t>
      </w:r>
    </w:p>
    <w:p w:rsidR="00583943" w:rsidRPr="00DC122D"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Pr>
          <w:rFonts w:ascii="Arial" w:hAnsi="Arial" w:cs="Arial"/>
          <w:sz w:val="24"/>
          <w:szCs w:val="24"/>
        </w:rPr>
        <w:t>Przedmiot zamówienia dotyczy jednej drogi</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sidRPr="005A68E0">
        <w:rPr>
          <w:rFonts w:ascii="Arial" w:hAnsi="Arial" w:cs="Arial"/>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583943" w:rsidRPr="005A68E0"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sidRPr="005A68E0">
        <w:rPr>
          <w:rFonts w:ascii="Arial" w:hAnsi="Arial" w:cs="Arial"/>
          <w:sz w:val="24"/>
          <w:szCs w:val="24"/>
        </w:rPr>
        <w:lastRenderedPageBreak/>
        <w:t>każdy z Wykonawców w cenę oferty wliczyłby odrębne koszty ubezpieczenia placu budowy, mienia i robót budowlanych co zwiększyłoby poziom wydatków Zamawiającego.</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583943"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301F6">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8301F6">
      <w:pPr>
        <w:tabs>
          <w:tab w:val="left" w:pos="426"/>
        </w:tabs>
        <w:spacing w:line="276" w:lineRule="auto"/>
        <w:rPr>
          <w:rFonts w:ascii="Arial" w:eastAsia="Times New Roman" w:hAnsi="Arial" w:cs="Arial"/>
          <w:b/>
          <w:sz w:val="24"/>
          <w:szCs w:val="26"/>
          <w:lang w:eastAsia="pl-PL"/>
        </w:rPr>
      </w:pPr>
    </w:p>
    <w:p w:rsidR="00613D36" w:rsidRDefault="00D71B4A" w:rsidP="008301F6">
      <w:pPr>
        <w:spacing w:line="276"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583943">
        <w:rPr>
          <w:rFonts w:ascii="Arial" w:eastAsia="Times New Roman" w:hAnsi="Arial" w:cs="Arial"/>
          <w:b/>
          <w:sz w:val="24"/>
          <w:szCs w:val="24"/>
          <w:lang w:eastAsia="pl-PL"/>
        </w:rPr>
        <w:t>3</w:t>
      </w:r>
      <w:r w:rsidR="00C66794" w:rsidRPr="00493A68">
        <w:rPr>
          <w:rFonts w:ascii="Arial" w:eastAsia="Times New Roman" w:hAnsi="Arial" w:cs="Arial"/>
          <w:b/>
          <w:sz w:val="24"/>
          <w:szCs w:val="24"/>
          <w:lang w:eastAsia="pl-PL"/>
        </w:rPr>
        <w:t xml:space="preserve"> </w:t>
      </w:r>
      <w:r w:rsidR="00D1423E" w:rsidRPr="00493A68">
        <w:rPr>
          <w:rFonts w:ascii="Arial" w:eastAsia="Times New Roman" w:hAnsi="Arial" w:cs="Arial"/>
          <w:b/>
          <w:sz w:val="24"/>
          <w:szCs w:val="24"/>
          <w:lang w:eastAsia="pl-PL"/>
        </w:rPr>
        <w:t>miesi</w:t>
      </w:r>
      <w:r w:rsidR="0095212D">
        <w:rPr>
          <w:rFonts w:ascii="Arial" w:eastAsia="Times New Roman" w:hAnsi="Arial" w:cs="Arial"/>
          <w:b/>
          <w:sz w:val="24"/>
          <w:szCs w:val="24"/>
          <w:lang w:eastAsia="pl-PL"/>
        </w:rPr>
        <w:t>ące</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8E7C87" w:rsidRPr="00DB41BA" w:rsidRDefault="008E7C87" w:rsidP="008301F6">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583943" w:rsidRPr="00583943"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583943">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8301F6">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465F9E"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w:t>
      </w:r>
      <w:r>
        <w:rPr>
          <w:rFonts w:ascii="Arial" w:hAnsi="Arial" w:cs="Arial"/>
          <w:sz w:val="24"/>
          <w:szCs w:val="24"/>
        </w:rPr>
        <w:t>onie bezpieczeństwa narodowego.</w:t>
      </w:r>
      <w:r>
        <w:rPr>
          <w:rStyle w:val="Odwoanieprzypisudolnego"/>
          <w:rFonts w:ascii="Arial" w:hAnsi="Arial" w:cs="Arial"/>
          <w:sz w:val="24"/>
          <w:szCs w:val="24"/>
        </w:rPr>
        <w:footnoteReference w:id="1"/>
      </w:r>
    </w:p>
    <w:p w:rsidR="00465F9E"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465F9E" w:rsidRP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 xml:space="preserve">Ponadto Zamawiający, w ramach weryfikacji przesłanek wykluczenia, o których mowa powyżej, zastrzega możliwość wezwania Wykonawcy do złożenia wyjaśnień.  </w:t>
      </w:r>
    </w:p>
    <w:p w:rsidR="00CA2C49"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465F9E" w:rsidRPr="00465F9E"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465F9E">
        <w:rPr>
          <w:rFonts w:ascii="Arial" w:hAnsi="Arial" w:cs="Arial"/>
          <w:sz w:val="24"/>
          <w:szCs w:val="24"/>
        </w:rPr>
        <w:t>Samooczyszczenie.</w:t>
      </w:r>
    </w:p>
    <w:p w:rsidR="00465F9E" w:rsidRPr="00465F9E" w:rsidRDefault="00465F9E" w:rsidP="008301F6">
      <w:pPr>
        <w:tabs>
          <w:tab w:val="left" w:pos="709"/>
        </w:tabs>
        <w:spacing w:line="276" w:lineRule="auto"/>
        <w:ind w:left="709"/>
        <w:jc w:val="both"/>
        <w:rPr>
          <w:rFonts w:ascii="Arial" w:hAnsi="Arial" w:cs="Arial"/>
          <w:sz w:val="24"/>
          <w:szCs w:val="24"/>
        </w:rPr>
      </w:pPr>
      <w:r w:rsidRPr="00465F9E">
        <w:rPr>
          <w:rFonts w:ascii="Arial" w:hAnsi="Arial" w:cs="Arial"/>
          <w:sz w:val="24"/>
          <w:szCs w:val="24"/>
        </w:rPr>
        <w:t xml:space="preserve">W okolicznościach określonych w art. 108 ust. 1 pkt. 1, 2 i 5 lub art. 109 ust.1  pkt. 4 ustawy </w:t>
      </w:r>
      <w:proofErr w:type="spellStart"/>
      <w:r w:rsidRPr="00465F9E">
        <w:rPr>
          <w:rFonts w:ascii="Arial" w:hAnsi="Arial" w:cs="Arial"/>
          <w:sz w:val="24"/>
          <w:szCs w:val="24"/>
        </w:rPr>
        <w:t>Pzp</w:t>
      </w:r>
      <w:proofErr w:type="spellEnd"/>
      <w:r w:rsidRPr="00465F9E">
        <w:rPr>
          <w:rFonts w:ascii="Arial" w:hAnsi="Arial" w:cs="Arial"/>
          <w:sz w:val="24"/>
          <w:szCs w:val="24"/>
        </w:rPr>
        <w:t>, Wykonawca nie podlega wykluczeniu jeżeli udowodni  Zamawiającemu, że spełnił łącznie następujące przesłanki:</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Naprawił lub zobowiązał się do naprawienia szkody wyrządzonej przestępstwem, wykroczeniem lub swoim nieprawidłowym postępowaniem, w tym poprzez zadośćuczynienie pieniężne;</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Podjął konkretne środki techniczne, organizacyjne i kadrowe, odpowiednie dla zapobiegania dalszym przestępstwom, wykroczeniom lub nieprawidłowemu postępowaniu, w szczególności: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zerwał wszelkie powiązania z osobami lub podmiotami odpowiedzialnymi za nieprawidłowe postępowanie Wykonawcy;</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reorganizował personel;</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wdrożył system sprawozdawczości i kontroli;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utworzył struktury audytu wewnętrznego do monitorowania przestrzegania przepisów, wewnętrznych regulacji lub standardów,</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wprowadził wewnętrzne regulacje dotyczące odpowiedzialności i odszkodowań za nieprzestrzeganie przepisów, wewnętrznych regulacji i standardów.</w:t>
      </w:r>
    </w:p>
    <w:p w:rsidR="00465F9E" w:rsidRPr="00465F9E" w:rsidRDefault="00465F9E" w:rsidP="008301F6">
      <w:pPr>
        <w:numPr>
          <w:ilvl w:val="1"/>
          <w:numId w:val="16"/>
        </w:numPr>
        <w:spacing w:line="276" w:lineRule="auto"/>
        <w:ind w:left="709" w:hanging="709"/>
        <w:contextualSpacing/>
        <w:jc w:val="both"/>
        <w:rPr>
          <w:rFonts w:ascii="Arial" w:hAnsi="Arial" w:cs="Arial"/>
          <w:sz w:val="24"/>
          <w:szCs w:val="24"/>
        </w:rPr>
      </w:pPr>
      <w:r w:rsidRPr="00465F9E">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8</w:t>
            </w:r>
          </w:p>
          <w:p w:rsidR="005C22DA" w:rsidRDefault="00963373" w:rsidP="008301F6">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583943" w:rsidRPr="00DB41BA"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Pr>
          <w:rFonts w:ascii="Arial" w:eastAsia="Times New Roman" w:hAnsi="Arial" w:cs="Arial"/>
          <w:b/>
          <w:sz w:val="24"/>
          <w:szCs w:val="24"/>
          <w:lang w:eastAsia="pl-PL"/>
        </w:rPr>
        <w:t>Nie dotyczy</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DB41BA">
        <w:rPr>
          <w:rFonts w:ascii="Arial" w:eastAsia="Times New Roman" w:hAnsi="Arial" w:cs="Arial"/>
          <w:sz w:val="24"/>
          <w:szCs w:val="24"/>
          <w:lang w:eastAsia="pl-PL"/>
        </w:rPr>
        <w:lastRenderedPageBreak/>
        <w:t>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8301F6">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w:t>
      </w:r>
      <w:r w:rsidRPr="00DB41BA">
        <w:rPr>
          <w:rFonts w:ascii="Arial" w:eastAsia="Times New Roman" w:hAnsi="Arial" w:cs="Arial"/>
          <w:b/>
          <w:sz w:val="24"/>
          <w:szCs w:val="24"/>
          <w:lang w:eastAsia="pl-PL"/>
        </w:rPr>
        <w:lastRenderedPageBreak/>
        <w:t xml:space="preserve">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r>
      <w:r w:rsidR="00833C8F">
        <w:rPr>
          <w:rFonts w:ascii="Arial" w:eastAsia="Times New Roman" w:hAnsi="Arial" w:cs="Arial"/>
          <w:sz w:val="24"/>
          <w:lang w:eastAsia="pl-PL"/>
        </w:rPr>
        <w:lastRenderedPageBreak/>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jednak </w:t>
      </w:r>
      <w:r w:rsidRPr="00DB41BA">
        <w:rPr>
          <w:rFonts w:ascii="Arial" w:eastAsia="Times New Roman" w:hAnsi="Arial" w:cs="Arial"/>
          <w:b/>
          <w:sz w:val="24"/>
          <w:szCs w:val="24"/>
          <w:lang w:eastAsia="pl-PL"/>
        </w:rPr>
        <w:t xml:space="preserve">nie później niż na 2 dni przed upływem </w:t>
      </w:r>
      <w:r w:rsidRPr="00DB41BA">
        <w:rPr>
          <w:rFonts w:ascii="Arial" w:eastAsia="Times New Roman" w:hAnsi="Arial" w:cs="Arial"/>
          <w:b/>
          <w:sz w:val="24"/>
          <w:szCs w:val="24"/>
          <w:lang w:eastAsia="pl-PL"/>
        </w:rPr>
        <w:lastRenderedPageBreak/>
        <w:t>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8A16FE" w:rsidRPr="008A16FE">
        <w:rPr>
          <w:rFonts w:ascii="Arial" w:eastAsia="Times New Roman" w:hAnsi="Arial" w:cs="Arial"/>
          <w:b/>
          <w:sz w:val="24"/>
          <w:szCs w:val="24"/>
          <w:lang w:eastAsia="pl-PL"/>
        </w:rPr>
        <w:t>0</w:t>
      </w:r>
      <w:r w:rsidR="00AA58F9">
        <w:rPr>
          <w:rFonts w:ascii="Arial" w:eastAsia="Times New Roman" w:hAnsi="Arial" w:cs="Arial"/>
          <w:b/>
          <w:sz w:val="24"/>
          <w:szCs w:val="24"/>
          <w:lang w:eastAsia="pl-PL"/>
        </w:rPr>
        <w:t>5</w:t>
      </w:r>
      <w:r w:rsidR="008A16FE" w:rsidRPr="008A16FE">
        <w:rPr>
          <w:rFonts w:ascii="Arial" w:eastAsia="Times New Roman" w:hAnsi="Arial" w:cs="Arial"/>
          <w:b/>
          <w:sz w:val="24"/>
          <w:szCs w:val="24"/>
          <w:lang w:eastAsia="pl-PL"/>
        </w:rPr>
        <w:t xml:space="preserve">.05.2023r. </w:t>
      </w:r>
      <w:r w:rsidRPr="008A16FE">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8301F6">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3247BF" w:rsidRPr="003247BF" w:rsidRDefault="003247BF"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Dokumenty złożone w takich plikach zostaną uznane za złożone nieskutecznie.</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rekomenduje wykorzystanie podpisu z kwalifikowanym znacznikiem czasu.</w:t>
      </w:r>
    </w:p>
    <w:p w:rsidR="007C09DB"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ED0EC7" w:rsidRPr="00ED0EC7" w:rsidRDefault="00ED0EC7"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611484">
        <w:rPr>
          <w:rFonts w:ascii="Arial" w:hAnsi="Arial" w:cs="Arial"/>
          <w:b/>
          <w:color w:val="0070C0"/>
          <w:sz w:val="24"/>
          <w:szCs w:val="24"/>
        </w:rPr>
        <w:t>Kosztorys ofertow</w:t>
      </w:r>
      <w:r>
        <w:rPr>
          <w:rFonts w:ascii="Arial" w:hAnsi="Arial" w:cs="Arial"/>
          <w:b/>
          <w:color w:val="0070C0"/>
          <w:sz w:val="24"/>
          <w:szCs w:val="24"/>
        </w:rPr>
        <w:t>y</w:t>
      </w:r>
      <w:r w:rsidRPr="00611484">
        <w:rPr>
          <w:rFonts w:ascii="Arial" w:eastAsia="Times New Roman" w:hAnsi="Arial" w:cs="Arial"/>
          <w:sz w:val="24"/>
          <w:szCs w:val="24"/>
          <w:lang w:eastAsia="pl-PL"/>
        </w:rPr>
        <w:t xml:space="preserve"> sporządzon</w:t>
      </w:r>
      <w:r>
        <w:rPr>
          <w:rFonts w:ascii="Arial" w:eastAsia="Times New Roman" w:hAnsi="Arial" w:cs="Arial"/>
          <w:sz w:val="24"/>
          <w:szCs w:val="24"/>
          <w:lang w:eastAsia="pl-PL"/>
        </w:rPr>
        <w:t>y</w:t>
      </w:r>
      <w:r w:rsidRPr="00611484">
        <w:rPr>
          <w:rFonts w:ascii="Arial" w:eastAsia="Times New Roman" w:hAnsi="Arial" w:cs="Arial"/>
          <w:sz w:val="24"/>
          <w:szCs w:val="24"/>
          <w:lang w:eastAsia="pl-PL"/>
        </w:rPr>
        <w:t xml:space="preserve"> na podstawie przedmiar</w:t>
      </w:r>
      <w:r>
        <w:rPr>
          <w:rFonts w:ascii="Arial" w:eastAsia="Times New Roman" w:hAnsi="Arial" w:cs="Arial"/>
          <w:sz w:val="24"/>
          <w:szCs w:val="24"/>
          <w:lang w:eastAsia="pl-PL"/>
        </w:rPr>
        <w:t>u</w:t>
      </w:r>
      <w:r w:rsidRPr="00611484">
        <w:rPr>
          <w:rFonts w:ascii="Arial" w:eastAsia="Times New Roman" w:hAnsi="Arial" w:cs="Arial"/>
          <w:sz w:val="24"/>
          <w:szCs w:val="24"/>
          <w:lang w:eastAsia="pl-PL"/>
        </w:rPr>
        <w:t xml:space="preserve"> robót.</w:t>
      </w:r>
    </w:p>
    <w:p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8A16FE">
        <w:rPr>
          <w:rFonts w:ascii="Arial" w:eastAsia="Times New Roman" w:hAnsi="Arial" w:cs="Arial"/>
          <w:b/>
          <w:sz w:val="24"/>
          <w:szCs w:val="24"/>
          <w:lang w:eastAsia="pl-PL"/>
        </w:rPr>
        <w:t xml:space="preserve">do dnia </w:t>
      </w:r>
      <w:r w:rsidR="008A16FE" w:rsidRPr="008A16FE">
        <w:rPr>
          <w:rFonts w:ascii="Arial" w:eastAsia="Times New Roman" w:hAnsi="Arial" w:cs="Arial"/>
          <w:b/>
          <w:sz w:val="24"/>
          <w:szCs w:val="24"/>
          <w:lang w:eastAsia="pl-PL"/>
        </w:rPr>
        <w:t>0</w:t>
      </w:r>
      <w:r w:rsidR="00AA58F9">
        <w:rPr>
          <w:rFonts w:ascii="Arial" w:eastAsia="Times New Roman" w:hAnsi="Arial" w:cs="Arial"/>
          <w:b/>
          <w:sz w:val="24"/>
          <w:szCs w:val="24"/>
          <w:lang w:eastAsia="pl-PL"/>
        </w:rPr>
        <w:t>6</w:t>
      </w:r>
      <w:bookmarkStart w:id="0" w:name="_GoBack"/>
      <w:bookmarkEnd w:id="0"/>
      <w:r w:rsidR="00DD7ADF" w:rsidRPr="008A16FE">
        <w:rPr>
          <w:rFonts w:ascii="Arial" w:eastAsia="Times New Roman" w:hAnsi="Arial" w:cs="Arial"/>
          <w:b/>
          <w:sz w:val="24"/>
          <w:szCs w:val="24"/>
          <w:lang w:eastAsia="pl-PL"/>
        </w:rPr>
        <w:t>.0</w:t>
      </w:r>
      <w:r w:rsidR="008A16FE" w:rsidRPr="008A16FE">
        <w:rPr>
          <w:rFonts w:ascii="Arial" w:eastAsia="Times New Roman" w:hAnsi="Arial" w:cs="Arial"/>
          <w:b/>
          <w:sz w:val="24"/>
          <w:szCs w:val="24"/>
          <w:lang w:eastAsia="pl-PL"/>
        </w:rPr>
        <w:t>4</w:t>
      </w:r>
      <w:r w:rsidR="00502621"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2023</w:t>
      </w:r>
      <w:r w:rsidR="00EC1DE0" w:rsidRPr="008A16FE">
        <w:rPr>
          <w:rFonts w:ascii="Arial" w:eastAsia="Times New Roman" w:hAnsi="Arial" w:cs="Arial"/>
          <w:b/>
          <w:sz w:val="24"/>
          <w:szCs w:val="24"/>
          <w:lang w:eastAsia="pl-PL"/>
        </w:rPr>
        <w:t xml:space="preserve">r. </w:t>
      </w:r>
      <w:r w:rsidRPr="008A16FE">
        <w:rPr>
          <w:rFonts w:ascii="Arial" w:eastAsia="Times New Roman" w:hAnsi="Arial" w:cs="Arial"/>
          <w:b/>
          <w:sz w:val="24"/>
          <w:szCs w:val="24"/>
          <w:lang w:eastAsia="pl-PL"/>
        </w:rPr>
        <w:t xml:space="preserve">do godz. 12:00. </w:t>
      </w:r>
    </w:p>
    <w:p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A16FE" w:rsidRPr="008A16FE">
        <w:rPr>
          <w:rFonts w:ascii="Arial" w:eastAsia="Times New Roman" w:hAnsi="Arial" w:cs="Arial"/>
          <w:b/>
          <w:sz w:val="24"/>
          <w:szCs w:val="24"/>
          <w:lang w:eastAsia="pl-PL"/>
        </w:rPr>
        <w:t>0</w:t>
      </w:r>
      <w:r w:rsidR="00AA58F9">
        <w:rPr>
          <w:rFonts w:ascii="Arial" w:eastAsia="Times New Roman" w:hAnsi="Arial" w:cs="Arial"/>
          <w:b/>
          <w:sz w:val="24"/>
          <w:szCs w:val="24"/>
          <w:lang w:eastAsia="pl-PL"/>
        </w:rPr>
        <w:t>6</w:t>
      </w:r>
      <w:r w:rsidR="008F34DF" w:rsidRPr="008A16FE">
        <w:rPr>
          <w:rFonts w:ascii="Arial" w:eastAsia="Times New Roman" w:hAnsi="Arial" w:cs="Arial"/>
          <w:b/>
          <w:sz w:val="24"/>
          <w:szCs w:val="24"/>
          <w:lang w:eastAsia="pl-PL"/>
        </w:rPr>
        <w:t>.0</w:t>
      </w:r>
      <w:r w:rsidR="008A16FE" w:rsidRPr="008A16FE">
        <w:rPr>
          <w:rFonts w:ascii="Arial" w:eastAsia="Times New Roman" w:hAnsi="Arial" w:cs="Arial"/>
          <w:b/>
          <w:sz w:val="24"/>
          <w:szCs w:val="24"/>
          <w:lang w:eastAsia="pl-PL"/>
        </w:rPr>
        <w:t>4</w:t>
      </w:r>
      <w:r w:rsidR="008F34DF"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2023</w:t>
      </w:r>
      <w:r w:rsidR="00502621" w:rsidRPr="008A16FE">
        <w:rPr>
          <w:rFonts w:ascii="Arial" w:eastAsia="Times New Roman" w:hAnsi="Arial" w:cs="Arial"/>
          <w:b/>
          <w:sz w:val="24"/>
          <w:szCs w:val="24"/>
          <w:lang w:eastAsia="pl-PL"/>
        </w:rPr>
        <w:t xml:space="preserve">r. </w:t>
      </w:r>
      <w:r w:rsidR="008A16FE">
        <w:rPr>
          <w:rFonts w:ascii="Arial" w:eastAsia="Times New Roman" w:hAnsi="Arial" w:cs="Arial"/>
          <w:sz w:val="24"/>
          <w:szCs w:val="24"/>
          <w:lang w:eastAsia="pl-PL"/>
        </w:rPr>
        <w:t>o</w:t>
      </w:r>
      <w:r w:rsidRPr="008A16FE">
        <w:rPr>
          <w:rFonts w:ascii="Arial" w:eastAsia="Times New Roman" w:hAnsi="Arial" w:cs="Arial"/>
          <w:sz w:val="24"/>
          <w:szCs w:val="24"/>
          <w:lang w:eastAsia="pl-PL"/>
        </w:rPr>
        <w:t xml:space="preserve"> godz.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8A16FE" w:rsidRDefault="008A16FE"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8301F6">
      <w:pPr>
        <w:tabs>
          <w:tab w:val="left" w:pos="0"/>
        </w:tabs>
        <w:spacing w:line="276" w:lineRule="auto"/>
        <w:jc w:val="both"/>
        <w:rPr>
          <w:rFonts w:ascii="Arial" w:eastAsia="Times New Roman" w:hAnsi="Arial" w:cs="Arial"/>
          <w:color w:val="FF0000"/>
          <w:sz w:val="24"/>
          <w:szCs w:val="24"/>
          <w:lang w:eastAsia="pl-PL"/>
        </w:rPr>
      </w:pPr>
    </w:p>
    <w:p w:rsidR="00F62C6C" w:rsidRDefault="004B426A"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014707"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Zamawiający przewiduje wynagrodzenie kosztorysowe opisane w art. 630 § 1 zdanie pierwsze, art. 630§ 2 i 631 </w:t>
      </w:r>
      <w:proofErr w:type="spellStart"/>
      <w:r w:rsidRPr="00611484">
        <w:rPr>
          <w:rFonts w:ascii="Arial" w:eastAsia="Times New Roman" w:hAnsi="Arial" w:cs="Arial"/>
          <w:sz w:val="24"/>
          <w:szCs w:val="24"/>
          <w:lang w:eastAsia="pl-PL"/>
        </w:rPr>
        <w:t>kc</w:t>
      </w:r>
      <w:proofErr w:type="spellEnd"/>
      <w:r w:rsidRPr="00611484">
        <w:rPr>
          <w:rFonts w:ascii="Arial" w:eastAsia="Times New Roman" w:hAnsi="Arial" w:cs="Arial"/>
          <w:sz w:val="24"/>
          <w:szCs w:val="24"/>
          <w:lang w:eastAsia="pl-PL"/>
        </w:rPr>
        <w:t xml:space="preserve"> . </w:t>
      </w:r>
      <w:r w:rsidRPr="001432BF">
        <w:rPr>
          <w:rFonts w:ascii="Arial" w:eastAsia="Times New Roman" w:hAnsi="Arial" w:cs="Arial"/>
          <w:b/>
          <w:sz w:val="24"/>
          <w:szCs w:val="24"/>
          <w:lang w:eastAsia="pl-PL"/>
        </w:rPr>
        <w:t>Obliczona przez Wykonawcę cena oferty powinna odpowiadać zakresowi robót przedstawionemu w przedmiarach robót, które stanowią załącznik do SWZ jak również zawierać koszty: wszelkich robót przygotowawczych i organizacyjnych, porządkowych, koszty utrzymania zaplecza budowy, koszty zatrudnienia Kierownika budowy (kierowników robót), koszty związane z odbiorami wykonanych robót (w tym z opracowaniem dokumentacji odbiorowej) oraz inne wskazane we wzorze umowy.</w:t>
      </w:r>
    </w:p>
    <w:p w:rsidR="00014707" w:rsidRPr="00611484"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Cenę oferty należy obliczyć sporządzając kosztorys ofertowy w wersji uproszczonej przy zachowaniu następujących założeń:</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zakres robót, który jest podstawą do określenia ceny oferty, musi być zgodny z zakresami robót określonymi w przedmiarach robót, </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lastRenderedPageBreak/>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1432BF">
        <w:tc>
          <w:tcPr>
            <w:tcW w:w="537"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p w:rsidR="008A16FE" w:rsidRDefault="008A16FE" w:rsidP="008301F6">
      <w:pPr>
        <w:pStyle w:val="Akapitzlist"/>
        <w:tabs>
          <w:tab w:val="num" w:pos="360"/>
        </w:tabs>
        <w:spacing w:line="276" w:lineRule="auto"/>
        <w:ind w:left="709" w:hanging="709"/>
        <w:rPr>
          <w:rFonts w:ascii="Arial" w:hAnsi="Arial" w:cs="Arial"/>
          <w:sz w:val="24"/>
          <w:szCs w:val="24"/>
        </w:rPr>
      </w:pPr>
    </w:p>
    <w:p w:rsidR="008A16FE" w:rsidRPr="00DB41BA" w:rsidRDefault="008A16FE" w:rsidP="008301F6">
      <w:pPr>
        <w:pStyle w:val="Akapitzlist"/>
        <w:tabs>
          <w:tab w:val="num" w:pos="360"/>
        </w:tabs>
        <w:spacing w:line="276" w:lineRule="auto"/>
        <w:ind w:left="709" w:hanging="709"/>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lastRenderedPageBreak/>
              <w:t>Okres gwarancji</w:t>
            </w:r>
            <w:r w:rsidR="00980577">
              <w:rPr>
                <w:rFonts w:ascii="Arial" w:hAnsi="Arial" w:cs="Arial"/>
                <w:b/>
                <w:sz w:val="24"/>
                <w:szCs w:val="24"/>
              </w:rPr>
              <w:t xml:space="preserve"> i rękojmi</w:t>
            </w:r>
          </w:p>
        </w:tc>
        <w:tc>
          <w:tcPr>
            <w:tcW w:w="2409"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rsidR="005412B2" w:rsidRPr="00DB41BA" w:rsidRDefault="005412B2" w:rsidP="008301F6">
      <w:pPr>
        <w:pStyle w:val="Akapitzlist"/>
        <w:tabs>
          <w:tab w:val="num" w:pos="360"/>
        </w:tabs>
        <w:spacing w:line="276" w:lineRule="auto"/>
        <w:ind w:left="435"/>
        <w:jc w:val="both"/>
        <w:rPr>
          <w:rFonts w:ascii="Arial" w:hAnsi="Arial" w:cs="Arial"/>
          <w:sz w:val="24"/>
          <w:szCs w:val="24"/>
        </w:rPr>
      </w:pPr>
    </w:p>
    <w:p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r>
      <w:r w:rsidR="007F7966">
        <w:rPr>
          <w:rFonts w:ascii="Arial" w:eastAsia="Times New Roman" w:hAnsi="Arial" w:cs="Arial"/>
          <w:sz w:val="24"/>
          <w:szCs w:val="24"/>
          <w:lang w:eastAsia="pl-PL"/>
        </w:rPr>
        <w:t>6 000,00 zł (słownie: sześć tysięcy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2020 r. poz. 299).</w:t>
      </w:r>
    </w:p>
    <w:p w:rsidR="006B3E05" w:rsidRPr="00125D69" w:rsidRDefault="003A65E8" w:rsidP="008301F6">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1432BF" w:rsidRDefault="006B3E05" w:rsidP="008301F6">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1432BF" w:rsidRPr="001432BF">
        <w:rPr>
          <w:rFonts w:ascii="Arial" w:eastAsia="Times New Roman" w:hAnsi="Arial" w:cs="Arial"/>
          <w:b/>
          <w:i/>
          <w:sz w:val="24"/>
          <w:szCs w:val="24"/>
          <w:lang w:eastAsia="pl-PL"/>
        </w:rPr>
        <w:t>Remont drogi gminnej Nr 335008T Świd</w:t>
      </w:r>
      <w:r w:rsidR="001432BF">
        <w:rPr>
          <w:rFonts w:ascii="Arial" w:eastAsia="Times New Roman" w:hAnsi="Arial" w:cs="Arial"/>
          <w:b/>
          <w:i/>
          <w:sz w:val="24"/>
          <w:szCs w:val="24"/>
          <w:lang w:eastAsia="pl-PL"/>
        </w:rPr>
        <w:t>no-Chotów w miejscowości Świdno</w:t>
      </w:r>
    </w:p>
    <w:p w:rsidR="003A65E8" w:rsidRPr="00DB41BA" w:rsidRDefault="003A65E8" w:rsidP="008301F6">
      <w:pPr>
        <w:tabs>
          <w:tab w:val="left" w:pos="709"/>
        </w:tabs>
        <w:spacing w:line="276" w:lineRule="auto"/>
        <w:ind w:left="708"/>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8301F6">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34E8A" w:rsidRPr="00226909">
        <w:rPr>
          <w:rFonts w:ascii="Arial" w:eastAsia="Times New Roman" w:hAnsi="Arial" w:cs="Arial"/>
          <w:sz w:val="24"/>
          <w:szCs w:val="24"/>
          <w:lang w:eastAsia="pl-PL"/>
        </w:rPr>
        <w:t xml:space="preserve">dowód </w:t>
      </w:r>
      <w:r w:rsidRPr="00226909">
        <w:rPr>
          <w:rFonts w:ascii="Arial" w:eastAsia="Times New Roman" w:hAnsi="Arial" w:cs="Arial"/>
          <w:sz w:val="24"/>
          <w:szCs w:val="24"/>
          <w:lang w:eastAsia="pl-PL"/>
        </w:rPr>
        <w:t>wniesienia zabe</w:t>
      </w:r>
      <w:r w:rsidR="00226909">
        <w:rPr>
          <w:rFonts w:ascii="Arial" w:eastAsia="Times New Roman" w:hAnsi="Arial" w:cs="Arial"/>
          <w:sz w:val="24"/>
          <w:szCs w:val="24"/>
          <w:lang w:eastAsia="pl-PL"/>
        </w:rPr>
        <w:t>zpieczenia należytego wykonania.</w:t>
      </w:r>
    </w:p>
    <w:p w:rsidR="00183C5B" w:rsidRPr="00DB41BA" w:rsidRDefault="00183C5B" w:rsidP="008301F6">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8301F6">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8301F6">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zwróci 70% zabezpieczenia w terminie 30 dni od dnia wykonania zamówienia i uznania przez Zamawiającego za należycie wykonane.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celu prowadzenia przedmiotowego postępowania o udzielenie zamówienia publicznego oraz zawarcia umowy, a podstawą prawną ich przetwarzania jest </w:t>
      </w:r>
      <w:r w:rsidRPr="00DB41BA">
        <w:rPr>
          <w:rFonts w:ascii="Arial" w:eastAsia="Times New Roman" w:hAnsi="Arial" w:cs="Arial"/>
          <w:sz w:val="24"/>
          <w:szCs w:val="24"/>
          <w:lang w:eastAsia="pl-PL"/>
        </w:rPr>
        <w:lastRenderedPageBreak/>
        <w:t>obowiązek prawny stosowania sformalizowanych procedur udzielania zamówień publicznych spoczywających na Zamawiającym;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rsidR="005A235D" w:rsidRPr="00DB41BA" w:rsidRDefault="005A235D" w:rsidP="008301F6">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8301F6">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rsidR="005306BB" w:rsidRPr="00DB25E6" w:rsidRDefault="005306BB" w:rsidP="008301F6">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rsidR="005306BB" w:rsidRPr="00226909" w:rsidRDefault="005306BB" w:rsidP="008301F6">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t xml:space="preserve">OPZ </w:t>
      </w:r>
      <w:r w:rsidR="001432BF">
        <w:rPr>
          <w:rFonts w:ascii="Arial" w:eastAsia="Times New Roman" w:hAnsi="Arial" w:cs="Arial"/>
          <w:sz w:val="24"/>
          <w:szCs w:val="24"/>
          <w:lang w:eastAsia="pl-PL"/>
        </w:rPr>
        <w:t xml:space="preserve">(przedmiar, </w:t>
      </w:r>
      <w:proofErr w:type="spellStart"/>
      <w:r w:rsidR="001432BF">
        <w:rPr>
          <w:rFonts w:ascii="Arial" w:eastAsia="Times New Roman" w:hAnsi="Arial" w:cs="Arial"/>
          <w:sz w:val="24"/>
          <w:szCs w:val="24"/>
          <w:lang w:eastAsia="pl-PL"/>
        </w:rPr>
        <w:t>stwiorb</w:t>
      </w:r>
      <w:proofErr w:type="spellEnd"/>
      <w:r w:rsidR="001432BF">
        <w:rPr>
          <w:rFonts w:ascii="Arial" w:eastAsia="Times New Roman" w:hAnsi="Arial" w:cs="Arial"/>
          <w:sz w:val="24"/>
          <w:szCs w:val="24"/>
          <w:lang w:eastAsia="pl-PL"/>
        </w:rPr>
        <w:t>)</w:t>
      </w:r>
    </w:p>
    <w:p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AB" w:rsidRDefault="005C58AB" w:rsidP="007217FD">
      <w:r>
        <w:separator/>
      </w:r>
    </w:p>
  </w:endnote>
  <w:endnote w:type="continuationSeparator" w:id="0">
    <w:p w:rsidR="005C58AB" w:rsidRDefault="005C58A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5319D" w:rsidRPr="00284DCA" w:rsidRDefault="0005319D"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RI.271.1.4.2023</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AA58F9" w:rsidRPr="00AA58F9">
          <w:rPr>
            <w:rFonts w:ascii="Arial" w:eastAsiaTheme="majorEastAsia" w:hAnsi="Arial" w:cs="Arial"/>
            <w:noProof/>
            <w:sz w:val="20"/>
          </w:rPr>
          <w:t>24</w:t>
        </w:r>
        <w:r w:rsidRPr="005306BB">
          <w:rPr>
            <w:rFonts w:ascii="Arial" w:eastAsiaTheme="majorEastAsia" w:hAnsi="Arial" w:cs="Arial"/>
            <w:sz w:val="20"/>
          </w:rPr>
          <w:fldChar w:fldCharType="end"/>
        </w:r>
      </w:p>
    </w:sdtContent>
  </w:sdt>
  <w:p w:rsidR="0005319D" w:rsidRDefault="0005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AB" w:rsidRDefault="005C58AB" w:rsidP="007217FD">
      <w:r>
        <w:separator/>
      </w:r>
    </w:p>
  </w:footnote>
  <w:footnote w:type="continuationSeparator" w:id="0">
    <w:p w:rsidR="005C58AB" w:rsidRDefault="005C58AB" w:rsidP="007217FD">
      <w:r>
        <w:continuationSeparator/>
      </w:r>
    </w:p>
  </w:footnote>
  <w:footnote w:id="1">
    <w:p w:rsidR="0005319D" w:rsidRDefault="0005319D">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58"/>
  </w:num>
  <w:num w:numId="5">
    <w:abstractNumId w:val="7"/>
  </w:num>
  <w:num w:numId="6">
    <w:abstractNumId w:val="6"/>
  </w:num>
  <w:num w:numId="7">
    <w:abstractNumId w:val="50"/>
  </w:num>
  <w:num w:numId="8">
    <w:abstractNumId w:val="13"/>
  </w:num>
  <w:num w:numId="9">
    <w:abstractNumId w:val="8"/>
  </w:num>
  <w:num w:numId="10">
    <w:abstractNumId w:val="10"/>
  </w:num>
  <w:num w:numId="11">
    <w:abstractNumId w:val="11"/>
  </w:num>
  <w:num w:numId="12">
    <w:abstractNumId w:val="47"/>
  </w:num>
  <w:num w:numId="13">
    <w:abstractNumId w:val="46"/>
  </w:num>
  <w:num w:numId="14">
    <w:abstractNumId w:val="5"/>
  </w:num>
  <w:num w:numId="15">
    <w:abstractNumId w:val="40"/>
  </w:num>
  <w:num w:numId="16">
    <w:abstractNumId w:val="31"/>
  </w:num>
  <w:num w:numId="17">
    <w:abstractNumId w:val="57"/>
  </w:num>
  <w:num w:numId="18">
    <w:abstractNumId w:val="19"/>
  </w:num>
  <w:num w:numId="19">
    <w:abstractNumId w:val="37"/>
  </w:num>
  <w:num w:numId="20">
    <w:abstractNumId w:val="4"/>
  </w:num>
  <w:num w:numId="21">
    <w:abstractNumId w:val="3"/>
  </w:num>
  <w:num w:numId="22">
    <w:abstractNumId w:val="1"/>
  </w:num>
  <w:num w:numId="23">
    <w:abstractNumId w:val="56"/>
  </w:num>
  <w:num w:numId="24">
    <w:abstractNumId w:val="32"/>
  </w:num>
  <w:num w:numId="25">
    <w:abstractNumId w:val="48"/>
  </w:num>
  <w:num w:numId="26">
    <w:abstractNumId w:val="30"/>
  </w:num>
  <w:num w:numId="27">
    <w:abstractNumId w:val="44"/>
  </w:num>
  <w:num w:numId="28">
    <w:abstractNumId w:val="25"/>
  </w:num>
  <w:num w:numId="29">
    <w:abstractNumId w:val="39"/>
  </w:num>
  <w:num w:numId="30">
    <w:abstractNumId w:val="17"/>
  </w:num>
  <w:num w:numId="31">
    <w:abstractNumId w:val="29"/>
  </w:num>
  <w:num w:numId="32">
    <w:abstractNumId w:val="51"/>
  </w:num>
  <w:num w:numId="33">
    <w:abstractNumId w:val="41"/>
  </w:num>
  <w:num w:numId="34">
    <w:abstractNumId w:val="27"/>
  </w:num>
  <w:num w:numId="35">
    <w:abstractNumId w:val="43"/>
  </w:num>
  <w:num w:numId="36">
    <w:abstractNumId w:val="15"/>
  </w:num>
  <w:num w:numId="37">
    <w:abstractNumId w:val="12"/>
  </w:num>
  <w:num w:numId="38">
    <w:abstractNumId w:val="55"/>
  </w:num>
  <w:num w:numId="39">
    <w:abstractNumId w:val="45"/>
  </w:num>
  <w:num w:numId="40">
    <w:abstractNumId w:val="36"/>
  </w:num>
  <w:num w:numId="41">
    <w:abstractNumId w:val="42"/>
  </w:num>
  <w:num w:numId="42">
    <w:abstractNumId w:val="54"/>
  </w:num>
  <w:num w:numId="43">
    <w:abstractNumId w:val="38"/>
  </w:num>
  <w:num w:numId="44">
    <w:abstractNumId w:val="34"/>
  </w:num>
  <w:num w:numId="45">
    <w:abstractNumId w:val="14"/>
  </w:num>
  <w:num w:numId="46">
    <w:abstractNumId w:val="28"/>
  </w:num>
  <w:num w:numId="47">
    <w:abstractNumId w:val="18"/>
  </w:num>
  <w:num w:numId="48">
    <w:abstractNumId w:val="49"/>
  </w:num>
  <w:num w:numId="49">
    <w:abstractNumId w:val="22"/>
  </w:num>
  <w:num w:numId="50">
    <w:abstractNumId w:val="24"/>
  </w:num>
  <w:num w:numId="51">
    <w:abstractNumId w:val="2"/>
  </w:num>
  <w:num w:numId="52">
    <w:abstractNumId w:val="21"/>
  </w:num>
  <w:num w:numId="53">
    <w:abstractNumId w:val="9"/>
  </w:num>
  <w:num w:numId="54">
    <w:abstractNumId w:val="16"/>
  </w:num>
  <w:num w:numId="55">
    <w:abstractNumId w:val="23"/>
  </w:num>
  <w:num w:numId="56">
    <w:abstractNumId w:val="20"/>
  </w:num>
  <w:num w:numId="57">
    <w:abstractNumId w:val="53"/>
  </w:num>
  <w:num w:numId="58">
    <w:abstractNumId w:val="35"/>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2059-678D-4000-8E3C-AA481AFE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8992</Words>
  <Characters>53956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16</cp:revision>
  <cp:lastPrinted>2023-03-20T09:47:00Z</cp:lastPrinted>
  <dcterms:created xsi:type="dcterms:W3CDTF">2023-01-25T13:33:00Z</dcterms:created>
  <dcterms:modified xsi:type="dcterms:W3CDTF">2023-03-21T07:39:00Z</dcterms:modified>
</cp:coreProperties>
</file>