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86-050 Solec Kujawski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17-02-121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Zakład Gospodarki Komunalnej Sp. z o.o. w Solcu Kujawskim Wojciech Elszyn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ul. Targowa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86-050 Solec Kujawski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ZAGOSPODAROWANIE ODPADÓW ULEGAJĄCYCH BIODEGRADACJI Z TERENU GMINY SOLEC KUJAWSKI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2021/BZP 00006159/01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Przetarg nieograniczony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https://platformazakupowa.pl/transakcja/422560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86 ust. 5 ustawy z 29 stycznia 2004 r. – Prawo zamówień publicznych (tekst jedn.: Dz. U. z 2019 r. poz. 1843),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17-02-2021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09:30:00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Solec Kujawski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ZAGOSPODAROWANIE ODPADÓW ULEGAJĄCYCH BIODEGRADACJI Z TERENU GMINY SOLEC KUJAWSKI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561000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ZAGOSPODAROWANIE ODPADÓW ULEGAJĄCYCH BIODEGRADACJI Z TERENU GMINY SOLEC KUJAWSKI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Odległość od Zamawiającego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płatności faktury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REMONDIS Bydgoszcz Sp. z o.o. Paulina Kuźmińska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Inwalidów 45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85-749 Bydgoszcz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605880,00zł (w tym 44 880zł VAT)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13,4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 dni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trHeight w:val="3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Wojciech Elszyn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Wojciech Pietrzak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Violetta Fiałkowska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