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41E4" w14:textId="77777777" w:rsidR="0036749E" w:rsidRDefault="0036749E" w:rsidP="00F97DF9">
      <w:pPr>
        <w:spacing w:line="240" w:lineRule="auto"/>
        <w:ind w:firstLine="0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32"/>
          <w:szCs w:val="32"/>
          <w:lang w:eastAsia="en-US"/>
        </w:rPr>
      </w:pPr>
    </w:p>
    <w:p w14:paraId="6955A98B" w14:textId="7398CAD5" w:rsidR="00F310AE" w:rsidRPr="00BA25F9" w:rsidRDefault="00F310AE" w:rsidP="00F97DF9">
      <w:pPr>
        <w:spacing w:line="240" w:lineRule="auto"/>
        <w:ind w:firstLine="0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32"/>
          <w:szCs w:val="32"/>
          <w:lang w:eastAsia="en-US"/>
        </w:rPr>
      </w:pPr>
      <w:r w:rsidRPr="00BA25F9">
        <w:rPr>
          <w:rFonts w:asciiTheme="majorHAnsi" w:eastAsia="Calibri" w:hAnsiTheme="majorHAnsi" w:cstheme="majorHAnsi"/>
          <w:b/>
          <w:bCs/>
          <w:color w:val="000000" w:themeColor="text1"/>
          <w:sz w:val="32"/>
          <w:szCs w:val="32"/>
          <w:lang w:eastAsia="en-US"/>
        </w:rPr>
        <w:t>OPIS PRZEDMIOTU ZAMÓWIENIA</w:t>
      </w:r>
    </w:p>
    <w:p w14:paraId="282C99F0" w14:textId="49316BE7" w:rsidR="00F310AE" w:rsidRPr="00834B84" w:rsidRDefault="00F310AE" w:rsidP="00F97DF9">
      <w:pPr>
        <w:spacing w:line="240" w:lineRule="auto"/>
        <w:ind w:firstLine="0"/>
        <w:jc w:val="center"/>
        <w:rPr>
          <w:rFonts w:asciiTheme="majorHAnsi" w:eastAsia="Calibri" w:hAnsiTheme="majorHAnsi" w:cstheme="majorHAnsi"/>
          <w:b/>
          <w:bCs/>
          <w:i/>
          <w:iCs/>
          <w:color w:val="000000" w:themeColor="text1"/>
          <w:sz w:val="20"/>
          <w:lang w:eastAsia="en-US"/>
        </w:rPr>
      </w:pPr>
      <w:r w:rsidRPr="00834B84">
        <w:rPr>
          <w:rFonts w:asciiTheme="majorHAnsi" w:eastAsia="Calibri" w:hAnsiTheme="majorHAnsi" w:cstheme="majorHAnsi"/>
          <w:b/>
          <w:i/>
          <w:iCs/>
          <w:color w:val="000000" w:themeColor="text1"/>
          <w:sz w:val="20"/>
          <w:lang w:eastAsia="en-US"/>
        </w:rPr>
        <w:t>(dalej: OPZ)</w:t>
      </w:r>
    </w:p>
    <w:p w14:paraId="39147F83" w14:textId="77777777" w:rsidR="00F310AE" w:rsidRPr="00F310AE" w:rsidRDefault="00F310AE" w:rsidP="00F97DF9">
      <w:pPr>
        <w:spacing w:line="240" w:lineRule="auto"/>
        <w:ind w:firstLine="0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28"/>
          <w:szCs w:val="28"/>
          <w:lang w:eastAsia="en-US"/>
        </w:rPr>
      </w:pPr>
    </w:p>
    <w:p w14:paraId="00756D4E" w14:textId="08B3538E" w:rsidR="00F310AE" w:rsidRPr="00BA47F0" w:rsidRDefault="00221A0D" w:rsidP="00221A0D">
      <w:pPr>
        <w:spacing w:line="240" w:lineRule="auto"/>
        <w:ind w:firstLine="0"/>
        <w:jc w:val="left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  <w:r w:rsidRPr="00B6415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Dotyczy postępowania przetargowego pn.</w:t>
      </w:r>
      <w:r w:rsidRPr="00B6415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„</w:t>
      </w:r>
      <w:r w:rsidR="00131CC0" w:rsidRPr="00B6415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D</w:t>
      </w:r>
      <w:r w:rsidR="005A48C2" w:rsidRPr="00B6415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ostaw</w:t>
      </w:r>
      <w:r w:rsidR="00B6415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a</w:t>
      </w:r>
      <w:r w:rsidR="005A48C2" w:rsidRPr="00B6415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licencji na oprogramowanie serwerowe</w:t>
      </w:r>
      <w:r w:rsidRPr="00B6415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”</w:t>
      </w:r>
      <w:r w:rsidR="00F310AE" w:rsidRPr="00B6415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.</w:t>
      </w:r>
    </w:p>
    <w:p w14:paraId="7A4CC000" w14:textId="6D6EB0FD" w:rsidR="00F310AE" w:rsidRPr="00BA47F0" w:rsidRDefault="00F310AE" w:rsidP="00A32381">
      <w:pPr>
        <w:spacing w:line="240" w:lineRule="auto"/>
        <w:ind w:firstLine="0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4A88D6D1" w14:textId="7EA5E1F8" w:rsidR="00F310AE" w:rsidRPr="00BA47F0" w:rsidRDefault="00F310AE" w:rsidP="00A32381">
      <w:pPr>
        <w:spacing w:line="240" w:lineRule="auto"/>
        <w:ind w:firstLine="0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138A9C3A" w14:textId="05B36D6E" w:rsidR="00F310AE" w:rsidRPr="00BA47F0" w:rsidRDefault="00183BD6" w:rsidP="00A32381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  <w:r w:rsidRPr="00BA47F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PRZEDMIOT I </w:t>
      </w:r>
      <w:r w:rsidR="00F310AE" w:rsidRPr="00BA47F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CEL ZAMÓWIENIA</w:t>
      </w:r>
    </w:p>
    <w:p w14:paraId="7FD19272" w14:textId="4BDDFFD8" w:rsidR="00BC4945" w:rsidRPr="00BA47F0" w:rsidRDefault="00BC4945" w:rsidP="00A32381">
      <w:pPr>
        <w:spacing w:line="240" w:lineRule="auto"/>
        <w:ind w:left="851" w:firstLine="0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1B651C97" w14:textId="0C226F53" w:rsidR="005A48C2" w:rsidRDefault="00183BD6" w:rsidP="00601570">
      <w:pPr>
        <w:pStyle w:val="Akapitzlist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A48C2">
        <w:rPr>
          <w:rFonts w:asciiTheme="minorHAnsi" w:hAnsiTheme="minorHAnsi" w:cstheme="minorHAnsi"/>
          <w:sz w:val="24"/>
          <w:szCs w:val="24"/>
        </w:rPr>
        <w:t>Przedmiotem zamówienia jest dostawa</w:t>
      </w:r>
      <w:r w:rsidR="00726A8A">
        <w:rPr>
          <w:rFonts w:asciiTheme="minorHAnsi" w:hAnsiTheme="minorHAnsi" w:cstheme="minorHAnsi"/>
          <w:sz w:val="24"/>
          <w:szCs w:val="24"/>
        </w:rPr>
        <w:t xml:space="preserve"> nowych, nieużywanych</w:t>
      </w:r>
      <w:r w:rsidRPr="005A48C2">
        <w:rPr>
          <w:rFonts w:asciiTheme="minorHAnsi" w:hAnsiTheme="minorHAnsi" w:cstheme="minorHAnsi"/>
          <w:sz w:val="24"/>
          <w:szCs w:val="24"/>
        </w:rPr>
        <w:t xml:space="preserve"> </w:t>
      </w:r>
      <w:r w:rsidR="005A48C2" w:rsidRPr="005A48C2">
        <w:rPr>
          <w:rFonts w:asciiTheme="minorHAnsi" w:hAnsiTheme="minorHAnsi" w:cstheme="minorHAnsi"/>
          <w:sz w:val="24"/>
          <w:szCs w:val="24"/>
        </w:rPr>
        <w:t>licencji na oprogramowanie serwerowe</w:t>
      </w:r>
      <w:r w:rsidR="0075650C">
        <w:rPr>
          <w:rFonts w:asciiTheme="minorHAnsi" w:hAnsiTheme="minorHAnsi" w:cstheme="minorHAnsi"/>
          <w:sz w:val="24"/>
          <w:szCs w:val="24"/>
        </w:rPr>
        <w:t xml:space="preserve"> wraz ze wsparciem producenta oprogramowania</w:t>
      </w:r>
      <w:r w:rsidR="008300A0">
        <w:rPr>
          <w:rFonts w:asciiTheme="minorHAnsi" w:hAnsiTheme="minorHAnsi" w:cstheme="minorHAnsi"/>
          <w:sz w:val="24"/>
          <w:szCs w:val="24"/>
        </w:rPr>
        <w:t xml:space="preserve"> przez okres wskazany przez producenta oprogramowania</w:t>
      </w:r>
      <w:r w:rsidR="005A48C2">
        <w:rPr>
          <w:rFonts w:asciiTheme="minorHAnsi" w:hAnsiTheme="minorHAnsi" w:cstheme="minorHAnsi"/>
          <w:sz w:val="24"/>
          <w:szCs w:val="24"/>
        </w:rPr>
        <w:t>.</w:t>
      </w:r>
      <w:r w:rsidR="005A48C2" w:rsidRPr="005A48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5811C8" w14:textId="77CF5904" w:rsidR="00254B28" w:rsidRPr="00601570" w:rsidRDefault="00254B28" w:rsidP="00601570">
      <w:pPr>
        <w:pStyle w:val="Akapitzlist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pod pojęciem oprogramowanie serwerowe rozumie </w:t>
      </w:r>
      <w:r w:rsidR="00E06CEA">
        <w:rPr>
          <w:rFonts w:asciiTheme="minorHAnsi" w:hAnsiTheme="minorHAnsi" w:cstheme="minorHAnsi"/>
          <w:sz w:val="24"/>
          <w:szCs w:val="24"/>
        </w:rPr>
        <w:t>licencje na oprogramowanie i licencje dostępowe Windows serwer 2022 Data Center lub rozwiązanie równoważne, oraz licencje na oprogramowane</w:t>
      </w:r>
      <w:r w:rsidR="004E2DF5">
        <w:rPr>
          <w:rFonts w:asciiTheme="minorHAnsi" w:hAnsiTheme="minorHAnsi" w:cstheme="minorHAnsi"/>
          <w:sz w:val="24"/>
          <w:szCs w:val="24"/>
        </w:rPr>
        <w:t xml:space="preserve"> bazodanowe</w:t>
      </w:r>
      <w:r w:rsidR="00E06CEA">
        <w:rPr>
          <w:rFonts w:asciiTheme="minorHAnsi" w:hAnsiTheme="minorHAnsi" w:cstheme="minorHAnsi"/>
          <w:sz w:val="24"/>
          <w:szCs w:val="24"/>
        </w:rPr>
        <w:t xml:space="preserve"> </w:t>
      </w:r>
      <w:r w:rsidR="004E2DF5">
        <w:rPr>
          <w:rFonts w:asciiTheme="minorHAnsi" w:hAnsiTheme="minorHAnsi" w:cstheme="minorHAnsi"/>
          <w:sz w:val="24"/>
          <w:szCs w:val="24"/>
        </w:rPr>
        <w:t xml:space="preserve">i licencje dostępowe </w:t>
      </w:r>
      <w:r w:rsidR="00E06CEA">
        <w:rPr>
          <w:rFonts w:asciiTheme="minorHAnsi" w:hAnsiTheme="minorHAnsi" w:cstheme="minorHAnsi"/>
          <w:sz w:val="24"/>
          <w:szCs w:val="24"/>
        </w:rPr>
        <w:t xml:space="preserve">MS SQL 2019 Standard lub rozwiązanie równoważne. </w:t>
      </w:r>
    </w:p>
    <w:p w14:paraId="38635A2E" w14:textId="57F140B0" w:rsidR="005A48C2" w:rsidRPr="005A48C2" w:rsidRDefault="005A48C2" w:rsidP="005A48C2">
      <w:pPr>
        <w:pStyle w:val="Akapitzlist"/>
        <w:numPr>
          <w:ilvl w:val="0"/>
          <w:numId w:val="2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Celem </w:t>
      </w:r>
      <w:r w:rsidR="00254B2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zamówienia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jest uzyskanie licencji na </w:t>
      </w:r>
      <w:r w:rsidR="00850911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posiadane środowisko serwerowe</w:t>
      </w:r>
      <w:r w:rsidR="00254B2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Pr="005A48C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Zamawiającego</w:t>
      </w:r>
      <w:r w:rsidR="00850911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 które</w:t>
      </w:r>
      <w:r w:rsidRPr="005A48C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obsługuje 120 użytkowników i jest zlokalizowane w serwerowni Instytutu. Zbudowane jest z pięciu serwerów fizycznych, pracujących pod kontrolą systemów Windows Serwer 2012R2 Datacenter, które pracują w klastrze HYPER-V z uruchomionymi 20 serwerami wirtualnymi.</w:t>
      </w:r>
    </w:p>
    <w:p w14:paraId="76A10C63" w14:textId="77777777" w:rsidR="005A48C2" w:rsidRPr="00BA47F0" w:rsidRDefault="005A48C2" w:rsidP="005A48C2">
      <w:pPr>
        <w:pStyle w:val="Akapitzlist"/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01BFE538" w14:textId="77777777" w:rsidR="0036323E" w:rsidRPr="00BA47F0" w:rsidRDefault="0036323E" w:rsidP="00A32381">
      <w:pPr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17C90B94" w14:textId="7B86893C" w:rsidR="00384065" w:rsidRDefault="00384065" w:rsidP="00A32381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  <w:r w:rsidRPr="00BA47F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PRZEDMIOT ZAMÓWIENIA</w:t>
      </w:r>
      <w:r w:rsidR="008A21A2" w:rsidRPr="00BA47F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734BBBE1" w14:textId="77777777" w:rsidR="00BA47F0" w:rsidRPr="00BA47F0" w:rsidRDefault="00BA47F0" w:rsidP="00673C83">
      <w:pPr>
        <w:pStyle w:val="Akapitzlist"/>
        <w:spacing w:line="240" w:lineRule="auto"/>
        <w:ind w:left="1080" w:firstLine="0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37929A9E" w14:textId="5776E0E9" w:rsidR="008A21A2" w:rsidRPr="0036749E" w:rsidRDefault="008A21A2" w:rsidP="0036749E">
      <w:pPr>
        <w:pStyle w:val="Akapitzlist"/>
        <w:numPr>
          <w:ilvl w:val="0"/>
          <w:numId w:val="23"/>
        </w:numPr>
        <w:spacing w:line="240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  <w:r w:rsidRPr="0036749E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LICENCJE</w:t>
      </w:r>
    </w:p>
    <w:p w14:paraId="7C82A660" w14:textId="7923ADDF" w:rsidR="008A21A2" w:rsidRPr="00673C83" w:rsidRDefault="008A21A2" w:rsidP="00A32381">
      <w:pPr>
        <w:spacing w:line="240" w:lineRule="auto"/>
        <w:ind w:firstLine="0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399EF28D" w14:textId="0F9E9860" w:rsidR="00924143" w:rsidRPr="005805FD" w:rsidRDefault="00CB0B3A" w:rsidP="005805FD">
      <w:pPr>
        <w:pStyle w:val="Akapitzlist"/>
        <w:numPr>
          <w:ilvl w:val="1"/>
          <w:numId w:val="23"/>
        </w:numPr>
        <w:spacing w:line="240" w:lineRule="auto"/>
        <w:ind w:left="993" w:hanging="426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5805FD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d</w:t>
      </w:r>
      <w:r w:rsidR="00134478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ostarczenie </w:t>
      </w:r>
      <w:r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l</w:t>
      </w:r>
      <w:r w:rsidR="000425DB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icencj</w:t>
      </w:r>
      <w:r w:rsidR="00134478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i</w:t>
      </w:r>
      <w:r w:rsidR="000425DB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na oprogramowanie serwerowe</w:t>
      </w:r>
      <w:r w:rsidR="00FC3634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</w:t>
      </w:r>
      <w:r w:rsidR="00924143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wirtualizacyjne</w:t>
      </w:r>
      <w:r w:rsidR="00910945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</w:t>
      </w:r>
      <w:r w:rsidR="00FC3634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bazodanowe</w:t>
      </w:r>
      <w:r w:rsidR="00FC4FA5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910945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oraz dostępowe dla użytkowników</w:t>
      </w:r>
      <w:r w:rsidR="00924143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:</w:t>
      </w:r>
    </w:p>
    <w:p w14:paraId="152BFC5A" w14:textId="77777777" w:rsidR="00924143" w:rsidRPr="00673C83" w:rsidRDefault="00924143" w:rsidP="00A32381">
      <w:pPr>
        <w:pStyle w:val="Akapitzlist"/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19A0E36C" w14:textId="7B08BAF0" w:rsidR="00F17ADD" w:rsidRDefault="00F17ADD" w:rsidP="00F17ADD">
      <w:pPr>
        <w:pStyle w:val="Akapitzlist"/>
        <w:numPr>
          <w:ilvl w:val="0"/>
          <w:numId w:val="25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Wykonawca dostarczy licencje na oprogramowanie </w:t>
      </w:r>
      <w:bookmarkStart w:id="0" w:name="_Hlk114741128"/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serwerowe</w:t>
      </w:r>
      <w:r w:rsidR="00BD55A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BD55A8"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Windows Serwer 2022</w:t>
      </w:r>
      <w:r w:rsidR="00BD55A8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BD55A8"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Data Center</w:t>
      </w: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wraz z wirtualizatorami i licencjami dostępowymi dla użytkowników </w:t>
      </w:r>
      <w:bookmarkEnd w:id="0"/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do istniejącej infrastruktury serwerowej Zamawiającego, czyli: </w:t>
      </w:r>
    </w:p>
    <w:p w14:paraId="4C415EBB" w14:textId="77777777" w:rsidR="00F17ADD" w:rsidRDefault="00F17ADD" w:rsidP="00F17ADD">
      <w:pPr>
        <w:pStyle w:val="Akapitzlist"/>
        <w:numPr>
          <w:ilvl w:val="0"/>
          <w:numId w:val="26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trzy serwery fizycznie</w:t>
      </w: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 każdy wyposażony w 2x CPU Intel Xeon Gold 6152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(22 rdzenie, 44 wątki)</w:t>
      </w: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. </w:t>
      </w:r>
    </w:p>
    <w:p w14:paraId="1C5D3690" w14:textId="77777777" w:rsidR="005805FD" w:rsidRDefault="00F17ADD" w:rsidP="00F17ADD">
      <w:pPr>
        <w:pStyle w:val="Akapitzlist"/>
        <w:numPr>
          <w:ilvl w:val="0"/>
          <w:numId w:val="26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dwa serwery fizyczne</w:t>
      </w: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 każdy wyposażony w 2x CPU Intel Xeon Gold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I</w:t>
      </w:r>
      <w:r w:rsidRPr="008240F4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ntel 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X</w:t>
      </w:r>
      <w:r w:rsidRPr="008240F4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eon 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G</w:t>
      </w:r>
      <w:r w:rsidRPr="008240F4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old 5318y</w:t>
      </w:r>
      <w:r>
        <w:rPr>
          <w:rFonts w:eastAsia="Calibri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(24 rdzenie, 48 wątki)</w:t>
      </w:r>
      <w:r w:rsid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</w:t>
      </w:r>
    </w:p>
    <w:p w14:paraId="02DC0421" w14:textId="1F92CF1A" w:rsidR="00F17ADD" w:rsidRPr="005805FD" w:rsidRDefault="005805FD" w:rsidP="005805FD">
      <w:pPr>
        <w:spacing w:line="24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lub rozwiązanie równoważne opisane w punkcie III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a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095188BE" w14:textId="77777777" w:rsidR="005805FD" w:rsidRDefault="00F17ADD" w:rsidP="00F17ADD">
      <w:pPr>
        <w:pStyle w:val="Akapitzlist"/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Serwery pracują w klastrze niezawodnościowym opartym na Windows Serwer 2012R2 z Hyper-V i obsługujący 120 użytkowników. Licencje na dostarczone oprogramowanie serwerowe musi uwzględniać parametry techniczne sprzętu, który posiada Zamawiający. </w:t>
      </w:r>
    </w:p>
    <w:p w14:paraId="4D971172" w14:textId="307B6800" w:rsidR="00F17ADD" w:rsidRPr="00EA0732" w:rsidRDefault="00F17ADD" w:rsidP="00F17ADD">
      <w:pPr>
        <w:pStyle w:val="Akapitzlist"/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Wykonawca dostarczy licencje wraz ze wszystkimi składnikami niezbędnymi do potwierdzenia legalności ich pochodzenia. Dostarczone licencje muszą być dostępne na platformie Office.com będącej w posiadaniu Zamawiającego</w:t>
      </w:r>
      <w:r w:rsidR="00726A8A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lub formie elektronicznej na wskazany adres email</w:t>
      </w: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. Dostarczone licencje nie mogą posiadać ograniczeń czasowych. Licencje powinny również uprawniać do instalacji wcześniejszych wersji oraz umożliwiać instalacje nieograniczonej ilości instancji wirtualnych z prawem do instalacji na nich wcześniejszych wersji systemu operacyjnego </w:t>
      </w: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lastRenderedPageBreak/>
        <w:t>Windows. Licencje w okresie ich obowiązywania powinny również uprawniać do instalacji Systemu Windows Serwer na innej maszynie fizycznej jeżeli Zamawiający zdecyduje się na jej zmianę.</w:t>
      </w:r>
    </w:p>
    <w:p w14:paraId="378529BE" w14:textId="77777777" w:rsidR="00F17ADD" w:rsidRPr="006A1E09" w:rsidRDefault="00F17ADD" w:rsidP="00F17ADD">
      <w:pPr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19A7A587" w14:textId="0C42ED55" w:rsidR="00F17ADD" w:rsidRDefault="00F17ADD" w:rsidP="00B81F78">
      <w:pPr>
        <w:pStyle w:val="Akapitzlist"/>
        <w:numPr>
          <w:ilvl w:val="0"/>
          <w:numId w:val="25"/>
        </w:numPr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Wykonawca dostarczy 10 licencji na</w:t>
      </w:r>
      <w:r w:rsidR="009A7673"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oprogramowanie bazodanowe</w:t>
      </w:r>
      <w:r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Microsoft SQL Server 2019 Standard wraz z licencjami dostępowymi dla 120 </w:t>
      </w:r>
      <w:r w:rsid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użytkowników. </w:t>
      </w:r>
      <w:r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Licencje</w:t>
      </w:r>
      <w:r w:rsid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P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muszą obsługiwać serwery wirtualne z ilością 8 Vcore oraz 64GB RAM </w:t>
      </w:r>
    </w:p>
    <w:p w14:paraId="34E424EE" w14:textId="64803646" w:rsidR="005805FD" w:rsidRPr="005805FD" w:rsidRDefault="005805FD" w:rsidP="005805FD">
      <w:pPr>
        <w:pStyle w:val="Akapitzlist"/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lub rozwiązanie równoważne.</w:t>
      </w:r>
    </w:p>
    <w:p w14:paraId="2A4B49C7" w14:textId="5215B6B4" w:rsidR="00726A8A" w:rsidRDefault="00726A8A" w:rsidP="00F17ADD">
      <w:pPr>
        <w:pStyle w:val="Akapitzlist"/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Wykonawca dostarczy licencje wraz ze wszystkimi składnikami niezbędnymi do potwierdzenia legalności ich pochodzenia. Dostarczone licencje muszą być dostępne na platformie Office.com będącej w posiadaniu Zamawiającego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lub </w:t>
      </w:r>
      <w:r w:rsidR="002309A9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w 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formie elektronicznej na wskazany adres email</w:t>
      </w: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4F85F1CD" w14:textId="733F99AE" w:rsidR="00F17ADD" w:rsidRDefault="00F17ADD" w:rsidP="00F17ADD">
      <w:pPr>
        <w:pStyle w:val="Akapitzlist"/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EA0732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Dostarczone licencje nie mogą posiadać ograniczeń czasowych.</w:t>
      </w:r>
      <w:r w:rsidR="00726A8A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3D1B55A7" w14:textId="110D9CC5" w:rsidR="007C6AF6" w:rsidRDefault="007C6AF6" w:rsidP="00F17ADD">
      <w:pPr>
        <w:pStyle w:val="Akapitzlist"/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61FFED63" w14:textId="77777777" w:rsidR="00BD55A8" w:rsidRDefault="00BD55A8" w:rsidP="00F17ADD">
      <w:pPr>
        <w:pStyle w:val="Akapitzlist"/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52A11521" w14:textId="77777777" w:rsidR="00C22B94" w:rsidRPr="00830EF9" w:rsidRDefault="00C22B94" w:rsidP="00C22B94">
      <w:pPr>
        <w:pStyle w:val="Akapitzlist"/>
        <w:numPr>
          <w:ilvl w:val="0"/>
          <w:numId w:val="11"/>
        </w:numPr>
        <w:spacing w:line="240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  <w:r w:rsidRPr="00830EF9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eastAsia="en-US"/>
        </w:rPr>
        <w:t>Kryterium równoważności</w:t>
      </w:r>
    </w:p>
    <w:p w14:paraId="0BD9DD09" w14:textId="60E16F51" w:rsidR="00C22B94" w:rsidRPr="008D3423" w:rsidRDefault="00C22B94" w:rsidP="008D3423">
      <w:pPr>
        <w:pStyle w:val="Akapitzlist"/>
        <w:numPr>
          <w:ilvl w:val="0"/>
          <w:numId w:val="34"/>
        </w:numPr>
        <w:spacing w:line="240" w:lineRule="auto"/>
        <w:ind w:left="567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Kryteria równoważności dla Windows Serwer 2022 Data Center:</w:t>
      </w:r>
    </w:p>
    <w:p w14:paraId="40016C13" w14:textId="77777777" w:rsidR="00C22B94" w:rsidRPr="008D3423" w:rsidRDefault="00C22B94" w:rsidP="00C22B94">
      <w:pPr>
        <w:pStyle w:val="Akapitzlist"/>
        <w:spacing w:line="240" w:lineRule="auto"/>
        <w:ind w:left="709"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119BEB86" w14:textId="77777777" w:rsidR="00C22B94" w:rsidRPr="008D3423" w:rsidRDefault="00C22B94" w:rsidP="00C22B94">
      <w:pPr>
        <w:spacing w:after="28" w:line="240" w:lineRule="auto"/>
        <w:ind w:left="278" w:firstLine="0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>System operacyjny w pełni kompatybilny z aktualnie używanym oprogramowaniem znajdującym się u Zamawiającego - zakup systemu operacyjnego wiąże się z faktem przeniesienia aktualnie działającego oprogramowania na nowe środowisko serwerowe. System operacyjny w najnowszej dostępnej wersji wraz z aktualizacjami.</w:t>
      </w:r>
      <w:r w:rsidRPr="008D3423">
        <w:rPr>
          <w:rFonts w:asciiTheme="minorHAnsi" w:hAnsiTheme="minorHAnsi" w:cstheme="minorHAnsi"/>
          <w:sz w:val="24"/>
          <w:szCs w:val="24"/>
        </w:rPr>
        <w:tab/>
      </w:r>
    </w:p>
    <w:p w14:paraId="25A72642" w14:textId="77777777" w:rsidR="00C22B94" w:rsidRPr="008D3423" w:rsidRDefault="00C22B94" w:rsidP="00C22B94">
      <w:pPr>
        <w:spacing w:after="1" w:line="240" w:lineRule="auto"/>
        <w:ind w:left="278" w:firstLine="0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W przypadku dostarczania oprogramowania, równoważnego względem wyspecyfikowanego przez Zamawiającego w SWZ, Wykonawca musi na swoją odpowiedzialność i swój koszt udowodnić, że dostarczane oprogramowanie spełnia wszystkie wymagania i warunki określone w SWZ, w szczególności w zakresie: </w:t>
      </w:r>
    </w:p>
    <w:p w14:paraId="18737CC2" w14:textId="77777777" w:rsidR="00C22B94" w:rsidRPr="008D3423" w:rsidRDefault="00C22B94" w:rsidP="00C22B94">
      <w:pPr>
        <w:pStyle w:val="Akapitzlist"/>
        <w:numPr>
          <w:ilvl w:val="0"/>
          <w:numId w:val="33"/>
        </w:numPr>
        <w:spacing w:after="1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być przeznaczony do zastosowań serwerowych w Środowiskach fizycznych lub wirtualizacyjnych. </w:t>
      </w:r>
    </w:p>
    <w:p w14:paraId="2185DC98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umożliwiać migrację maszyn wirtualnych bez zatrzymywania ich pracy między fizycznymi serwerami z uruchomionym mechanizmem wirtualizacji (hypervisor) przez sieć Ethernet, bez konieczności stosowania dodatkowych mechanizmów współdzielenia pamięci. </w:t>
      </w:r>
    </w:p>
    <w:p w14:paraId="276C7CF3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umożliwiać downgrade do poprzedniej wersji rodziny systemów operacyjnych danego producenta. </w:t>
      </w:r>
    </w:p>
    <w:p w14:paraId="080245EE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Licencja na system operacyjny musi uwzględniać prawo do bezpłatnej instalacji udostępnianych przez producenta poprawek krytycznych i opcjonalnych do zakupionej wersji oprogramowania co najmniej przez 3 lata. </w:t>
      </w:r>
    </w:p>
    <w:p w14:paraId="5A417228" w14:textId="77777777" w:rsidR="00C22B94" w:rsidRPr="008D3423" w:rsidRDefault="00C22B94" w:rsidP="00C22B94">
      <w:pPr>
        <w:numPr>
          <w:ilvl w:val="0"/>
          <w:numId w:val="32"/>
        </w:numPr>
        <w:spacing w:after="115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Licencja na system operacyjny musi umożliwiać uruchomienie kontrolera domeny. </w:t>
      </w:r>
    </w:p>
    <w:p w14:paraId="1BC5594D" w14:textId="77777777" w:rsidR="00C22B94" w:rsidRPr="008D3423" w:rsidRDefault="00C22B94" w:rsidP="00C22B94">
      <w:pPr>
        <w:numPr>
          <w:ilvl w:val="0"/>
          <w:numId w:val="32"/>
        </w:numPr>
        <w:spacing w:after="112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Licencja na system operacyjny musi być bez ograniczeń czasowych. </w:t>
      </w:r>
    </w:p>
    <w:p w14:paraId="7CFFA09B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Licencja musi uprawniać do uruchamiania serwerowego systemu operacyjnego (SSO)  w środowisku fizycznym i dwóch wirtualnych środowisk serwerowego systemu operacyjnego za pomocą wbudowanych mechanizmów wirtualizacji. </w:t>
      </w:r>
    </w:p>
    <w:p w14:paraId="75C15F01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Zaimplementowanie w systemie operacyjnym środowiska wirtualizacyjnego musi umożliwiać dodawanie i usuwanie pamięci wirtualnej oraz wirtualnych kart sieciowych podczas pracy maszyny wirtualnej. </w:t>
      </w:r>
    </w:p>
    <w:p w14:paraId="16669D94" w14:textId="77777777" w:rsidR="00C22B94" w:rsidRPr="008D3423" w:rsidRDefault="00C22B94" w:rsidP="00C22B94">
      <w:pPr>
        <w:numPr>
          <w:ilvl w:val="0"/>
          <w:numId w:val="32"/>
        </w:numPr>
        <w:spacing w:after="31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graficzny interfejs użytkownika. System operacyjny musi być w pełni kompatybilny z usługą Active Directory w  zakresie: </w:t>
      </w:r>
    </w:p>
    <w:p w14:paraId="79B8061D" w14:textId="3B9F5441" w:rsidR="00C22B94" w:rsidRPr="008D3423" w:rsidRDefault="00C22B94" w:rsidP="00C22B94">
      <w:pPr>
        <w:numPr>
          <w:ilvl w:val="1"/>
          <w:numId w:val="32"/>
        </w:numPr>
        <w:spacing w:after="148" w:line="240" w:lineRule="auto"/>
        <w:ind w:hanging="240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>zarządzania użytkownikami</w:t>
      </w:r>
      <w:r w:rsidR="008D3423">
        <w:rPr>
          <w:rFonts w:asciiTheme="minorHAnsi" w:hAnsiTheme="minorHAnsi" w:cstheme="minorHAnsi"/>
          <w:sz w:val="24"/>
          <w:szCs w:val="24"/>
        </w:rPr>
        <w:t>.</w:t>
      </w:r>
    </w:p>
    <w:p w14:paraId="23CF6E17" w14:textId="0EB09C9A" w:rsidR="00C22B94" w:rsidRPr="008D3423" w:rsidRDefault="00C22B94" w:rsidP="00C22B94">
      <w:pPr>
        <w:numPr>
          <w:ilvl w:val="1"/>
          <w:numId w:val="32"/>
        </w:numPr>
        <w:spacing w:after="151" w:line="240" w:lineRule="auto"/>
        <w:ind w:hanging="240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>zarządzania certyfikatami dla użytkowników</w:t>
      </w:r>
      <w:r w:rsidR="008D3423">
        <w:rPr>
          <w:rFonts w:asciiTheme="minorHAnsi" w:hAnsiTheme="minorHAnsi" w:cstheme="minorHAnsi"/>
          <w:sz w:val="24"/>
          <w:szCs w:val="24"/>
        </w:rPr>
        <w:t>.</w:t>
      </w:r>
      <w:r w:rsidRPr="008D34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BF1D07" w14:textId="6A7009B2" w:rsidR="00C22B94" w:rsidRPr="008D3423" w:rsidRDefault="00C22B94" w:rsidP="00C22B94">
      <w:pPr>
        <w:numPr>
          <w:ilvl w:val="1"/>
          <w:numId w:val="32"/>
        </w:numPr>
        <w:spacing w:after="148" w:line="240" w:lineRule="auto"/>
        <w:ind w:hanging="240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lastRenderedPageBreak/>
        <w:t>możliwości przydzielania prawd ostępu do zasobów sieciowych</w:t>
      </w:r>
      <w:r w:rsidR="008D3423">
        <w:rPr>
          <w:rFonts w:asciiTheme="minorHAnsi" w:hAnsiTheme="minorHAnsi" w:cstheme="minorHAnsi"/>
          <w:sz w:val="24"/>
          <w:szCs w:val="24"/>
        </w:rPr>
        <w:t>.</w:t>
      </w:r>
    </w:p>
    <w:p w14:paraId="29C989FC" w14:textId="72B9FA12" w:rsidR="00C22B94" w:rsidRPr="008D3423" w:rsidRDefault="00C22B94" w:rsidP="00C22B94">
      <w:pPr>
        <w:numPr>
          <w:ilvl w:val="1"/>
          <w:numId w:val="32"/>
        </w:numPr>
        <w:spacing w:after="119" w:line="240" w:lineRule="auto"/>
        <w:ind w:hanging="240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>instalacji zdalnej oprogramowania z pakietów msi</w:t>
      </w:r>
      <w:r w:rsidR="008D3423">
        <w:rPr>
          <w:rFonts w:asciiTheme="minorHAnsi" w:hAnsiTheme="minorHAnsi" w:cstheme="minorHAnsi"/>
          <w:sz w:val="24"/>
          <w:szCs w:val="24"/>
        </w:rPr>
        <w:t>.</w:t>
      </w:r>
      <w:r w:rsidRPr="008D34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BF465D" w14:textId="6730CF19" w:rsidR="00C22B94" w:rsidRPr="008D3423" w:rsidRDefault="00C22B94" w:rsidP="00C22B94">
      <w:pPr>
        <w:numPr>
          <w:ilvl w:val="1"/>
          <w:numId w:val="32"/>
        </w:numPr>
        <w:spacing w:after="3" w:line="240" w:lineRule="auto"/>
        <w:ind w:hanging="240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>definiowanie polityk bezpieczeństwa dla użytkowników, grup oraz stacji roboczych z systemami MS Windows:7,8,8.1,10</w:t>
      </w:r>
      <w:r w:rsidR="008D3423">
        <w:rPr>
          <w:rFonts w:asciiTheme="minorHAnsi" w:hAnsiTheme="minorHAnsi" w:cstheme="minorHAnsi"/>
          <w:sz w:val="24"/>
          <w:szCs w:val="24"/>
        </w:rPr>
        <w:t>.</w:t>
      </w:r>
    </w:p>
    <w:p w14:paraId="4BFB3201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wspierać pracę domenową wraz z automatyczną synchronizacją dla dodatkowych serwerów. </w:t>
      </w:r>
    </w:p>
    <w:p w14:paraId="7EBA307E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wspierać zarządzanie przez dostępne narzędzia administracji serwera dla systemu Windows 10 (RSAT) oraz Windows Admin Center. </w:t>
      </w:r>
    </w:p>
    <w:p w14:paraId="47E353B3" w14:textId="77777777" w:rsidR="00C22B94" w:rsidRPr="008D3423" w:rsidRDefault="00C22B94" w:rsidP="00C22B94">
      <w:pPr>
        <w:numPr>
          <w:ilvl w:val="0"/>
          <w:numId w:val="32"/>
        </w:numPr>
        <w:spacing w:after="115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obsługę zdalnego pulpitu poprzez protokół RDP. </w:t>
      </w:r>
    </w:p>
    <w:p w14:paraId="770ED2AA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umożliwiać ustawianie relacji zaufania pomiędzy domenami. - Wszystkie narzędzia i usługi systemu operacyjnego powinny być rozwiązaniem jednego producenta. </w:t>
      </w:r>
    </w:p>
    <w:p w14:paraId="0EB4BF65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obsługę pamięci USB jako monitora klastra. - System operacyjny musi pozwalać na stopniowe uaktualnienia systemu operacyjnego klastra. </w:t>
      </w:r>
    </w:p>
    <w:p w14:paraId="471F2E14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obsługę de duplikacji na potrzeby systemu plików ReFS. </w:t>
      </w:r>
    </w:p>
    <w:p w14:paraId="12378B70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wbudowane szyfrowanie dysków przy pomocy mechanizmów posiadających certyfikat FIPS 140-2 lub równoważny wydany przez NIST lub inną agendę rządową zajmującą się bezpieczeństwem informacji. </w:t>
      </w:r>
    </w:p>
    <w:p w14:paraId="77ECF6D0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możliwość uruchamianie aplikacji internetowych wykorzystujących technologię ASP.NET. </w:t>
      </w:r>
    </w:p>
    <w:p w14:paraId="58C5936E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możliwość dystrybucji ruchu sieciowego HTTP pomiędzy kilka serwerów. </w:t>
      </w:r>
    </w:p>
    <w:p w14:paraId="2EB5C531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obsługę optymalizacji transportu w tle pod kątem opóźnień. </w:t>
      </w:r>
    </w:p>
    <w:p w14:paraId="0E5AC7AA" w14:textId="77777777" w:rsidR="00C22B94" w:rsidRPr="008D3423" w:rsidRDefault="00C22B94" w:rsidP="00C22B94">
      <w:pPr>
        <w:numPr>
          <w:ilvl w:val="0"/>
          <w:numId w:val="32"/>
        </w:numPr>
        <w:spacing w:after="1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wbudowaną zaporę internetową (firewall) dla ochrony połączeń internetowych; zapora musi być zintegrowana z systemem konsoli do zarządzania ustawieniami zapory i regułami ip v4 i v6. </w:t>
      </w:r>
    </w:p>
    <w:p w14:paraId="4BAA7696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możliwość uruchomienia serwera DNS z możliwością integracji z kontrolerem domeny. </w:t>
      </w:r>
    </w:p>
    <w:p w14:paraId="65942A50" w14:textId="77777777" w:rsidR="00C22B94" w:rsidRPr="008D3423" w:rsidRDefault="00C22B94" w:rsidP="00C22B94">
      <w:pPr>
        <w:numPr>
          <w:ilvl w:val="0"/>
          <w:numId w:val="32"/>
        </w:numPr>
        <w:spacing w:after="3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możliwość zdalnej automatycznej instalacji, konfiguracji, administrowania oraz aktualizowania systemu. </w:t>
      </w:r>
    </w:p>
    <w:p w14:paraId="00282665" w14:textId="77777777" w:rsidR="00C22B94" w:rsidRPr="008D3423" w:rsidRDefault="00C22B94" w:rsidP="00C22B94">
      <w:pPr>
        <w:numPr>
          <w:ilvl w:val="0"/>
          <w:numId w:val="32"/>
        </w:numPr>
        <w:spacing w:after="112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posiadać obsługę PowerShelI 5.1. </w:t>
      </w:r>
    </w:p>
    <w:p w14:paraId="1F559050" w14:textId="77777777" w:rsidR="00C22B94" w:rsidRPr="008D3423" w:rsidRDefault="00C22B94" w:rsidP="00C22B94">
      <w:pPr>
        <w:numPr>
          <w:ilvl w:val="0"/>
          <w:numId w:val="32"/>
        </w:numPr>
        <w:spacing w:after="115" w:line="240" w:lineRule="auto"/>
        <w:ind w:left="567" w:hanging="299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System operacyjny musi posiada obsługę certyfikatów w Active Directory. </w:t>
      </w:r>
    </w:p>
    <w:p w14:paraId="308E1991" w14:textId="77777777" w:rsidR="00C22B94" w:rsidRPr="008D3423" w:rsidRDefault="00C22B94" w:rsidP="00C22B94">
      <w:pPr>
        <w:spacing w:after="112" w:line="240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77A2FF" w14:textId="77777777" w:rsidR="00C22B94" w:rsidRPr="008D3423" w:rsidRDefault="00C22B94" w:rsidP="00C22B94">
      <w:pPr>
        <w:spacing w:after="1" w:line="240" w:lineRule="auto"/>
        <w:ind w:left="278" w:firstLine="0"/>
        <w:rPr>
          <w:rFonts w:asciiTheme="minorHAnsi" w:hAnsiTheme="minorHAnsi" w:cstheme="minorHAnsi"/>
          <w:sz w:val="24"/>
          <w:szCs w:val="24"/>
        </w:rPr>
      </w:pPr>
      <w:r w:rsidRPr="008D3423">
        <w:rPr>
          <w:rFonts w:asciiTheme="minorHAnsi" w:hAnsiTheme="minorHAnsi" w:cstheme="minorHAnsi"/>
          <w:sz w:val="24"/>
          <w:szCs w:val="24"/>
        </w:rPr>
        <w:t xml:space="preserve">Wszystkie wymienione powyżej parametry, role, funkcje, itp. systemu operacyjnego objęte muszą być dostarczoną licencją (licencjami) i zawarte w dostarczonej wersji  oprogramowania (nie wymagają ponoszenia przez Zamawiającego dodatkowych kosztów). </w:t>
      </w:r>
    </w:p>
    <w:p w14:paraId="1B45971B" w14:textId="77777777" w:rsidR="00C22B94" w:rsidRPr="008D3423" w:rsidRDefault="00C22B94" w:rsidP="00C22B94">
      <w:pPr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7C29D81" w14:textId="6D2908B9" w:rsidR="00C22B94" w:rsidRPr="008D3423" w:rsidRDefault="00C22B94" w:rsidP="00C22B94">
      <w:pPr>
        <w:spacing w:line="240" w:lineRule="auto"/>
        <w:ind w:firstLine="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8D25E7C" w14:textId="5F2D906E" w:rsidR="00C22B94" w:rsidRPr="008D3423" w:rsidRDefault="00C22B94" w:rsidP="008D3423">
      <w:pPr>
        <w:pStyle w:val="Akapitzlist"/>
        <w:numPr>
          <w:ilvl w:val="0"/>
          <w:numId w:val="34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Kryteria równoważności dla Microsoft SQL Server 2019 Standard:</w:t>
      </w:r>
    </w:p>
    <w:p w14:paraId="397FBFBF" w14:textId="77777777" w:rsidR="00C22B94" w:rsidRPr="008D3423" w:rsidRDefault="00C22B94" w:rsidP="00C22B94">
      <w:pPr>
        <w:spacing w:line="240" w:lineRule="auto"/>
        <w:ind w:left="349"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74EBD03C" w14:textId="77777777" w:rsidR="00C22B94" w:rsidRPr="008D3423" w:rsidRDefault="00C22B94" w:rsidP="00C22B94">
      <w:pPr>
        <w:spacing w:line="240" w:lineRule="auto"/>
        <w:ind w:left="284" w:right="141"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Zamawiający dopuszcza możliwość dostawy licencji oprogramowania równoważnego, o parametrach nie gorszych niż wskazane, o ile będzie to oprogramowanie w pełni zgodne i kompatybilne z aplikacjami Simple ERP, Sage Kadry i Płace Sage Symfonia Finanse i Księgowość oraz spełniające </w:t>
      </w:r>
    </w:p>
    <w:p w14:paraId="15A08370" w14:textId="5685DF54" w:rsidR="00C22B94" w:rsidRPr="008D3423" w:rsidRDefault="00C22B94" w:rsidP="00C22B94">
      <w:pPr>
        <w:spacing w:line="240" w:lineRule="auto"/>
        <w:ind w:right="141" w:firstLine="284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poniższe wymagania minimalne:</w:t>
      </w:r>
    </w:p>
    <w:p w14:paraId="49DF1A0E" w14:textId="68D56CE9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 w:hanging="284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Oprogramowanie silnika baz danych przeznaczone do instalacji w ramach lokalnej infrastruktury  sprzętowej i programowej posiadanej przez Zamawiającego. Silnik zostanie zainstalowany na serwerze Microsoft Windows Server Standard 2022 Standard lub alternatywnie instancja zgodnego </w:t>
      </w: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lastRenderedPageBreak/>
        <w:t>systemu operacyjnego dostarczonego przez Wykonawcę wraz z silnikiem baz danych może być zainstalowana na maszynie wirtualnej działającej pod kontrolą Microsoft Hyper-V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0EF77809" w14:textId="65E33EEC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Ilość oferowanych licencji oprogramowania silnika baz danych musi zapewnić wykorzystanie mocy obliczeniowej min. 8 rdzeni procesora oraz min. 32GB pamięci RAM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46C4A8CB" w14:textId="1C95807E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Ilość oferowanych licencji oprogramowania silnika baz danych musi umożliwiać pełne wykorzystanie silnika dla min. 3 użytkowników z nieograniczonej puli stanowisk dostępowych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018C3E14" w14:textId="77777777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Zarządzanie silnikiem baz danych dostępne będzie z poziomu narzędzia graficznego (aplikacja typu desktop lub aplikacja obsługiwana w przeglądarce WWW). Wszystkie funkcje zarządzania muszą być dostępne lokalnie bez wymaganego dostępu do sieci Internet. Narzędzie graficzne do zarządzania silnikiem musi zapewniać możliwość zarządzania i konfiguracji wszystkich usług implementowanych przez silnik baz danych. </w:t>
      </w:r>
    </w:p>
    <w:p w14:paraId="7C363FEE" w14:textId="3A7E8937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Dostępna funkcja profilowania silnika baz danych, rejestrująca określone wg filtra zapytania spływające do silnika baz danych w czasie rzeczywistym w formie dziennika zdarzeń, której zadaniem będzie identyfikacja ewentualnych problemów lub błędów w działaniu aplikacji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483F9648" w14:textId="77777777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Zarządzanie silnikiem baz danych dostępne będzie z poziomu narzędzia linii poleceń umożliwiające automatyzację czynności administracyjnych, min.:</w:t>
      </w:r>
    </w:p>
    <w:p w14:paraId="4A752119" w14:textId="77777777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Wykonywanie zadań kopii zapasowych</w:t>
      </w:r>
    </w:p>
    <w:p w14:paraId="0A8386DD" w14:textId="77777777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Zarządzanie kontami użytkowników</w:t>
      </w:r>
    </w:p>
    <w:p w14:paraId="72D98A66" w14:textId="77777777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Zarządzanie uprawnieniami użytkowników</w:t>
      </w:r>
    </w:p>
    <w:p w14:paraId="1E9F5B26" w14:textId="77777777" w:rsidR="00C22B94" w:rsidRPr="008D3423" w:rsidRDefault="00C22B94" w:rsidP="00C22B94">
      <w:pPr>
        <w:pStyle w:val="Akapitzlist"/>
        <w:numPr>
          <w:ilvl w:val="0"/>
          <w:numId w:val="28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Zarządzanie pracą silnika baz danych (min. akcje uruchomienia i zatrzymania pracy silnika)</w:t>
      </w:r>
    </w:p>
    <w:p w14:paraId="62789074" w14:textId="36895156" w:rsidR="00C22B94" w:rsidRPr="008D3423" w:rsidRDefault="00C22B94" w:rsidP="00C22B94">
      <w:pPr>
        <w:pStyle w:val="Akapitzlist"/>
        <w:numPr>
          <w:ilvl w:val="0"/>
          <w:numId w:val="31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Wykonywanie zapisanych skryptów poleceń SQL z obsługą przekierowywania wyjścia na standardowe wyjście konsoli lub do pliku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464A8F34" w14:textId="3B476264" w:rsidR="00C22B94" w:rsidRPr="008D3423" w:rsidRDefault="00C22B94" w:rsidP="00C22B94">
      <w:pPr>
        <w:pStyle w:val="Akapitzlist"/>
        <w:numPr>
          <w:ilvl w:val="0"/>
          <w:numId w:val="31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Obsługa aktualizacji automatycznych dla silnika musi umożliwiać automatyczne ściąganie i instalację poprawek bezpieczeństwa producenta oprogramowania dla minimalizacji zagrożeń powodowanych przez wykryte luki w zabezpieczeniach oprogramowania silnika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3564884C" w14:textId="7D6751F0" w:rsidR="00C22B94" w:rsidRPr="008D3423" w:rsidRDefault="00C22B94" w:rsidP="00C22B94">
      <w:pPr>
        <w:pStyle w:val="Akapitzlist"/>
        <w:numPr>
          <w:ilvl w:val="0"/>
          <w:numId w:val="31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Silnik baz danych musi posiadać mechanizm pozwalający na duplikację określonych baz danych między dwiema instancjami, zapewniający replikację danych w czasie rzeczywistym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6CCD8D3F" w14:textId="77777777" w:rsidR="00C22B94" w:rsidRPr="008D3423" w:rsidRDefault="00C22B94" w:rsidP="00C22B94">
      <w:pPr>
        <w:pStyle w:val="Akapitzlist"/>
        <w:numPr>
          <w:ilvl w:val="0"/>
          <w:numId w:val="31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Silnik baz danych musi obsługiwać mechanizm kompresji kopii zapasowych w trakcie ich tworzenia</w:t>
      </w:r>
    </w:p>
    <w:p w14:paraId="24B08839" w14:textId="77777777" w:rsidR="00C22B94" w:rsidRPr="008D3423" w:rsidRDefault="00C22B94" w:rsidP="00C22B94">
      <w:pPr>
        <w:pStyle w:val="Akapitzlist"/>
        <w:numPr>
          <w:ilvl w:val="0"/>
          <w:numId w:val="31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Obsługa automatycznego szyfrowania kopii zapasowych baz danych (w trakcie wykonywania) przy użyciu min. funkcji kryptograficznej AES-256 z użyciem klucza asymetrycznego. Możliwość szyfrowania kopii zapasowych baz danych niezaszyfrowanych.</w:t>
      </w:r>
    </w:p>
    <w:p w14:paraId="2366C08F" w14:textId="2F57E78B" w:rsidR="00C22B94" w:rsidRPr="008D3423" w:rsidRDefault="00C22B94" w:rsidP="00C22B94">
      <w:pPr>
        <w:pStyle w:val="Akapitzlist"/>
        <w:numPr>
          <w:ilvl w:val="0"/>
          <w:numId w:val="31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Wsparcie dla zastosowanych w MIK reguł bezpieczeństwa, min. zastosowanie mechanizmu weryfikacji dostatecznego poziomu długości i komplikacji haseł użytkowników, możliwość zintegrowania uwierzytelniania użytkowników z Active Directory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73005449" w14:textId="4AF73516" w:rsidR="00C22B94" w:rsidRPr="008D3423" w:rsidRDefault="00C22B94" w:rsidP="00C22B94">
      <w:pPr>
        <w:pStyle w:val="Akapitzlist"/>
        <w:numPr>
          <w:ilvl w:val="0"/>
          <w:numId w:val="31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Zredukowany do minimum negatywny wpływ logowania na wydajność silnika baz danych</w:t>
      </w:r>
      <w:r w:rsidR="005805FD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6EAE79E4" w14:textId="70F63CA2" w:rsidR="00C22B94" w:rsidRPr="008D3423" w:rsidRDefault="00C22B94" w:rsidP="00C22B94">
      <w:pPr>
        <w:pStyle w:val="Akapitzlist"/>
        <w:numPr>
          <w:ilvl w:val="0"/>
          <w:numId w:val="30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Możliwość selektywnego wybierania rejestrowanych zdarzeń takich jak: monitorowanie stanu obciążenia silnika, operacje odczytu i zapisu danych na dysku, przekroczenie czasu wykonywania operacji, aktywność użytkownika</w:t>
      </w:r>
      <w:r w:rsidR="00613679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368705F5" w14:textId="77777777" w:rsidR="00C22B94" w:rsidRPr="008D3423" w:rsidRDefault="00C22B94" w:rsidP="00C22B94">
      <w:pPr>
        <w:pStyle w:val="Akapitzlist"/>
        <w:numPr>
          <w:ilvl w:val="0"/>
          <w:numId w:val="30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Możliwość definiowania nowych typów danych przechowywania z obsługą danych hierarchicznych. Logika operacji nowego typu danych powinna być implementowana w zaproponowanym przez Wykonawcę języku programowania. </w:t>
      </w:r>
    </w:p>
    <w:p w14:paraId="74FC51A8" w14:textId="562EC2D6" w:rsidR="00C22B94" w:rsidRPr="008D3423" w:rsidRDefault="00C22B94" w:rsidP="00C22B94">
      <w:pPr>
        <w:pStyle w:val="Akapitzlist"/>
        <w:numPr>
          <w:ilvl w:val="0"/>
          <w:numId w:val="29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Obsługa danych w formacie XML w zakresie umożliwiającym składowanie i obróbkę danych w postaci struktur XML. Silnik musi zapewniać typ danych do przechowywania kompletnych dokumentów XML w jednym polu tabeli oraz zapewnić mechanizm do walidacji struktur XML wykorzystując szablony XSD. Ponadto silnik musi udostępniać język zapytań zgodny ze standardem XQuery do obsługi struktur XML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;</w:t>
      </w:r>
    </w:p>
    <w:p w14:paraId="5C994634" w14:textId="641953BB" w:rsidR="008D3423" w:rsidRDefault="00C22B94" w:rsidP="008D3423">
      <w:pPr>
        <w:pStyle w:val="Akapitzlist"/>
        <w:numPr>
          <w:ilvl w:val="0"/>
          <w:numId w:val="29"/>
        </w:numPr>
        <w:spacing w:line="240" w:lineRule="auto"/>
        <w:ind w:left="284"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Obsługa tworzenia funkcji i procedur w innych językach programowania z możliwością ich uruchomienia z poziomu zapytań SQL lub wyzwalaczy SQL Trigger</w:t>
      </w:r>
      <w:r w:rsid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51F38E17" w14:textId="63D539E3" w:rsidR="008D3423" w:rsidRDefault="008D3423" w:rsidP="008D3423">
      <w:pPr>
        <w:spacing w:line="240" w:lineRule="auto"/>
        <w:ind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061A9E79" w14:textId="1EC291D5" w:rsidR="008D3423" w:rsidRDefault="008D3423" w:rsidP="008D3423">
      <w:pPr>
        <w:spacing w:line="240" w:lineRule="auto"/>
        <w:ind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29615B24" w14:textId="77777777" w:rsidR="008D3423" w:rsidRPr="005805FD" w:rsidRDefault="008D3423" w:rsidP="005805FD">
      <w:pPr>
        <w:spacing w:line="240" w:lineRule="auto"/>
        <w:ind w:right="141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30F87F3C" w14:textId="77777777" w:rsidR="00C22B94" w:rsidRPr="008D3423" w:rsidRDefault="00C22B94" w:rsidP="00C22B94">
      <w:pPr>
        <w:spacing w:line="240" w:lineRule="auto"/>
        <w:ind w:right="141"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W przypadku zaproponowania licencji równoważnych Wykonawca przeprowadzi na własny koszt instalację, konfigurację i integrację dostarczonego produktu. Wykonawca przeprowadzi migrację wszelkich danych i konfiguracji oraz konwersji istniejących baz danych do formatu zgodnego z oferowanym silnikiem baz danych, zapewniając identyczne funkcjonowanie całego środowiska w stosunku do aktualnego środowiska. Przerwa w działaniu aktualnie eksploatowanego środowiska produkcyjnego nie może wynieść więcej niż 7 godzin Dodatkowo w przypadku błędnego działania środowiska po instalacji licencji Wykonawca zobowiązany będzie na własny koszt przywrócić środowisko do stanu poprawnego funkcjonowania, a w przypadku braku takiej możliwości do stanu pierwotnego oraz dostarczenia innego rozwiązania spełniającego wymagania OPZ. Ponadto zastosowanie rozwiązania</w:t>
      </w:r>
    </w:p>
    <w:p w14:paraId="4835F8C3" w14:textId="77777777" w:rsidR="00C22B94" w:rsidRPr="008D3423" w:rsidRDefault="00C22B94" w:rsidP="00C22B94">
      <w:pPr>
        <w:spacing w:line="240" w:lineRule="auto"/>
        <w:ind w:right="141"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 w:rsidRPr="008D342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równoważnego nie może ograniczyć funkcjonalności posiadanego systemu przez Zamawiającego i nie może powodować konieczności ponoszenia dodatkowych kosztów dla Zamawiającego.</w:t>
      </w:r>
    </w:p>
    <w:p w14:paraId="5995341E" w14:textId="77777777" w:rsidR="00C22B94" w:rsidRPr="00830EF9" w:rsidRDefault="00C22B94" w:rsidP="00C22B94">
      <w:pPr>
        <w:pStyle w:val="Akapitzlist"/>
        <w:spacing w:line="240" w:lineRule="auto"/>
        <w:ind w:left="709" w:firstLine="0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4BFD5696" w14:textId="77777777" w:rsidR="00C22B94" w:rsidRPr="00B33F5E" w:rsidRDefault="00C22B94" w:rsidP="00C22B9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F784BE6" w14:textId="42EF69A2" w:rsidR="00456D20" w:rsidRPr="008F280B" w:rsidRDefault="00456D20" w:rsidP="008F280B">
      <w:pPr>
        <w:spacing w:line="240" w:lineRule="auto"/>
        <w:ind w:firstLine="0"/>
        <w:rPr>
          <w:rFonts w:asciiTheme="minorHAnsi" w:eastAsia="Calibri" w:hAnsiTheme="minorHAnsi" w:cstheme="minorHAnsi"/>
          <w:i/>
          <w:iCs/>
          <w:color w:val="000000" w:themeColor="text1"/>
          <w:sz w:val="20"/>
          <w:lang w:eastAsia="en-US"/>
        </w:rPr>
      </w:pPr>
    </w:p>
    <w:sectPr w:rsidR="00456D20" w:rsidRPr="008F280B" w:rsidSect="008F1230">
      <w:headerReference w:type="default" r:id="rId8"/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4FB0" w14:textId="77777777" w:rsidR="00D77144" w:rsidRDefault="00D77144" w:rsidP="00221A0D">
      <w:pPr>
        <w:spacing w:line="240" w:lineRule="auto"/>
      </w:pPr>
      <w:r>
        <w:separator/>
      </w:r>
    </w:p>
  </w:endnote>
  <w:endnote w:type="continuationSeparator" w:id="0">
    <w:p w14:paraId="25F72F49" w14:textId="77777777" w:rsidR="00D77144" w:rsidRDefault="00D77144" w:rsidP="00221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D6B8" w14:textId="77777777" w:rsidR="00D77144" w:rsidRDefault="00D77144" w:rsidP="00221A0D">
      <w:pPr>
        <w:spacing w:line="240" w:lineRule="auto"/>
      </w:pPr>
      <w:r>
        <w:separator/>
      </w:r>
    </w:p>
  </w:footnote>
  <w:footnote w:type="continuationSeparator" w:id="0">
    <w:p w14:paraId="772ED4E4" w14:textId="77777777" w:rsidR="00D77144" w:rsidRDefault="00D77144" w:rsidP="00221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D742" w14:textId="262EDA08" w:rsidR="00221A0D" w:rsidRPr="00221A0D" w:rsidRDefault="00221A0D" w:rsidP="00221A0D">
    <w:pPr>
      <w:pStyle w:val="Nagwek"/>
      <w:jc w:val="right"/>
      <w:rPr>
        <w:rFonts w:asciiTheme="minorHAnsi" w:hAnsiTheme="minorHAnsi" w:cstheme="minorHAnsi"/>
        <w:sz w:val="20"/>
        <w:szCs w:val="22"/>
      </w:rPr>
    </w:pPr>
    <w:r w:rsidRPr="00221A0D">
      <w:rPr>
        <w:rFonts w:asciiTheme="minorHAnsi" w:hAnsiTheme="minorHAnsi" w:cstheme="minorHAnsi"/>
        <w:sz w:val="20"/>
        <w:szCs w:val="22"/>
      </w:rPr>
      <w:t>Załącznik nr 2 do SWZ -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9CB"/>
    <w:multiLevelType w:val="hybridMultilevel"/>
    <w:tmpl w:val="2F88E2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12EA2"/>
    <w:multiLevelType w:val="hybridMultilevel"/>
    <w:tmpl w:val="5C02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BEF"/>
    <w:multiLevelType w:val="hybridMultilevel"/>
    <w:tmpl w:val="9A9274A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C5757"/>
    <w:multiLevelType w:val="hybridMultilevel"/>
    <w:tmpl w:val="501A60FC"/>
    <w:lvl w:ilvl="0" w:tplc="7BAE3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C7"/>
    <w:multiLevelType w:val="hybridMultilevel"/>
    <w:tmpl w:val="3476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123D"/>
    <w:multiLevelType w:val="hybridMultilevel"/>
    <w:tmpl w:val="6EECED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44E5"/>
    <w:multiLevelType w:val="hybridMultilevel"/>
    <w:tmpl w:val="638A03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6F3EB2"/>
    <w:multiLevelType w:val="hybridMultilevel"/>
    <w:tmpl w:val="827EAA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011F65"/>
    <w:multiLevelType w:val="hybridMultilevel"/>
    <w:tmpl w:val="0E0A133A"/>
    <w:lvl w:ilvl="0" w:tplc="E7FE987A">
      <w:start w:val="1"/>
      <w:numFmt w:val="decimal"/>
      <w:lvlText w:val="%1."/>
      <w:lvlJc w:val="left"/>
      <w:pPr>
        <w:ind w:left="994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1AC4"/>
    <w:multiLevelType w:val="hybridMultilevel"/>
    <w:tmpl w:val="1DFE1936"/>
    <w:lvl w:ilvl="0" w:tplc="04150019">
      <w:start w:val="1"/>
      <w:numFmt w:val="lowerLetter"/>
      <w:lvlText w:val="%1."/>
      <w:lvlJc w:val="left"/>
      <w:pPr>
        <w:ind w:left="994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9680E"/>
    <w:multiLevelType w:val="multilevel"/>
    <w:tmpl w:val="E698EA32"/>
    <w:lvl w:ilvl="0">
      <w:start w:val="1"/>
      <w:numFmt w:val="bullet"/>
      <w:lvlText w:val=""/>
      <w:lvlJc w:val="left"/>
      <w:pPr>
        <w:tabs>
          <w:tab w:val="num" w:pos="0"/>
        </w:tabs>
        <w:ind w:left="408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540CDD"/>
    <w:multiLevelType w:val="hybridMultilevel"/>
    <w:tmpl w:val="A3741D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334163"/>
    <w:multiLevelType w:val="hybridMultilevel"/>
    <w:tmpl w:val="5980EC36"/>
    <w:lvl w:ilvl="0" w:tplc="7BAE3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63675"/>
    <w:multiLevelType w:val="hybridMultilevel"/>
    <w:tmpl w:val="9F645380"/>
    <w:lvl w:ilvl="0" w:tplc="93F6A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7849"/>
    <w:multiLevelType w:val="multilevel"/>
    <w:tmpl w:val="015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0657E9"/>
    <w:multiLevelType w:val="hybridMultilevel"/>
    <w:tmpl w:val="2A206C16"/>
    <w:lvl w:ilvl="0" w:tplc="157208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FE66F7"/>
    <w:multiLevelType w:val="hybridMultilevel"/>
    <w:tmpl w:val="B59E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63A8C"/>
    <w:multiLevelType w:val="hybridMultilevel"/>
    <w:tmpl w:val="9468ED96"/>
    <w:lvl w:ilvl="0" w:tplc="C2A02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E0B3D"/>
    <w:multiLevelType w:val="hybridMultilevel"/>
    <w:tmpl w:val="18B41C1A"/>
    <w:lvl w:ilvl="0" w:tplc="562EB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49370E"/>
    <w:multiLevelType w:val="hybridMultilevel"/>
    <w:tmpl w:val="60C4B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62EE3"/>
    <w:multiLevelType w:val="hybridMultilevel"/>
    <w:tmpl w:val="3D4E3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15EB6"/>
    <w:multiLevelType w:val="hybridMultilevel"/>
    <w:tmpl w:val="ACE20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50A08"/>
    <w:multiLevelType w:val="multilevel"/>
    <w:tmpl w:val="90405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8E0A6C"/>
    <w:multiLevelType w:val="hybridMultilevel"/>
    <w:tmpl w:val="0570E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13BC8"/>
    <w:multiLevelType w:val="hybridMultilevel"/>
    <w:tmpl w:val="9A9274A6"/>
    <w:lvl w:ilvl="0" w:tplc="2AC8B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8B6A36"/>
    <w:multiLevelType w:val="multilevel"/>
    <w:tmpl w:val="90405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CB952C8"/>
    <w:multiLevelType w:val="hybridMultilevel"/>
    <w:tmpl w:val="6D7CA82E"/>
    <w:lvl w:ilvl="0" w:tplc="98F8EFE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70320602"/>
    <w:multiLevelType w:val="hybridMultilevel"/>
    <w:tmpl w:val="FD2ABB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B27445"/>
    <w:multiLevelType w:val="hybridMultilevel"/>
    <w:tmpl w:val="841825B2"/>
    <w:lvl w:ilvl="0" w:tplc="0415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0" w15:restartNumberingAfterBreak="0">
    <w:nsid w:val="7A985C40"/>
    <w:multiLevelType w:val="hybridMultilevel"/>
    <w:tmpl w:val="033A1E28"/>
    <w:lvl w:ilvl="0" w:tplc="0415000F">
      <w:start w:val="1"/>
      <w:numFmt w:val="decimal"/>
      <w:lvlText w:val="%1."/>
      <w:lvlJc w:val="left"/>
      <w:pPr>
        <w:ind w:left="994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940CF"/>
    <w:multiLevelType w:val="hybridMultilevel"/>
    <w:tmpl w:val="0A12D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E0730"/>
    <w:multiLevelType w:val="hybridMultilevel"/>
    <w:tmpl w:val="6EECEDBC"/>
    <w:lvl w:ilvl="0" w:tplc="5F9A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03BD1"/>
    <w:multiLevelType w:val="hybridMultilevel"/>
    <w:tmpl w:val="E4FC50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433927">
    <w:abstractNumId w:val="8"/>
  </w:num>
  <w:num w:numId="2" w16cid:durableId="895160835">
    <w:abstractNumId w:val="16"/>
  </w:num>
  <w:num w:numId="3" w16cid:durableId="1156216267">
    <w:abstractNumId w:val="3"/>
  </w:num>
  <w:num w:numId="4" w16cid:durableId="1737127568">
    <w:abstractNumId w:val="12"/>
  </w:num>
  <w:num w:numId="5" w16cid:durableId="195850431">
    <w:abstractNumId w:val="9"/>
  </w:num>
  <w:num w:numId="6" w16cid:durableId="1025987178">
    <w:abstractNumId w:val="30"/>
  </w:num>
  <w:num w:numId="7" w16cid:durableId="145829640">
    <w:abstractNumId w:val="31"/>
  </w:num>
  <w:num w:numId="8" w16cid:durableId="1386219546">
    <w:abstractNumId w:val="1"/>
  </w:num>
  <w:num w:numId="9" w16cid:durableId="985744665">
    <w:abstractNumId w:val="4"/>
  </w:num>
  <w:num w:numId="10" w16cid:durableId="12925866">
    <w:abstractNumId w:val="20"/>
  </w:num>
  <w:num w:numId="11" w16cid:durableId="1288663108">
    <w:abstractNumId w:val="32"/>
  </w:num>
  <w:num w:numId="12" w16cid:durableId="863322955">
    <w:abstractNumId w:val="13"/>
  </w:num>
  <w:num w:numId="13" w16cid:durableId="1222670657">
    <w:abstractNumId w:val="25"/>
  </w:num>
  <w:num w:numId="14" w16cid:durableId="1709451483">
    <w:abstractNumId w:val="24"/>
  </w:num>
  <w:num w:numId="15" w16cid:durableId="448552948">
    <w:abstractNumId w:val="23"/>
  </w:num>
  <w:num w:numId="16" w16cid:durableId="1125350975">
    <w:abstractNumId w:val="2"/>
  </w:num>
  <w:num w:numId="17" w16cid:durableId="1404722851">
    <w:abstractNumId w:val="5"/>
  </w:num>
  <w:num w:numId="18" w16cid:durableId="2111393192">
    <w:abstractNumId w:val="17"/>
  </w:num>
  <w:num w:numId="19" w16cid:durableId="1175000299">
    <w:abstractNumId w:val="19"/>
  </w:num>
  <w:num w:numId="20" w16cid:durableId="1795248760">
    <w:abstractNumId w:val="14"/>
  </w:num>
  <w:num w:numId="21" w16cid:durableId="1854685431">
    <w:abstractNumId w:val="22"/>
  </w:num>
  <w:num w:numId="22" w16cid:durableId="238364552">
    <w:abstractNumId w:val="18"/>
  </w:num>
  <w:num w:numId="23" w16cid:durableId="936407236">
    <w:abstractNumId w:val="26"/>
  </w:num>
  <w:num w:numId="24" w16cid:durableId="961039593">
    <w:abstractNumId w:val="27"/>
  </w:num>
  <w:num w:numId="25" w16cid:durableId="1277447840">
    <w:abstractNumId w:val="21"/>
  </w:num>
  <w:num w:numId="26" w16cid:durableId="208609303">
    <w:abstractNumId w:val="0"/>
  </w:num>
  <w:num w:numId="27" w16cid:durableId="1279753677">
    <w:abstractNumId w:val="15"/>
  </w:num>
  <w:num w:numId="28" w16cid:durableId="1957256068">
    <w:abstractNumId w:val="7"/>
  </w:num>
  <w:num w:numId="29" w16cid:durableId="680014376">
    <w:abstractNumId w:val="28"/>
  </w:num>
  <w:num w:numId="30" w16cid:durableId="2027096139">
    <w:abstractNumId w:val="6"/>
  </w:num>
  <w:num w:numId="31" w16cid:durableId="1458794687">
    <w:abstractNumId w:val="11"/>
  </w:num>
  <w:num w:numId="32" w16cid:durableId="296303389">
    <w:abstractNumId w:val="10"/>
  </w:num>
  <w:num w:numId="33" w16cid:durableId="2116900882">
    <w:abstractNumId w:val="29"/>
  </w:num>
  <w:num w:numId="34" w16cid:durableId="20262494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AE"/>
    <w:rsid w:val="0002056C"/>
    <w:rsid w:val="000300C6"/>
    <w:rsid w:val="000425DB"/>
    <w:rsid w:val="000465DB"/>
    <w:rsid w:val="00052C50"/>
    <w:rsid w:val="0005443F"/>
    <w:rsid w:val="00070568"/>
    <w:rsid w:val="00076CA5"/>
    <w:rsid w:val="00084A12"/>
    <w:rsid w:val="000A029A"/>
    <w:rsid w:val="000B1DA0"/>
    <w:rsid w:val="000D173F"/>
    <w:rsid w:val="000D3032"/>
    <w:rsid w:val="000E2044"/>
    <w:rsid w:val="000E3950"/>
    <w:rsid w:val="00131CC0"/>
    <w:rsid w:val="00134478"/>
    <w:rsid w:val="00137B0E"/>
    <w:rsid w:val="00155AA8"/>
    <w:rsid w:val="00164ED2"/>
    <w:rsid w:val="00183BD6"/>
    <w:rsid w:val="001F0AEB"/>
    <w:rsid w:val="002056F7"/>
    <w:rsid w:val="00221A0D"/>
    <w:rsid w:val="002309A9"/>
    <w:rsid w:val="00231032"/>
    <w:rsid w:val="00254558"/>
    <w:rsid w:val="00254B28"/>
    <w:rsid w:val="0027412F"/>
    <w:rsid w:val="00287502"/>
    <w:rsid w:val="0029278A"/>
    <w:rsid w:val="002C3E4C"/>
    <w:rsid w:val="002D427D"/>
    <w:rsid w:val="002E54B5"/>
    <w:rsid w:val="002F41A0"/>
    <w:rsid w:val="00312295"/>
    <w:rsid w:val="00312906"/>
    <w:rsid w:val="003171AE"/>
    <w:rsid w:val="00325DE3"/>
    <w:rsid w:val="0033189E"/>
    <w:rsid w:val="0036133D"/>
    <w:rsid w:val="0036323E"/>
    <w:rsid w:val="0036749E"/>
    <w:rsid w:val="003712DC"/>
    <w:rsid w:val="00384065"/>
    <w:rsid w:val="003A6624"/>
    <w:rsid w:val="003B7681"/>
    <w:rsid w:val="003D3196"/>
    <w:rsid w:val="003F03B9"/>
    <w:rsid w:val="004105B4"/>
    <w:rsid w:val="004249D8"/>
    <w:rsid w:val="0044374B"/>
    <w:rsid w:val="00453E39"/>
    <w:rsid w:val="00456D20"/>
    <w:rsid w:val="00460E49"/>
    <w:rsid w:val="00460E67"/>
    <w:rsid w:val="0046422D"/>
    <w:rsid w:val="004A42CD"/>
    <w:rsid w:val="004B40A2"/>
    <w:rsid w:val="004B5DE6"/>
    <w:rsid w:val="004C54B9"/>
    <w:rsid w:val="004C60FA"/>
    <w:rsid w:val="004E2DF5"/>
    <w:rsid w:val="004E7875"/>
    <w:rsid w:val="0054395C"/>
    <w:rsid w:val="00571D54"/>
    <w:rsid w:val="005738BF"/>
    <w:rsid w:val="00577307"/>
    <w:rsid w:val="005805FD"/>
    <w:rsid w:val="00580FDD"/>
    <w:rsid w:val="005A48C2"/>
    <w:rsid w:val="005D6FDC"/>
    <w:rsid w:val="00601570"/>
    <w:rsid w:val="00613679"/>
    <w:rsid w:val="00631B54"/>
    <w:rsid w:val="00673C83"/>
    <w:rsid w:val="006744B4"/>
    <w:rsid w:val="00681B8A"/>
    <w:rsid w:val="00691CD8"/>
    <w:rsid w:val="006A3B7A"/>
    <w:rsid w:val="006A7DA1"/>
    <w:rsid w:val="006D154D"/>
    <w:rsid w:val="006F0425"/>
    <w:rsid w:val="00702870"/>
    <w:rsid w:val="00712834"/>
    <w:rsid w:val="00721809"/>
    <w:rsid w:val="00726A8A"/>
    <w:rsid w:val="00752F5A"/>
    <w:rsid w:val="0075650C"/>
    <w:rsid w:val="00795B31"/>
    <w:rsid w:val="007C6AF6"/>
    <w:rsid w:val="008155AE"/>
    <w:rsid w:val="008300A0"/>
    <w:rsid w:val="00834B84"/>
    <w:rsid w:val="00850911"/>
    <w:rsid w:val="008836E6"/>
    <w:rsid w:val="008A21A2"/>
    <w:rsid w:val="008A59DD"/>
    <w:rsid w:val="008B6540"/>
    <w:rsid w:val="008D3423"/>
    <w:rsid w:val="008D431F"/>
    <w:rsid w:val="008E180C"/>
    <w:rsid w:val="008E27DA"/>
    <w:rsid w:val="008F1230"/>
    <w:rsid w:val="008F280B"/>
    <w:rsid w:val="00910945"/>
    <w:rsid w:val="00924143"/>
    <w:rsid w:val="00933BEE"/>
    <w:rsid w:val="00940EEA"/>
    <w:rsid w:val="00981C37"/>
    <w:rsid w:val="00987A6A"/>
    <w:rsid w:val="0099397E"/>
    <w:rsid w:val="009A3409"/>
    <w:rsid w:val="009A7673"/>
    <w:rsid w:val="009B3E88"/>
    <w:rsid w:val="009C498B"/>
    <w:rsid w:val="009C4CEE"/>
    <w:rsid w:val="00A32381"/>
    <w:rsid w:val="00A376CB"/>
    <w:rsid w:val="00A44EC0"/>
    <w:rsid w:val="00A65912"/>
    <w:rsid w:val="00A660EC"/>
    <w:rsid w:val="00A85F3B"/>
    <w:rsid w:val="00AA5E9B"/>
    <w:rsid w:val="00AB029B"/>
    <w:rsid w:val="00AF15E4"/>
    <w:rsid w:val="00B276C0"/>
    <w:rsid w:val="00B6318F"/>
    <w:rsid w:val="00B64156"/>
    <w:rsid w:val="00BA25F9"/>
    <w:rsid w:val="00BA47F0"/>
    <w:rsid w:val="00BA7ED8"/>
    <w:rsid w:val="00BC4945"/>
    <w:rsid w:val="00BD55A8"/>
    <w:rsid w:val="00BF684B"/>
    <w:rsid w:val="00C213E9"/>
    <w:rsid w:val="00C22B94"/>
    <w:rsid w:val="00C23E50"/>
    <w:rsid w:val="00C358A0"/>
    <w:rsid w:val="00C40402"/>
    <w:rsid w:val="00C4058B"/>
    <w:rsid w:val="00C616BB"/>
    <w:rsid w:val="00C62F57"/>
    <w:rsid w:val="00C8153D"/>
    <w:rsid w:val="00C8242E"/>
    <w:rsid w:val="00C873F2"/>
    <w:rsid w:val="00C90B74"/>
    <w:rsid w:val="00C92587"/>
    <w:rsid w:val="00C97382"/>
    <w:rsid w:val="00CA0561"/>
    <w:rsid w:val="00CA125C"/>
    <w:rsid w:val="00CB0B3A"/>
    <w:rsid w:val="00CB42BB"/>
    <w:rsid w:val="00CD0C98"/>
    <w:rsid w:val="00D2579B"/>
    <w:rsid w:val="00D4435A"/>
    <w:rsid w:val="00D77144"/>
    <w:rsid w:val="00D774F1"/>
    <w:rsid w:val="00D92037"/>
    <w:rsid w:val="00D9653C"/>
    <w:rsid w:val="00DB4981"/>
    <w:rsid w:val="00DF209D"/>
    <w:rsid w:val="00E06CEA"/>
    <w:rsid w:val="00E16680"/>
    <w:rsid w:val="00E31C3A"/>
    <w:rsid w:val="00E33486"/>
    <w:rsid w:val="00E54D02"/>
    <w:rsid w:val="00E80B2B"/>
    <w:rsid w:val="00E95915"/>
    <w:rsid w:val="00EA4951"/>
    <w:rsid w:val="00EA4F81"/>
    <w:rsid w:val="00EA7C67"/>
    <w:rsid w:val="00EB3C20"/>
    <w:rsid w:val="00EB4179"/>
    <w:rsid w:val="00EB699B"/>
    <w:rsid w:val="00EC46DB"/>
    <w:rsid w:val="00EC4A21"/>
    <w:rsid w:val="00EF69F0"/>
    <w:rsid w:val="00EF75B3"/>
    <w:rsid w:val="00F04F0B"/>
    <w:rsid w:val="00F17ADD"/>
    <w:rsid w:val="00F310AE"/>
    <w:rsid w:val="00F34181"/>
    <w:rsid w:val="00F63373"/>
    <w:rsid w:val="00F72C99"/>
    <w:rsid w:val="00F97DF9"/>
    <w:rsid w:val="00FA7999"/>
    <w:rsid w:val="00FB27A8"/>
    <w:rsid w:val="00FC3634"/>
    <w:rsid w:val="00FC4FA5"/>
    <w:rsid w:val="00FD262F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B3D1"/>
  <w15:chartTrackingRefBased/>
  <w15:docId w15:val="{0B457CA1-13DC-45E5-AC50-E49A58C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AE"/>
    <w:pPr>
      <w:spacing w:after="0" w:line="360" w:lineRule="auto"/>
      <w:ind w:firstLine="708"/>
      <w:jc w:val="both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AE"/>
    <w:pPr>
      <w:ind w:left="720"/>
      <w:contextualSpacing/>
    </w:pPr>
  </w:style>
  <w:style w:type="table" w:styleId="Tabelasiatki4">
    <w:name w:val="Grid Table 4"/>
    <w:basedOn w:val="Standardowy"/>
    <w:uiPriority w:val="49"/>
    <w:rsid w:val="00C62F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62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2F57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2F57"/>
    <w:rPr>
      <w:sz w:val="20"/>
      <w:szCs w:val="20"/>
    </w:rPr>
  </w:style>
  <w:style w:type="paragraph" w:styleId="Poprawka">
    <w:name w:val="Revision"/>
    <w:hidden/>
    <w:uiPriority w:val="99"/>
    <w:semiHidden/>
    <w:rsid w:val="00933BEE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BEE"/>
    <w:pPr>
      <w:spacing w:after="0"/>
      <w:ind w:firstLine="708"/>
      <w:jc w:val="both"/>
    </w:pPr>
    <w:rPr>
      <w:rFonts w:ascii="Verdana" w:eastAsia="Times New Roman" w:hAnsi="Verdana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BEE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1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2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1A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0D"/>
    <w:rPr>
      <w:rFonts w:ascii="Verdana" w:eastAsia="Times New Roman" w:hAnsi="Verdana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A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0D"/>
    <w:rPr>
      <w:rFonts w:ascii="Verdana" w:eastAsia="Times New Roman" w:hAnsi="Verdan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A6B3-A4C3-4C6F-AF1E-E011899A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5</Pages>
  <Words>1874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Zalewski</dc:creator>
  <cp:keywords/>
  <dc:description/>
  <cp:lastModifiedBy>Paulina Olejniczak</cp:lastModifiedBy>
  <cp:revision>58</cp:revision>
  <dcterms:created xsi:type="dcterms:W3CDTF">2022-09-07T12:20:00Z</dcterms:created>
  <dcterms:modified xsi:type="dcterms:W3CDTF">2023-04-05T07:42:00Z</dcterms:modified>
</cp:coreProperties>
</file>